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AC743">
      <w:pPr>
        <w:pStyle w:val="2"/>
        <w:rPr>
          <w:sz w:val="28"/>
          <w:szCs w:val="28"/>
          <w:highlight w:val="none"/>
          <w:u w:val="single"/>
        </w:rPr>
      </w:pPr>
    </w:p>
    <w:p w14:paraId="7C416E06">
      <w:pPr>
        <w:spacing w:line="360" w:lineRule="auto"/>
        <w:jc w:val="center"/>
        <w:rPr>
          <w:rFonts w:hint="eastAsia" w:asciiTheme="majorEastAsia" w:hAnsiTheme="majorEastAsia" w:eastAsiaTheme="majorEastAsia" w:cstheme="majorEastAsia"/>
          <w:b/>
          <w:bCs/>
          <w:sz w:val="32"/>
          <w:szCs w:val="32"/>
          <w:highlight w:val="none"/>
        </w:rPr>
      </w:pPr>
      <w:r>
        <w:rPr>
          <w:rFonts w:hint="eastAsia" w:asciiTheme="majorEastAsia" w:hAnsiTheme="majorEastAsia" w:eastAsiaTheme="majorEastAsia" w:cstheme="majorEastAsia"/>
          <w:b/>
          <w:bCs/>
          <w:sz w:val="32"/>
          <w:szCs w:val="32"/>
          <w:highlight w:val="none"/>
        </w:rPr>
        <w:t>中山大学附属第八医院服务类</w:t>
      </w:r>
    </w:p>
    <w:p w14:paraId="17B4DB86">
      <w:pPr>
        <w:spacing w:line="360" w:lineRule="auto"/>
        <w:jc w:val="center"/>
        <w:rPr>
          <w:rFonts w:hint="eastAsia" w:asciiTheme="majorEastAsia" w:hAnsiTheme="majorEastAsia" w:eastAsiaTheme="majorEastAsia" w:cstheme="majorEastAsia"/>
          <w:b/>
          <w:bCs/>
          <w:sz w:val="32"/>
          <w:szCs w:val="32"/>
          <w:highlight w:val="none"/>
        </w:rPr>
      </w:pPr>
      <w:r>
        <w:rPr>
          <w:rFonts w:hint="eastAsia" w:asciiTheme="majorEastAsia" w:hAnsiTheme="majorEastAsia" w:eastAsiaTheme="majorEastAsia" w:cstheme="majorEastAsia"/>
          <w:b/>
          <w:bCs/>
          <w:sz w:val="32"/>
          <w:szCs w:val="32"/>
          <w:highlight w:val="none"/>
        </w:rPr>
        <w:t>采购需求模板</w:t>
      </w:r>
    </w:p>
    <w:p w14:paraId="626A2203">
      <w:pPr>
        <w:spacing w:line="540" w:lineRule="exact"/>
        <w:ind w:firstLine="320" w:firstLineChars="100"/>
        <w:jc w:val="center"/>
        <w:rPr>
          <w:rFonts w:hint="eastAsia" w:asciiTheme="majorEastAsia" w:hAnsiTheme="majorEastAsia" w:eastAsiaTheme="majorEastAsia" w:cstheme="majorEastAsia"/>
          <w:sz w:val="32"/>
          <w:szCs w:val="32"/>
          <w:highlight w:val="none"/>
        </w:rPr>
      </w:pPr>
    </w:p>
    <w:p w14:paraId="35DBBE52">
      <w:pPr>
        <w:spacing w:line="540" w:lineRule="exact"/>
        <w:ind w:firstLine="320" w:firstLineChars="100"/>
        <w:jc w:val="center"/>
        <w:rPr>
          <w:rFonts w:hint="eastAsia" w:asciiTheme="majorEastAsia" w:hAnsiTheme="majorEastAsia" w:eastAsiaTheme="majorEastAsia" w:cstheme="majorEastAsia"/>
          <w:sz w:val="32"/>
          <w:szCs w:val="32"/>
          <w:highlight w:val="none"/>
        </w:rPr>
      </w:pPr>
      <w:r>
        <w:rPr>
          <w:rFonts w:hint="eastAsia" w:asciiTheme="majorEastAsia" w:hAnsiTheme="majorEastAsia" w:eastAsiaTheme="majorEastAsia" w:cstheme="majorEastAsia"/>
          <w:sz w:val="32"/>
          <w:szCs w:val="32"/>
          <w:highlight w:val="none"/>
        </w:rPr>
        <w:t>第一部分 项目基本要求</w:t>
      </w:r>
    </w:p>
    <w:p w14:paraId="721F5355">
      <w:pPr>
        <w:widowControl/>
        <w:spacing w:before="100" w:beforeAutospacing="1" w:after="100" w:afterAutospacing="1" w:line="360" w:lineRule="auto"/>
        <w:ind w:firstLine="440" w:firstLineChars="200"/>
        <w:rPr>
          <w:rFonts w:hint="eastAsia" w:asciiTheme="majorEastAsia" w:hAnsiTheme="majorEastAsia" w:eastAsiaTheme="majorEastAsia" w:cstheme="majorEastAsia"/>
          <w:kern w:val="0"/>
          <w:sz w:val="22"/>
          <w:szCs w:val="22"/>
          <w:highlight w:val="none"/>
        </w:rPr>
      </w:pPr>
      <w:r>
        <w:rPr>
          <w:rFonts w:hint="eastAsia" w:asciiTheme="majorEastAsia" w:hAnsiTheme="majorEastAsia" w:eastAsiaTheme="majorEastAsia" w:cstheme="majorEastAsia"/>
          <w:sz w:val="22"/>
          <w:szCs w:val="22"/>
          <w:highlight w:val="none"/>
          <w:shd w:val="clear" w:color="auto" w:fill="FFFFFF"/>
        </w:rPr>
        <w:t>一</w:t>
      </w:r>
      <w:r>
        <w:rPr>
          <w:rFonts w:hint="eastAsia" w:asciiTheme="majorEastAsia" w:hAnsiTheme="majorEastAsia" w:eastAsiaTheme="majorEastAsia" w:cstheme="majorEastAsia"/>
          <w:sz w:val="24"/>
          <w:highlight w:val="none"/>
          <w:shd w:val="clear" w:color="auto" w:fill="FFFFFF"/>
        </w:rPr>
        <w:t>、项目基本信息</w:t>
      </w:r>
    </w:p>
    <w:p w14:paraId="5CACF101">
      <w:pPr>
        <w:numPr>
          <w:ilvl w:val="0"/>
          <w:numId w:val="1"/>
        </w:numPr>
        <w:tabs>
          <w:tab w:val="left" w:pos="567"/>
        </w:tabs>
        <w:adjustRightInd w:val="0"/>
        <w:snapToGrid w:val="0"/>
        <w:spacing w:line="360" w:lineRule="auto"/>
        <w:rPr>
          <w:rFonts w:ascii="宋体" w:hAnsi="宋体" w:eastAsia="宋体" w:cs="宋体"/>
          <w:sz w:val="24"/>
          <w:highlight w:val="none"/>
        </w:rPr>
      </w:pPr>
      <w:r>
        <w:rPr>
          <w:rFonts w:hint="eastAsia" w:ascii="宋体" w:hAnsi="宋体" w:eastAsia="宋体" w:cs="宋体"/>
          <w:bCs/>
          <w:sz w:val="24"/>
          <w:highlight w:val="none"/>
        </w:rPr>
        <w:t>采购项目名称：</w:t>
      </w:r>
      <w:r>
        <w:rPr>
          <w:rFonts w:hint="eastAsia" w:ascii="宋体" w:hAnsi="宋体" w:eastAsia="宋体" w:cs="宋体"/>
          <w:bCs/>
          <w:sz w:val="24"/>
          <w:highlight w:val="none"/>
          <w:lang w:val="en-US" w:eastAsia="zh-CN"/>
        </w:rPr>
        <w:t>超纯水机及循环供水系统</w:t>
      </w:r>
    </w:p>
    <w:p w14:paraId="5296A948">
      <w:pPr>
        <w:pStyle w:val="2"/>
        <w:numPr>
          <w:ilvl w:val="0"/>
          <w:numId w:val="1"/>
        </w:numPr>
        <w:rPr>
          <w:sz w:val="24"/>
          <w:szCs w:val="24"/>
          <w:highlight w:val="none"/>
        </w:rPr>
      </w:pPr>
      <w:r>
        <w:rPr>
          <w:rFonts w:hint="eastAsia"/>
          <w:sz w:val="24"/>
          <w:szCs w:val="24"/>
          <w:highlight w:val="none"/>
        </w:rPr>
        <w:t>采购方式：议价</w:t>
      </w:r>
    </w:p>
    <w:p w14:paraId="294256BA">
      <w:pPr>
        <w:numPr>
          <w:ilvl w:val="0"/>
          <w:numId w:val="1"/>
        </w:numPr>
        <w:adjustRightInd w:val="0"/>
        <w:snapToGrid w:val="0"/>
        <w:spacing w:line="360" w:lineRule="auto"/>
        <w:rPr>
          <w:rFonts w:ascii="宋体" w:hAnsi="宋体" w:eastAsia="宋体" w:cs="宋体"/>
          <w:sz w:val="24"/>
          <w:highlight w:val="none"/>
        </w:rPr>
      </w:pPr>
      <w:r>
        <w:rPr>
          <w:rFonts w:hint="eastAsia" w:ascii="宋体" w:hAnsi="宋体" w:eastAsia="宋体" w:cs="宋体"/>
          <w:bCs/>
          <w:sz w:val="24"/>
          <w:highlight w:val="none"/>
        </w:rPr>
        <w:t>预算金额</w:t>
      </w:r>
      <w:r>
        <w:rPr>
          <w:rFonts w:hint="eastAsia" w:ascii="宋体" w:hAnsi="宋体" w:eastAsia="宋体" w:cs="宋体"/>
          <w:sz w:val="24"/>
          <w:highlight w:val="none"/>
        </w:rPr>
        <w:t>：人民币</w:t>
      </w:r>
      <w:r>
        <w:rPr>
          <w:rFonts w:hint="eastAsia" w:ascii="宋体" w:hAnsi="宋体" w:eastAsia="宋体" w:cs="宋体"/>
          <w:sz w:val="24"/>
          <w:highlight w:val="none"/>
          <w:lang w:val="en-US" w:eastAsia="zh-CN"/>
        </w:rPr>
        <w:t>9.5万</w:t>
      </w:r>
      <w:r>
        <w:rPr>
          <w:rFonts w:hint="eastAsia" w:ascii="宋体" w:hAnsi="宋体" w:eastAsia="宋体" w:cs="宋体"/>
          <w:sz w:val="24"/>
          <w:highlight w:val="none"/>
        </w:rPr>
        <w:t>元</w:t>
      </w:r>
    </w:p>
    <w:p w14:paraId="25BD4542">
      <w:pPr>
        <w:numPr>
          <w:ilvl w:val="0"/>
          <w:numId w:val="1"/>
        </w:numPr>
        <w:tabs>
          <w:tab w:val="left" w:pos="567"/>
        </w:tabs>
        <w:adjustRightInd w:val="0"/>
        <w:snapToGrid w:val="0"/>
        <w:spacing w:line="360" w:lineRule="auto"/>
        <w:rPr>
          <w:sz w:val="24"/>
          <w:highlight w:val="none"/>
        </w:rPr>
      </w:pPr>
      <w:r>
        <w:rPr>
          <w:rFonts w:hint="eastAsia" w:ascii="宋体" w:hAnsi="宋体" w:eastAsia="宋体" w:cs="宋体"/>
          <w:bCs/>
          <w:sz w:val="24"/>
          <w:highlight w:val="none"/>
        </w:rPr>
        <w:t>采购需求：</w:t>
      </w:r>
    </w:p>
    <w:tbl>
      <w:tblPr>
        <w:tblStyle w:val="12"/>
        <w:tblpPr w:leftFromText="180" w:rightFromText="180" w:vertAnchor="text" w:horzAnchor="page" w:tblpX="1688" w:tblpY="67"/>
        <w:tblOverlap w:val="never"/>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1785"/>
        <w:gridCol w:w="2880"/>
        <w:gridCol w:w="2202"/>
      </w:tblGrid>
      <w:tr w14:paraId="7A5B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2237" w:type="dxa"/>
            <w:shd w:val="clear" w:color="auto" w:fill="EEECE1"/>
            <w:vAlign w:val="center"/>
          </w:tcPr>
          <w:p w14:paraId="2E461DCD">
            <w:pPr>
              <w:jc w:val="center"/>
              <w:rPr>
                <w:rFonts w:ascii="宋体" w:hAnsi="宋体" w:eastAsia="宋体" w:cs="宋体"/>
                <w:b/>
                <w:sz w:val="24"/>
                <w:highlight w:val="none"/>
              </w:rPr>
            </w:pPr>
            <w:r>
              <w:rPr>
                <w:rFonts w:hint="eastAsia" w:ascii="宋体" w:hAnsi="宋体" w:eastAsia="宋体" w:cs="宋体"/>
                <w:b/>
                <w:sz w:val="24"/>
                <w:highlight w:val="none"/>
              </w:rPr>
              <w:t>采购内容</w:t>
            </w:r>
          </w:p>
        </w:tc>
        <w:tc>
          <w:tcPr>
            <w:tcW w:w="1785" w:type="dxa"/>
            <w:shd w:val="clear" w:color="auto" w:fill="EEECE1"/>
            <w:vAlign w:val="center"/>
          </w:tcPr>
          <w:p w14:paraId="5682E5EB">
            <w:pPr>
              <w:jc w:val="center"/>
              <w:rPr>
                <w:rFonts w:ascii="宋体" w:hAnsi="宋体" w:eastAsia="宋体" w:cs="宋体"/>
                <w:b/>
                <w:sz w:val="24"/>
                <w:highlight w:val="none"/>
              </w:rPr>
            </w:pPr>
            <w:r>
              <w:rPr>
                <w:rFonts w:hint="eastAsia" w:ascii="宋体" w:hAnsi="宋体" w:eastAsia="宋体" w:cs="宋体"/>
                <w:b/>
                <w:sz w:val="24"/>
                <w:highlight w:val="none"/>
              </w:rPr>
              <w:t>数量</w:t>
            </w:r>
          </w:p>
        </w:tc>
        <w:tc>
          <w:tcPr>
            <w:tcW w:w="2880" w:type="dxa"/>
            <w:shd w:val="clear" w:color="auto" w:fill="EEECE1"/>
            <w:vAlign w:val="center"/>
          </w:tcPr>
          <w:p w14:paraId="794CFCE4">
            <w:pPr>
              <w:jc w:val="center"/>
              <w:rPr>
                <w:rFonts w:ascii="宋体" w:hAnsi="宋体" w:eastAsia="宋体" w:cs="宋体"/>
                <w:b/>
                <w:sz w:val="24"/>
                <w:highlight w:val="none"/>
              </w:rPr>
            </w:pPr>
            <w:r>
              <w:rPr>
                <w:rFonts w:hint="eastAsia" w:ascii="宋体" w:hAnsi="宋体" w:eastAsia="宋体" w:cs="宋体"/>
                <w:b/>
                <w:bCs/>
                <w:kern w:val="0"/>
                <w:sz w:val="24"/>
                <w:highlight w:val="none"/>
              </w:rPr>
              <w:t>简要技术需求</w:t>
            </w:r>
          </w:p>
        </w:tc>
        <w:tc>
          <w:tcPr>
            <w:tcW w:w="2202" w:type="dxa"/>
            <w:shd w:val="clear" w:color="auto" w:fill="EEECE1"/>
            <w:vAlign w:val="center"/>
          </w:tcPr>
          <w:p w14:paraId="175A1C41">
            <w:pPr>
              <w:jc w:val="center"/>
              <w:rPr>
                <w:rFonts w:hint="eastAsia" w:ascii="宋体" w:hAnsi="宋体" w:eastAsia="宋体" w:cs="宋体"/>
                <w:b/>
                <w:sz w:val="24"/>
                <w:highlight w:val="none"/>
                <w:lang w:eastAsia="zh-CN"/>
              </w:rPr>
            </w:pPr>
            <w:r>
              <w:rPr>
                <w:rFonts w:hint="eastAsia" w:ascii="宋体" w:hAnsi="宋体" w:eastAsia="宋体" w:cs="宋体"/>
                <w:b/>
                <w:bCs/>
                <w:kern w:val="0"/>
                <w:sz w:val="24"/>
                <w:highlight w:val="none"/>
              </w:rPr>
              <w:t>预算金额</w:t>
            </w:r>
            <w:r>
              <w:rPr>
                <w:rFonts w:hint="eastAsia" w:ascii="宋体" w:hAnsi="宋体" w:eastAsia="宋体" w:cs="宋体"/>
                <w:b/>
                <w:bCs/>
                <w:kern w:val="0"/>
                <w:sz w:val="24"/>
                <w:highlight w:val="none"/>
                <w:lang w:eastAsia="zh-CN"/>
              </w:rPr>
              <w:t>（</w:t>
            </w:r>
            <w:r>
              <w:rPr>
                <w:rFonts w:hint="eastAsia" w:ascii="宋体" w:hAnsi="宋体" w:eastAsia="宋体" w:cs="宋体"/>
                <w:b/>
                <w:bCs/>
                <w:kern w:val="0"/>
                <w:sz w:val="24"/>
                <w:highlight w:val="none"/>
                <w:lang w:val="en-US" w:eastAsia="zh-CN"/>
              </w:rPr>
              <w:t>万元</w:t>
            </w:r>
            <w:r>
              <w:rPr>
                <w:rFonts w:hint="eastAsia" w:ascii="宋体" w:hAnsi="宋体" w:eastAsia="宋体" w:cs="宋体"/>
                <w:b/>
                <w:bCs/>
                <w:kern w:val="0"/>
                <w:sz w:val="24"/>
                <w:highlight w:val="none"/>
                <w:lang w:eastAsia="zh-CN"/>
              </w:rPr>
              <w:t>）</w:t>
            </w:r>
          </w:p>
        </w:tc>
      </w:tr>
      <w:tr w14:paraId="06EE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2237" w:type="dxa"/>
            <w:vAlign w:val="center"/>
          </w:tcPr>
          <w:p w14:paraId="17966D05">
            <w:pPr>
              <w:jc w:val="center"/>
              <w:rPr>
                <w:rFonts w:hint="eastAsia" w:ascii="宋体" w:hAnsi="宋体" w:eastAsia="宋体"/>
                <w:sz w:val="24"/>
                <w:highlight w:val="none"/>
                <w:lang w:eastAsia="zh-CN"/>
              </w:rPr>
            </w:pPr>
            <w:r>
              <w:rPr>
                <w:rFonts w:hint="eastAsia" w:ascii="宋体" w:hAnsi="宋体" w:eastAsia="宋体" w:cs="宋体"/>
                <w:bCs/>
                <w:sz w:val="24"/>
                <w:highlight w:val="none"/>
                <w:lang w:val="en-US" w:eastAsia="zh-CN"/>
              </w:rPr>
              <w:t>超纯水机及循环供水系统</w:t>
            </w:r>
          </w:p>
        </w:tc>
        <w:tc>
          <w:tcPr>
            <w:tcW w:w="1785" w:type="dxa"/>
            <w:vAlign w:val="center"/>
          </w:tcPr>
          <w:p w14:paraId="3985C546">
            <w:pPr>
              <w:jc w:val="center"/>
              <w:rPr>
                <w:rFonts w:hint="default"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1套</w:t>
            </w:r>
          </w:p>
        </w:tc>
        <w:tc>
          <w:tcPr>
            <w:tcW w:w="2880" w:type="dxa"/>
            <w:vAlign w:val="center"/>
          </w:tcPr>
          <w:p w14:paraId="573792E6">
            <w:pPr>
              <w:keepNext w:val="0"/>
              <w:keepLines w:val="0"/>
              <w:widowControl/>
              <w:suppressLineNumbers w:val="0"/>
              <w:jc w:val="left"/>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1超纯水机：产水量</w:t>
            </w:r>
            <w:r>
              <w:rPr>
                <w:rFonts w:hint="default" w:ascii="Times New Roman" w:hAnsi="Times New Roman" w:eastAsia="宋体" w:cs="Times New Roman"/>
                <w:color w:val="000000"/>
                <w:kern w:val="0"/>
                <w:sz w:val="24"/>
                <w:szCs w:val="24"/>
                <w:lang w:val="en-US" w:eastAsia="zh-CN" w:bidi="ar"/>
              </w:rPr>
              <w:t>1000L/</w:t>
            </w:r>
            <w:r>
              <w:rPr>
                <w:rFonts w:hint="eastAsia" w:ascii="Times New Roman" w:hAnsi="Times New Roman" w:eastAsia="宋体" w:cs="Times New Roman"/>
                <w:color w:val="000000"/>
                <w:kern w:val="0"/>
                <w:sz w:val="24"/>
                <w:szCs w:val="24"/>
                <w:lang w:val="en-US" w:eastAsia="zh-CN" w:bidi="ar"/>
              </w:rPr>
              <w:t>H</w:t>
            </w:r>
            <w:r>
              <w:rPr>
                <w:rFonts w:hint="eastAsia" w:ascii="宋体" w:hAnsi="宋体" w:eastAsia="宋体" w:cs="宋体"/>
                <w:bCs/>
                <w:sz w:val="24"/>
                <w:highlight w:val="none"/>
                <w:lang w:val="en-US" w:eastAsia="zh-CN"/>
              </w:rPr>
              <w:t xml:space="preserve"> ；</w:t>
            </w:r>
            <w:r>
              <w:rPr>
                <w:rFonts w:hint="default" w:ascii="宋体" w:hAnsi="宋体" w:eastAsia="宋体" w:cs="宋体"/>
                <w:bCs/>
                <w:sz w:val="24"/>
                <w:highlight w:val="none"/>
                <w:lang w:val="en-US" w:eastAsia="zh-CN"/>
              </w:rPr>
              <w:t xml:space="preserve">RO </w:t>
            </w:r>
            <w:r>
              <w:rPr>
                <w:rFonts w:hint="eastAsia" w:ascii="宋体" w:hAnsi="宋体" w:eastAsia="宋体" w:cs="宋体"/>
                <w:bCs/>
                <w:sz w:val="24"/>
                <w:highlight w:val="none"/>
                <w:lang w:val="en-US" w:eastAsia="zh-CN"/>
              </w:rPr>
              <w:t>电 导 ≤ 10us/cm；超纯水电阻≥ 15MΩ.cm；细菌内毒素去除率≥99%；</w:t>
            </w:r>
            <w:r>
              <w:rPr>
                <w:rFonts w:hint="default" w:ascii="宋体" w:hAnsi="宋体" w:eastAsia="宋体" w:cs="宋体"/>
                <w:bCs/>
                <w:sz w:val="24"/>
                <w:highlight w:val="none"/>
                <w:lang w:val="en-US" w:eastAsia="zh-CN"/>
              </w:rPr>
              <w:t>PLC+</w:t>
            </w:r>
            <w:r>
              <w:rPr>
                <w:rFonts w:hint="eastAsia" w:ascii="宋体" w:hAnsi="宋体" w:eastAsia="宋体" w:cs="宋体"/>
                <w:bCs/>
                <w:sz w:val="24"/>
                <w:highlight w:val="none"/>
                <w:lang w:val="en-US" w:eastAsia="zh-CN"/>
              </w:rPr>
              <w:t xml:space="preserve">智 </w:t>
            </w:r>
          </w:p>
          <w:p w14:paraId="75F13F52">
            <w:pPr>
              <w:jc w:val="left"/>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 xml:space="preserve">能显示屏控制；系统回 </w:t>
            </w:r>
          </w:p>
          <w:p w14:paraId="38DB5939">
            <w:pPr>
              <w:jc w:val="left"/>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收率 50-75% （可调）</w:t>
            </w:r>
          </w:p>
          <w:p w14:paraId="3659D9B4">
            <w:pPr>
              <w:keepNext w:val="0"/>
              <w:keepLines w:val="0"/>
              <w:widowControl/>
              <w:suppressLineNumbers w:val="0"/>
              <w:jc w:val="left"/>
            </w:pPr>
            <w:r>
              <w:rPr>
                <w:rFonts w:hint="eastAsia" w:ascii="宋体" w:hAnsi="宋体" w:eastAsia="宋体" w:cs="宋体"/>
                <w:bCs/>
                <w:sz w:val="24"/>
                <w:highlight w:val="none"/>
                <w:lang w:val="en-US" w:eastAsia="zh-CN"/>
              </w:rPr>
              <w:t>2循环供水系统：</w:t>
            </w:r>
            <w:r>
              <w:rPr>
                <w:rFonts w:hint="default" w:ascii="Times New Roman" w:hAnsi="Times New Roman" w:eastAsia="宋体" w:cs="Times New Roman"/>
                <w:color w:val="000000"/>
                <w:kern w:val="0"/>
                <w:sz w:val="24"/>
                <w:szCs w:val="24"/>
                <w:lang w:val="en-US" w:eastAsia="zh-CN" w:bidi="ar"/>
              </w:rPr>
              <w:t>500L</w:t>
            </w:r>
          </w:p>
          <w:p w14:paraId="4857128E">
            <w:pPr>
              <w:jc w:val="left"/>
              <w:rPr>
                <w:rFonts w:hint="eastAsia" w:ascii="宋体" w:hAnsi="宋体" w:eastAsia="宋体" w:cs="宋体"/>
                <w:spacing w:val="0"/>
                <w:kern w:val="2"/>
                <w:szCs w:val="24"/>
                <w:highlight w:val="none"/>
              </w:rPr>
            </w:pPr>
            <w:r>
              <w:rPr>
                <w:rFonts w:hint="default" w:ascii="宋体" w:hAnsi="宋体" w:eastAsia="宋体" w:cs="宋体"/>
                <w:bCs/>
                <w:sz w:val="24"/>
                <w:highlight w:val="none"/>
                <w:lang w:val="en-US" w:eastAsia="zh-CN"/>
              </w:rPr>
              <w:t xml:space="preserve">304 </w:t>
            </w:r>
            <w:r>
              <w:rPr>
                <w:rFonts w:hint="eastAsia" w:ascii="宋体" w:hAnsi="宋体" w:eastAsia="宋体" w:cs="宋体"/>
                <w:bCs/>
                <w:sz w:val="24"/>
                <w:highlight w:val="none"/>
                <w:lang w:val="en-US" w:eastAsia="zh-CN"/>
              </w:rPr>
              <w:t xml:space="preserve">不锈钢材质圆形无菌水箱，全密封，配 </w:t>
            </w:r>
            <w:r>
              <w:rPr>
                <w:rFonts w:hint="default" w:ascii="宋体" w:hAnsi="宋体" w:eastAsia="宋体" w:cs="宋体"/>
                <w:bCs/>
                <w:sz w:val="24"/>
                <w:highlight w:val="none"/>
                <w:lang w:val="en-US" w:eastAsia="zh-CN"/>
              </w:rPr>
              <w:t>0.22</w:t>
            </w:r>
            <w:r>
              <w:rPr>
                <w:rFonts w:hint="eastAsia" w:ascii="宋体" w:hAnsi="宋体" w:eastAsia="宋体" w:cs="宋体"/>
                <w:bCs/>
                <w:sz w:val="24"/>
                <w:highlight w:val="none"/>
                <w:lang w:val="en-US" w:eastAsia="zh-CN"/>
              </w:rPr>
              <w:t>微米空气过滤器，三段位液位控制；</w:t>
            </w:r>
            <w:r>
              <w:rPr>
                <w:rFonts w:hint="default" w:ascii="宋体" w:hAnsi="宋体" w:eastAsia="宋体" w:cs="宋体"/>
                <w:bCs/>
                <w:sz w:val="24"/>
                <w:highlight w:val="none"/>
                <w:lang w:val="en-US" w:eastAsia="zh-CN"/>
              </w:rPr>
              <w:t xml:space="preserve">304 </w:t>
            </w:r>
            <w:r>
              <w:rPr>
                <w:rFonts w:hint="eastAsia" w:ascii="宋体" w:hAnsi="宋体" w:eastAsia="宋体" w:cs="宋体"/>
                <w:bCs/>
                <w:sz w:val="24"/>
                <w:highlight w:val="none"/>
                <w:lang w:val="en-US" w:eastAsia="zh-CN"/>
              </w:rPr>
              <w:t>不锈钢卧式轻型离心泵，配压力缓冲气囊及压力传感器，具备缺水停机保护功能。</w:t>
            </w:r>
          </w:p>
        </w:tc>
        <w:tc>
          <w:tcPr>
            <w:tcW w:w="2202" w:type="dxa"/>
            <w:vAlign w:val="center"/>
          </w:tcPr>
          <w:p w14:paraId="4F0AAF83">
            <w:pPr>
              <w:pStyle w:val="18"/>
              <w:spacing w:line="240" w:lineRule="auto"/>
              <w:ind w:firstLine="120"/>
              <w:rPr>
                <w:rFonts w:hint="eastAsia" w:ascii="宋体" w:hAnsi="宋体" w:eastAsia="宋体" w:cs="宋体"/>
                <w:snapToGrid/>
                <w:spacing w:val="0"/>
                <w:kern w:val="2"/>
                <w:szCs w:val="24"/>
                <w:highlight w:val="none"/>
                <w:lang w:val="en-US" w:eastAsia="zh-CN"/>
              </w:rPr>
            </w:pPr>
            <w:r>
              <w:rPr>
                <w:rFonts w:hint="eastAsia" w:ascii="宋体" w:hAnsi="宋体" w:eastAsia="宋体" w:cs="宋体"/>
                <w:sz w:val="24"/>
                <w:highlight w:val="none"/>
                <w:lang w:val="en-US" w:eastAsia="zh-CN"/>
              </w:rPr>
              <w:t>9.5</w:t>
            </w:r>
            <w:bookmarkStart w:id="6" w:name="_GoBack"/>
            <w:bookmarkEnd w:id="6"/>
          </w:p>
        </w:tc>
      </w:tr>
    </w:tbl>
    <w:p w14:paraId="2C132620">
      <w:pPr>
        <w:numPr>
          <w:ilvl w:val="0"/>
          <w:numId w:val="1"/>
        </w:numPr>
        <w:tabs>
          <w:tab w:val="left" w:pos="567"/>
        </w:tabs>
        <w:adjustRightInd w:val="0"/>
        <w:snapToGrid w:val="0"/>
        <w:spacing w:line="360" w:lineRule="auto"/>
        <w:rPr>
          <w:rFonts w:ascii="宋体" w:hAnsi="宋体" w:eastAsia="宋体" w:cs="宋体"/>
          <w:bCs/>
          <w:sz w:val="24"/>
          <w:highlight w:val="none"/>
        </w:rPr>
      </w:pPr>
      <w:r>
        <w:rPr>
          <w:rFonts w:hint="eastAsia" w:ascii="宋体" w:hAnsi="宋体" w:eastAsia="宋体" w:cs="宋体"/>
          <w:bCs/>
          <w:sz w:val="24"/>
          <w:highlight w:val="none"/>
        </w:rPr>
        <w:t>合同履行期限：</w:t>
      </w:r>
      <w:bookmarkStart w:id="0" w:name="_Hlk83826489"/>
      <w:r>
        <w:rPr>
          <w:rFonts w:hint="eastAsia" w:ascii="宋体" w:hAnsi="宋体" w:eastAsia="宋体" w:cs="宋体"/>
          <w:bCs/>
          <w:sz w:val="24"/>
          <w:highlight w:val="none"/>
          <w:lang w:val="en-US" w:eastAsia="zh-CN"/>
        </w:rPr>
        <w:t>接至通知后15日内日内到货</w:t>
      </w:r>
      <w:r>
        <w:rPr>
          <w:rFonts w:hint="eastAsia" w:ascii="宋体" w:hAnsi="宋体" w:eastAsia="宋体" w:cs="宋体"/>
          <w:bCs/>
          <w:sz w:val="24"/>
          <w:highlight w:val="none"/>
        </w:rPr>
        <w:t>。</w:t>
      </w:r>
      <w:bookmarkEnd w:id="0"/>
    </w:p>
    <w:p w14:paraId="303F7ABD">
      <w:pPr>
        <w:widowControl/>
        <w:numPr>
          <w:ilvl w:val="0"/>
          <w:numId w:val="2"/>
        </w:numPr>
        <w:spacing w:before="100" w:beforeAutospacing="1" w:after="100" w:afterAutospacing="1" w:line="360" w:lineRule="auto"/>
        <w:ind w:left="420" w:left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shd w:val="clear" w:color="auto" w:fill="FFFFFF"/>
        </w:rPr>
        <w:t>投标人资格要求</w:t>
      </w:r>
    </w:p>
    <w:p w14:paraId="29DDDE68">
      <w:pPr>
        <w:numPr>
          <w:ilvl w:val="0"/>
          <w:numId w:val="3"/>
        </w:numPr>
        <w:tabs>
          <w:tab w:val="left" w:pos="567"/>
        </w:tabs>
        <w:adjustRightInd w:val="0"/>
        <w:snapToGrid w:val="0"/>
        <w:spacing w:line="360" w:lineRule="auto"/>
        <w:rPr>
          <w:rFonts w:ascii="Times New Roman" w:hAnsi="Times New Roman" w:eastAsia="仿宋_GB2312" w:cs="Times New Roman"/>
          <w:sz w:val="44"/>
          <w:szCs w:val="44"/>
          <w:highlight w:val="none"/>
        </w:rPr>
      </w:pPr>
      <w:r>
        <w:rPr>
          <w:rFonts w:hint="eastAsia" w:ascii="宋体" w:hAnsi="宋体" w:eastAsia="宋体" w:cs="宋体"/>
          <w:sz w:val="24"/>
          <w:highlight w:val="none"/>
        </w:rPr>
        <w:t>投标人须是在中华人民共和国境内注册的有合法经营资格的国内独立法人，并具有相关经营范围（提供合法有效的营业执照原件扫描件，原件备查）。</w:t>
      </w:r>
    </w:p>
    <w:p w14:paraId="35C14407">
      <w:pPr>
        <w:numPr>
          <w:ilvl w:val="0"/>
          <w:numId w:val="3"/>
        </w:numPr>
        <w:tabs>
          <w:tab w:val="left" w:pos="567"/>
        </w:tabs>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特殊资质要求：</w:t>
      </w:r>
      <w:r>
        <w:rPr>
          <w:rFonts w:hint="eastAsia" w:ascii="宋体" w:hAnsi="宋体" w:eastAsia="宋体" w:cs="宋体"/>
          <w:sz w:val="24"/>
          <w:highlight w:val="none"/>
          <w:lang w:eastAsia="zh-CN"/>
        </w:rPr>
        <w:t>无</w:t>
      </w:r>
    </w:p>
    <w:p w14:paraId="27ECB25E">
      <w:pPr>
        <w:pStyle w:val="2"/>
        <w:rPr>
          <w:rFonts w:hint="eastAsia"/>
          <w:highlight w:val="none"/>
        </w:rPr>
      </w:pPr>
    </w:p>
    <w:p w14:paraId="1ABD3A64">
      <w:pPr>
        <w:spacing w:line="540" w:lineRule="exact"/>
        <w:ind w:firstLine="320" w:firstLineChars="100"/>
        <w:jc w:val="center"/>
        <w:rPr>
          <w:rFonts w:hint="eastAsia" w:asciiTheme="majorEastAsia" w:hAnsiTheme="majorEastAsia" w:eastAsiaTheme="majorEastAsia" w:cstheme="majorEastAsia"/>
          <w:sz w:val="32"/>
          <w:szCs w:val="32"/>
          <w:highlight w:val="none"/>
        </w:rPr>
      </w:pPr>
      <w:r>
        <w:rPr>
          <w:rFonts w:hint="eastAsia" w:asciiTheme="majorEastAsia" w:hAnsiTheme="majorEastAsia" w:eastAsiaTheme="majorEastAsia" w:cstheme="majorEastAsia"/>
          <w:sz w:val="32"/>
          <w:szCs w:val="32"/>
          <w:highlight w:val="none"/>
        </w:rPr>
        <w:t>第二部分 采购项目需求</w:t>
      </w:r>
    </w:p>
    <w:p w14:paraId="30A3DC90">
      <w:pPr>
        <w:pStyle w:val="2"/>
        <w:rPr>
          <w:highlight w:val="none"/>
        </w:rPr>
      </w:pPr>
    </w:p>
    <w:p w14:paraId="37ED0452">
      <w:pPr>
        <w:spacing w:line="360" w:lineRule="auto"/>
        <w:ind w:firstLine="562" w:firstLineChars="200"/>
        <w:rPr>
          <w:rFonts w:ascii="宋体" w:hAnsi="宋体" w:eastAsia="宋体" w:cs="宋体"/>
          <w:b/>
          <w:bCs/>
          <w:sz w:val="28"/>
          <w:szCs w:val="28"/>
          <w:highlight w:val="none"/>
        </w:rPr>
      </w:pPr>
      <w:r>
        <w:rPr>
          <w:rFonts w:hint="eastAsia" w:ascii="宋体" w:hAnsi="宋体" w:eastAsia="宋体" w:cs="宋体"/>
          <w:b/>
          <w:bCs/>
          <w:sz w:val="28"/>
          <w:szCs w:val="28"/>
          <w:highlight w:val="none"/>
        </w:rPr>
        <w:t>一、服务需求</w:t>
      </w:r>
    </w:p>
    <w:p w14:paraId="33B9FA0B">
      <w:pPr>
        <w:spacing w:line="400" w:lineRule="exact"/>
        <w:rPr>
          <w:rFonts w:ascii="宋体" w:hAnsi="宋体" w:eastAsia="宋体" w:cs="宋体"/>
          <w:b/>
          <w:bCs/>
          <w:sz w:val="24"/>
          <w:highlight w:val="none"/>
        </w:rPr>
      </w:pPr>
      <w:r>
        <w:rPr>
          <w:rFonts w:hint="eastAsia" w:ascii="宋体" w:hAnsi="宋体" w:eastAsia="宋体" w:cs="宋体"/>
          <w:b/>
          <w:sz w:val="24"/>
          <w:highlight w:val="none"/>
        </w:rPr>
        <w:t xml:space="preserve">   </w:t>
      </w:r>
      <w:r>
        <w:rPr>
          <w:rFonts w:hint="eastAsia" w:ascii="宋体" w:hAnsi="宋体" w:eastAsia="宋体" w:cs="宋体"/>
          <w:b/>
          <w:bCs/>
          <w:sz w:val="24"/>
          <w:highlight w:val="none"/>
        </w:rPr>
        <w:t>（一）项目背景</w:t>
      </w:r>
    </w:p>
    <w:p w14:paraId="2F4AAD6B">
      <w:pPr>
        <w:keepNext w:val="0"/>
        <w:keepLines w:val="0"/>
        <w:widowControl/>
        <w:suppressLineNumbers w:val="0"/>
        <w:ind w:firstLine="720" w:firstLineChars="300"/>
        <w:jc w:val="left"/>
        <w:rPr>
          <w:rFonts w:hint="eastAsia" w:ascii="宋体" w:hAnsi="宋体" w:eastAsia="宋体" w:cs="宋体"/>
          <w:b/>
          <w:sz w:val="24"/>
          <w:highlight w:val="none"/>
        </w:rPr>
      </w:pPr>
      <w:r>
        <w:rPr>
          <w:rFonts w:hint="eastAsia" w:ascii="宋体" w:hAnsi="宋体" w:eastAsia="宋体" w:cs="宋体"/>
          <w:color w:val="000000"/>
          <w:kern w:val="0"/>
          <w:sz w:val="24"/>
          <w:szCs w:val="24"/>
          <w:lang w:val="en-US" w:eastAsia="zh-CN" w:bidi="ar"/>
        </w:rPr>
        <w:t>由于医院床位及就诊量不断升高，检验科标本量及用水设备也随之增加，原纯水机（产水量</w:t>
      </w:r>
      <w:r>
        <w:rPr>
          <w:rFonts w:hint="default" w:ascii="Times New Roman" w:hAnsi="Times New Roman" w:eastAsia="宋体" w:cs="Times New Roman"/>
          <w:color w:val="000000"/>
          <w:kern w:val="0"/>
          <w:sz w:val="24"/>
          <w:szCs w:val="24"/>
          <w:lang w:val="en-US" w:eastAsia="zh-CN" w:bidi="ar"/>
        </w:rPr>
        <w:t>500L/H</w:t>
      </w:r>
      <w:r>
        <w:rPr>
          <w:rFonts w:hint="eastAsia" w:ascii="宋体" w:hAnsi="宋体" w:eastAsia="宋体" w:cs="宋体"/>
          <w:color w:val="000000"/>
          <w:kern w:val="0"/>
          <w:sz w:val="24"/>
          <w:szCs w:val="24"/>
          <w:lang w:val="en-US" w:eastAsia="zh-CN" w:bidi="ar"/>
        </w:rPr>
        <w:t xml:space="preserve">），已将要达到满负荷状态，目前科室高峰期用水量为 </w:t>
      </w:r>
      <w:r>
        <w:rPr>
          <w:rFonts w:hint="default" w:ascii="Times New Roman" w:hAnsi="Times New Roman" w:eastAsia="宋体" w:cs="Times New Roman"/>
          <w:color w:val="000000"/>
          <w:kern w:val="0"/>
          <w:sz w:val="24"/>
          <w:szCs w:val="24"/>
          <w:lang w:val="en-US" w:eastAsia="zh-CN" w:bidi="ar"/>
        </w:rPr>
        <w:t>440</w:t>
      </w:r>
      <w:r>
        <w:rPr>
          <w:rFonts w:hint="eastAsia" w:ascii="Times New Roman" w:hAnsi="Times New Roman" w:eastAsia="宋体" w:cs="Times New Roman"/>
          <w:color w:val="000000"/>
          <w:kern w:val="0"/>
          <w:sz w:val="24"/>
          <w:szCs w:val="24"/>
          <w:lang w:val="en-US" w:eastAsia="zh-CN" w:bidi="ar"/>
        </w:rPr>
        <w:t>-460</w:t>
      </w:r>
      <w:r>
        <w:rPr>
          <w:rFonts w:hint="default" w:ascii="Times New Roman" w:hAnsi="Times New Roman" w:eastAsia="宋体" w:cs="Times New Roman"/>
          <w:color w:val="000000"/>
          <w:kern w:val="0"/>
          <w:sz w:val="24"/>
          <w:szCs w:val="24"/>
          <w:lang w:val="en-US" w:eastAsia="zh-CN" w:bidi="ar"/>
        </w:rPr>
        <w:t>L/H</w:t>
      </w:r>
      <w:r>
        <w:rPr>
          <w:rFonts w:hint="eastAsia" w:ascii="宋体" w:hAnsi="宋体" w:eastAsia="宋体" w:cs="宋体"/>
          <w:color w:val="000000"/>
          <w:kern w:val="0"/>
          <w:sz w:val="24"/>
          <w:szCs w:val="24"/>
          <w:lang w:val="en-US" w:eastAsia="zh-CN" w:bidi="ar"/>
        </w:rPr>
        <w:t>，已无安全余量应对设备故障或用水量增加带来的风险，为保障安全用水，增加</w:t>
      </w:r>
      <w:r>
        <w:rPr>
          <w:rFonts w:hint="eastAsia" w:ascii="宋体" w:hAnsi="宋体" w:eastAsia="宋体" w:cs="宋体"/>
          <w:bCs/>
          <w:sz w:val="24"/>
          <w:highlight w:val="none"/>
          <w:lang w:val="en-US" w:eastAsia="zh-CN"/>
        </w:rPr>
        <w:t>超纯水机及循环供水系统1套</w:t>
      </w:r>
      <w:r>
        <w:rPr>
          <w:rFonts w:hint="eastAsia" w:ascii="宋体" w:hAnsi="宋体" w:eastAsia="宋体" w:cs="宋体"/>
          <w:color w:val="000000"/>
          <w:kern w:val="0"/>
          <w:sz w:val="24"/>
          <w:szCs w:val="24"/>
          <w:lang w:val="en-US" w:eastAsia="zh-CN" w:bidi="ar"/>
        </w:rPr>
        <w:t>。</w:t>
      </w:r>
    </w:p>
    <w:p w14:paraId="6E182959">
      <w:pPr>
        <w:numPr>
          <w:ilvl w:val="0"/>
          <w:numId w:val="4"/>
        </w:numPr>
        <w:spacing w:line="400" w:lineRule="exact"/>
        <w:ind w:firstLine="562" w:firstLineChars="200"/>
        <w:rPr>
          <w:rFonts w:ascii="宋体" w:hAnsi="宋体" w:eastAsia="宋体" w:cs="宋体"/>
          <w:b/>
          <w:sz w:val="24"/>
          <w:highlight w:val="none"/>
        </w:rPr>
      </w:pPr>
      <w:r>
        <w:rPr>
          <w:rFonts w:hint="eastAsia" w:asciiTheme="minorEastAsia" w:hAnsiTheme="minorEastAsia" w:eastAsiaTheme="minorEastAsia" w:cstheme="minorEastAsia"/>
          <w:b/>
          <w:bCs/>
          <w:sz w:val="28"/>
          <w:szCs w:val="28"/>
          <w:highlight w:val="none"/>
        </w:rPr>
        <w:t>★</w:t>
      </w:r>
      <w:r>
        <w:rPr>
          <w:rFonts w:hint="eastAsia" w:ascii="宋体" w:hAnsi="宋体" w:eastAsia="宋体" w:cs="宋体"/>
          <w:b/>
          <w:sz w:val="24"/>
          <w:highlight w:val="none"/>
        </w:rPr>
        <w:t>服务要求</w:t>
      </w:r>
    </w:p>
    <w:p w14:paraId="1653FA08">
      <w:pPr>
        <w:keepNext w:val="0"/>
        <w:keepLines w:val="0"/>
        <w:widowControl/>
        <w:suppressLineNumbers w:val="0"/>
        <w:ind w:firstLine="720" w:firstLineChars="3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1.新设备需与原设备管路连通，其中一台有故障时，可随时切换供水。不供水时处于待机水路循环模式。</w:t>
      </w:r>
    </w:p>
    <w:p w14:paraId="65A84031">
      <w:pPr>
        <w:keepNext w:val="0"/>
        <w:keepLines w:val="0"/>
        <w:widowControl/>
        <w:suppressLineNumbers w:val="0"/>
        <w:ind w:firstLine="720" w:firstLineChars="3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2.产品水质标准需满足GB/T6682-2008中国国家实验室二级用水标准</w:t>
      </w:r>
    </w:p>
    <w:p w14:paraId="2F1F0899">
      <w:pPr>
        <w:pStyle w:val="2"/>
        <w:numPr>
          <w:ilvl w:val="0"/>
          <w:numId w:val="0"/>
        </w:numPr>
        <w:ind w:firstLine="720" w:firstLineChars="300"/>
        <w:rPr>
          <w:rFonts w:hint="default"/>
          <w:lang w:val="en-US" w:eastAsia="zh-CN"/>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b w:val="0"/>
          <w:bCs/>
          <w:sz w:val="24"/>
          <w:highlight w:val="none"/>
          <w:lang w:val="en-US" w:eastAsia="zh-CN"/>
        </w:rPr>
        <w:t>项目安装涉及与原有设备对接切换建议参与</w:t>
      </w:r>
      <w:r>
        <w:rPr>
          <w:rFonts w:ascii="宋体" w:hAnsi="宋体" w:eastAsia="宋体" w:cs="宋体"/>
          <w:b w:val="0"/>
          <w:bCs/>
          <w:sz w:val="24"/>
          <w:highlight w:val="none"/>
        </w:rPr>
        <w:t>报价供应商自行现场踏勘</w:t>
      </w:r>
      <w:r>
        <w:rPr>
          <w:rFonts w:hint="eastAsia" w:ascii="宋体" w:hAnsi="宋体" w:eastAsia="宋体" w:cs="宋体"/>
          <w:b w:val="0"/>
          <w:bCs/>
          <w:sz w:val="24"/>
          <w:highlight w:val="none"/>
          <w:lang w:eastAsia="zh-CN"/>
        </w:rPr>
        <w:t>，</w:t>
      </w:r>
      <w:r>
        <w:rPr>
          <w:rFonts w:hint="eastAsia" w:ascii="Times New Roman" w:hAnsi="Times New Roman" w:cs="Times New Roman" w:eastAsiaTheme="minorEastAsia"/>
          <w:kern w:val="0"/>
          <w:sz w:val="24"/>
          <w:szCs w:val="22"/>
          <w:lang w:val="en-US" w:eastAsia="zh-CN" w:bidi="ar-SA"/>
        </w:rPr>
        <w:t>现场</w:t>
      </w:r>
      <w:r>
        <w:rPr>
          <w:rFonts w:ascii="宋体" w:hAnsi="宋体" w:eastAsia="宋体" w:cs="宋体"/>
          <w:b w:val="0"/>
          <w:bCs/>
          <w:sz w:val="24"/>
          <w:highlight w:val="none"/>
        </w:rPr>
        <w:t>踏勘</w:t>
      </w:r>
      <w:r>
        <w:rPr>
          <w:rFonts w:hint="eastAsia" w:ascii="Times New Roman" w:hAnsi="Times New Roman" w:cs="Times New Roman" w:eastAsiaTheme="minorEastAsia"/>
          <w:kern w:val="0"/>
          <w:sz w:val="24"/>
          <w:szCs w:val="22"/>
          <w:lang w:val="en-US" w:eastAsia="zh-CN" w:bidi="ar-SA"/>
        </w:rPr>
        <w:t>时间为2026年</w:t>
      </w:r>
      <w:r>
        <w:rPr>
          <w:rFonts w:hint="eastAsia" w:ascii="Times New Roman" w:hAnsi="Times New Roman" w:cs="Times New Roman"/>
          <w:kern w:val="0"/>
          <w:sz w:val="24"/>
          <w:szCs w:val="22"/>
          <w:lang w:val="en-US" w:eastAsia="zh-CN" w:bidi="ar-SA"/>
        </w:rPr>
        <w:t>8</w:t>
      </w:r>
      <w:r>
        <w:rPr>
          <w:rFonts w:hint="eastAsia" w:ascii="Times New Roman" w:hAnsi="Times New Roman" w:cs="Times New Roman" w:eastAsiaTheme="minorEastAsia"/>
          <w:kern w:val="0"/>
          <w:sz w:val="24"/>
          <w:szCs w:val="22"/>
          <w:lang w:val="en-US" w:eastAsia="zh-CN" w:bidi="ar-SA"/>
        </w:rPr>
        <w:t>月</w:t>
      </w:r>
      <w:r>
        <w:rPr>
          <w:rFonts w:hint="eastAsia" w:ascii="Times New Roman" w:hAnsi="Times New Roman" w:cs="Times New Roman"/>
          <w:kern w:val="0"/>
          <w:sz w:val="24"/>
          <w:szCs w:val="22"/>
          <w:lang w:val="en-US" w:eastAsia="zh-CN" w:bidi="ar-SA"/>
        </w:rPr>
        <w:t>10</w:t>
      </w:r>
      <w:r>
        <w:rPr>
          <w:rFonts w:hint="eastAsia" w:ascii="Times New Roman" w:hAnsi="Times New Roman" w:cs="Times New Roman" w:eastAsiaTheme="minorEastAsia"/>
          <w:kern w:val="0"/>
          <w:sz w:val="24"/>
          <w:szCs w:val="22"/>
          <w:lang w:val="en-US" w:eastAsia="zh-CN" w:bidi="ar-SA"/>
        </w:rPr>
        <w:t>日</w:t>
      </w:r>
      <w:r>
        <w:rPr>
          <w:rFonts w:hint="eastAsia" w:ascii="Times New Roman" w:hAnsi="Times New Roman" w:cs="Times New Roman"/>
          <w:kern w:val="0"/>
          <w:sz w:val="24"/>
          <w:szCs w:val="22"/>
          <w:lang w:val="en-US" w:eastAsia="zh-CN" w:bidi="ar-SA"/>
        </w:rPr>
        <w:t>下午15:00</w:t>
      </w:r>
      <w:r>
        <w:rPr>
          <w:rFonts w:hint="eastAsia" w:ascii="Times New Roman" w:hAnsi="Times New Roman" w:cs="Times New Roman" w:eastAsiaTheme="minorEastAsia"/>
          <w:kern w:val="0"/>
          <w:sz w:val="24"/>
          <w:szCs w:val="22"/>
          <w:lang w:val="en-US" w:eastAsia="zh-CN" w:bidi="ar-SA"/>
        </w:rPr>
        <w:t>，联系人:总务科：</w:t>
      </w:r>
      <w:r>
        <w:rPr>
          <w:rFonts w:hint="eastAsia" w:ascii="Times New Roman" w:hAnsi="Times New Roman" w:cs="Times New Roman"/>
          <w:kern w:val="0"/>
          <w:sz w:val="24"/>
          <w:szCs w:val="22"/>
          <w:lang w:val="en-US" w:eastAsia="zh-CN" w:bidi="ar-SA"/>
        </w:rPr>
        <w:t>廖</w:t>
      </w:r>
      <w:r>
        <w:rPr>
          <w:rFonts w:hint="eastAsia" w:ascii="Times New Roman" w:hAnsi="Times New Roman" w:cs="Times New Roman" w:eastAsiaTheme="minorEastAsia"/>
          <w:kern w:val="0"/>
          <w:sz w:val="24"/>
          <w:szCs w:val="22"/>
          <w:lang w:val="en-US" w:eastAsia="zh-CN" w:bidi="ar-SA"/>
        </w:rPr>
        <w:t>工，联系电话：</w:t>
      </w:r>
      <w:r>
        <w:rPr>
          <w:rFonts w:hint="eastAsia" w:ascii="Times New Roman" w:hAnsi="Times New Roman" w:cs="Times New Roman"/>
          <w:kern w:val="0"/>
          <w:sz w:val="24"/>
          <w:szCs w:val="22"/>
          <w:lang w:val="en-US" w:eastAsia="zh-CN" w:bidi="ar-SA"/>
        </w:rPr>
        <w:t>13632651871</w:t>
      </w:r>
      <w:r>
        <w:rPr>
          <w:rFonts w:hint="eastAsia" w:cs="Times New Roman" w:eastAsiaTheme="minorEastAsia"/>
          <w:kern w:val="0"/>
          <w:sz w:val="24"/>
          <w:szCs w:val="22"/>
          <w:lang w:val="en-US" w:eastAsia="zh-CN" w:bidi="ar-SA"/>
        </w:rPr>
        <w:t>；</w:t>
      </w:r>
      <w:r>
        <w:rPr>
          <w:rFonts w:hint="eastAsia" w:eastAsiaTheme="minorEastAsia" w:cstheme="minorBidi"/>
          <w:color w:val="000000"/>
          <w:kern w:val="0"/>
          <w:sz w:val="24"/>
          <w:szCs w:val="22"/>
          <w:lang w:val="en-US" w:eastAsia="zh-CN" w:bidi="ar-SA"/>
        </w:rPr>
        <w:t>地点：中山大学附属第八医院</w:t>
      </w:r>
      <w:r>
        <w:rPr>
          <w:rFonts w:hint="eastAsia" w:cstheme="minorBidi"/>
          <w:color w:val="000000"/>
          <w:kern w:val="0"/>
          <w:sz w:val="24"/>
          <w:szCs w:val="22"/>
          <w:lang w:val="en-US" w:eastAsia="zh-CN" w:bidi="ar-SA"/>
        </w:rPr>
        <w:t>（深圳福田）</w:t>
      </w:r>
    </w:p>
    <w:p w14:paraId="6F6460CC">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outlineLvl w:val="0"/>
        <w:rPr>
          <w:rFonts w:hint="default" w:ascii="宋体" w:hAnsi="宋体" w:eastAsia="宋体" w:cs="宋体"/>
          <w:b/>
          <w:kern w:val="2"/>
          <w:sz w:val="24"/>
          <w:szCs w:val="24"/>
          <w:highlight w:val="none"/>
          <w:lang w:val="en-US" w:eastAsia="zh-CN" w:bidi="ar-SA"/>
        </w:rPr>
      </w:pPr>
      <w:bookmarkStart w:id="1" w:name="_Toc9627"/>
      <w:bookmarkStart w:id="2" w:name="_Toc13803"/>
      <w:r>
        <w:rPr>
          <w:rFonts w:hint="eastAsia" w:ascii="宋体" w:hAnsi="宋体" w:eastAsia="宋体" w:cs="宋体"/>
          <w:b/>
          <w:kern w:val="2"/>
          <w:sz w:val="24"/>
          <w:szCs w:val="24"/>
          <w:highlight w:val="none"/>
          <w:lang w:val="en-US" w:eastAsia="zh-CN" w:bidi="ar-SA"/>
        </w:rPr>
        <w:t>（三）产品技术参数</w:t>
      </w:r>
      <w:bookmarkEnd w:id="1"/>
      <w:bookmarkEnd w:id="2"/>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7"/>
        <w:gridCol w:w="6481"/>
      </w:tblGrid>
      <w:tr w14:paraId="3844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06A036CF">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default"/>
                <w:b/>
                <w:bCs/>
                <w:vertAlign w:val="baseline"/>
                <w:lang w:val="en-US" w:eastAsia="zh-CN"/>
              </w:rPr>
            </w:pPr>
            <w:r>
              <w:rPr>
                <w:rFonts w:hint="eastAsia"/>
                <w:b/>
                <w:bCs/>
                <w:lang w:eastAsia="zh-CN"/>
              </w:rPr>
              <w:t>产品名称：</w:t>
            </w:r>
          </w:p>
        </w:tc>
        <w:tc>
          <w:tcPr>
            <w:tcW w:w="6481" w:type="dxa"/>
            <w:noWrap w:val="0"/>
            <w:vAlign w:val="top"/>
          </w:tcPr>
          <w:p w14:paraId="359C8D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宋体"/>
                <w:b w:val="0"/>
                <w:bCs w:val="0"/>
                <w:lang w:eastAsia="zh-CN"/>
              </w:rPr>
            </w:pPr>
            <w:r>
              <w:rPr>
                <w:rFonts w:hint="eastAsia" w:ascii="宋体" w:hAnsi="宋体"/>
                <w:b w:val="0"/>
                <w:bCs w:val="0"/>
                <w:szCs w:val="21"/>
              </w:rPr>
              <w:t>检验分析用超纯水机</w:t>
            </w:r>
          </w:p>
        </w:tc>
      </w:tr>
      <w:tr w14:paraId="4B17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252E8F7E">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rPr>
            </w:pPr>
            <w:r>
              <w:rPr>
                <w:rFonts w:hint="eastAsia"/>
                <w:b/>
                <w:bCs/>
                <w:lang w:eastAsia="zh-CN"/>
              </w:rPr>
              <w:t>产水量</w:t>
            </w:r>
          </w:p>
        </w:tc>
        <w:tc>
          <w:tcPr>
            <w:tcW w:w="6481" w:type="dxa"/>
            <w:noWrap w:val="0"/>
            <w:vAlign w:val="top"/>
          </w:tcPr>
          <w:p w14:paraId="27EEE1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rPr>
              <w:t>≥</w:t>
            </w:r>
            <w:r>
              <w:rPr>
                <w:rFonts w:hint="eastAsia"/>
                <w:lang w:val="en-US" w:eastAsia="zh-CN"/>
              </w:rPr>
              <w:t>100</w:t>
            </w:r>
            <w:r>
              <w:rPr>
                <w:rFonts w:hint="eastAsia"/>
              </w:rPr>
              <w:t xml:space="preserve">0L/H </w:t>
            </w:r>
            <w:r>
              <w:rPr>
                <w:rFonts w:hint="eastAsia"/>
                <w:lang w:eastAsia="zh-CN"/>
              </w:rPr>
              <w:t>（</w:t>
            </w:r>
            <w:r>
              <w:rPr>
                <w:rFonts w:hint="eastAsia"/>
              </w:rPr>
              <w:t>25℃</w:t>
            </w:r>
            <w:r>
              <w:rPr>
                <w:rFonts w:hint="eastAsia"/>
                <w:lang w:eastAsia="zh-CN"/>
              </w:rPr>
              <w:t>）</w:t>
            </w:r>
          </w:p>
        </w:tc>
      </w:tr>
      <w:tr w14:paraId="1102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32CF98BB">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default"/>
                <w:b/>
                <w:bCs/>
                <w:vertAlign w:val="baseline"/>
                <w:lang w:val="en-US" w:eastAsia="zh-CN"/>
              </w:rPr>
            </w:pPr>
            <w:r>
              <w:rPr>
                <w:rFonts w:hint="eastAsia"/>
                <w:b/>
                <w:bCs/>
                <w:lang w:eastAsia="zh-CN"/>
              </w:rPr>
              <w:t>适用范围：</w:t>
            </w:r>
          </w:p>
        </w:tc>
        <w:tc>
          <w:tcPr>
            <w:tcW w:w="6481" w:type="dxa"/>
            <w:noWrap w:val="0"/>
            <w:vAlign w:val="top"/>
          </w:tcPr>
          <w:p w14:paraId="1AD9B7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default" w:eastAsia="宋体"/>
                <w:lang w:val="en-US" w:eastAsia="zh-CN"/>
              </w:rPr>
            </w:pPr>
            <w:r>
              <w:rPr>
                <w:rFonts w:hint="eastAsia"/>
                <w:lang w:val="en-US" w:eastAsia="zh-CN"/>
              </w:rPr>
              <w:t xml:space="preserve">检验科、实验室、病理科等检验分析用水 </w:t>
            </w:r>
          </w:p>
        </w:tc>
      </w:tr>
      <w:tr w14:paraId="049A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center"/>
          </w:tcPr>
          <w:p w14:paraId="25BA5B90">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cs="宋体"/>
                <w:b/>
                <w:bCs/>
                <w:lang w:eastAsia="zh-CN"/>
              </w:rPr>
            </w:pPr>
            <w:r>
              <w:rPr>
                <w:rFonts w:hint="eastAsia" w:eastAsia="宋体"/>
                <w:b/>
                <w:bCs/>
                <w:lang w:val="en-US" w:eastAsia="zh-CN"/>
              </w:rPr>
              <w:t>RO产水电导</w:t>
            </w:r>
          </w:p>
        </w:tc>
        <w:tc>
          <w:tcPr>
            <w:tcW w:w="6481" w:type="dxa"/>
            <w:noWrap w:val="0"/>
            <w:vAlign w:val="center"/>
          </w:tcPr>
          <w:p w14:paraId="2B8B6AAA">
            <w:pPr>
              <w:jc w:val="left"/>
              <w:rPr>
                <w:rFonts w:hint="eastAsia" w:eastAsia="宋体"/>
                <w:lang w:eastAsia="zh-CN"/>
              </w:rPr>
            </w:pPr>
            <w:r>
              <w:rPr>
                <w:rFonts w:hint="eastAsia" w:ascii="宋体" w:hAnsi="宋体" w:eastAsia="宋体" w:cs="宋体"/>
                <w:szCs w:val="21"/>
              </w:rPr>
              <w:t>≤</w:t>
            </w:r>
            <w:r>
              <w:rPr>
                <w:rFonts w:hint="eastAsia" w:ascii="宋体" w:hAnsi="宋体"/>
                <w:szCs w:val="21"/>
                <w:lang w:val="en-US" w:eastAsia="zh-CN"/>
              </w:rPr>
              <w:t>10</w:t>
            </w:r>
            <w:r>
              <w:rPr>
                <w:rFonts w:hint="eastAsia" w:ascii="宋体" w:hAnsi="宋体" w:eastAsia="宋体" w:cs="宋体"/>
                <w:szCs w:val="21"/>
                <w:lang w:val="en-US" w:eastAsia="zh-CN"/>
              </w:rPr>
              <w:t>us/cm</w:t>
            </w:r>
          </w:p>
        </w:tc>
      </w:tr>
      <w:tr w14:paraId="0418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center"/>
          </w:tcPr>
          <w:p w14:paraId="1BE2B8AE">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ascii="Calibri" w:hAnsi="Calibri" w:eastAsia="宋体" w:cs="宋体"/>
                <w:b/>
                <w:bCs/>
                <w:kern w:val="2"/>
                <w:sz w:val="21"/>
                <w:szCs w:val="24"/>
                <w:lang w:val="en-US" w:eastAsia="zh-CN" w:bidi="ar-SA"/>
              </w:rPr>
            </w:pPr>
            <w:r>
              <w:rPr>
                <w:rFonts w:hint="eastAsia" w:eastAsia="宋体"/>
                <w:b/>
                <w:bCs/>
                <w:lang w:val="en-US" w:eastAsia="zh-CN"/>
              </w:rPr>
              <w:t>超纯水电阻</w:t>
            </w:r>
          </w:p>
        </w:tc>
        <w:tc>
          <w:tcPr>
            <w:tcW w:w="6481" w:type="dxa"/>
            <w:noWrap w:val="0"/>
            <w:vAlign w:val="center"/>
          </w:tcPr>
          <w:p w14:paraId="58531FE8">
            <w:pPr>
              <w:jc w:val="left"/>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w:t>
            </w:r>
            <w:r>
              <w:rPr>
                <w:rFonts w:hint="eastAsia" w:ascii="宋体" w:hAnsi="宋体"/>
                <w:szCs w:val="21"/>
                <w:lang w:val="en-US" w:eastAsia="zh-CN"/>
              </w:rPr>
              <w:t>15MΩ.cm</w:t>
            </w:r>
          </w:p>
        </w:tc>
      </w:tr>
      <w:tr w14:paraId="11C9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center"/>
          </w:tcPr>
          <w:p w14:paraId="10E23538">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cs="宋体"/>
                <w:b/>
                <w:bCs/>
                <w:lang w:eastAsia="zh-CN"/>
              </w:rPr>
            </w:pPr>
            <w:r>
              <w:rPr>
                <w:rFonts w:hint="eastAsia" w:eastAsia="宋体" w:cs="宋体"/>
                <w:b/>
                <w:bCs/>
                <w:lang w:eastAsia="zh-CN"/>
              </w:rPr>
              <w:t>细菌内毒素去除率</w:t>
            </w:r>
          </w:p>
        </w:tc>
        <w:tc>
          <w:tcPr>
            <w:tcW w:w="6481" w:type="dxa"/>
            <w:noWrap w:val="0"/>
            <w:vAlign w:val="center"/>
          </w:tcPr>
          <w:p w14:paraId="00F946DF">
            <w:pPr>
              <w:jc w:val="left"/>
              <w:rPr>
                <w:rFonts w:hint="eastAsia"/>
                <w:lang w:eastAsia="zh-CN"/>
              </w:rPr>
            </w:pPr>
            <w:r>
              <w:rPr>
                <w:rFonts w:hint="eastAsia" w:ascii="宋体" w:hAnsi="宋体"/>
                <w:szCs w:val="21"/>
              </w:rPr>
              <w:t>≥99%</w:t>
            </w:r>
          </w:p>
        </w:tc>
      </w:tr>
      <w:tr w14:paraId="2F8C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0EB67934">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cs="宋体"/>
                <w:b/>
                <w:bCs/>
                <w:lang w:eastAsia="zh-CN"/>
              </w:rPr>
            </w:pPr>
            <w:r>
              <w:rPr>
                <w:rFonts w:hint="eastAsia" w:eastAsia="宋体" w:cs="宋体"/>
                <w:b/>
                <w:bCs/>
                <w:lang w:eastAsia="zh-CN"/>
              </w:rPr>
              <w:t>产品工艺：</w:t>
            </w:r>
          </w:p>
        </w:tc>
        <w:tc>
          <w:tcPr>
            <w:tcW w:w="6481" w:type="dxa"/>
            <w:noWrap w:val="0"/>
            <w:vAlign w:val="top"/>
          </w:tcPr>
          <w:p w14:paraId="6E36A9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宋体"/>
                <w:lang w:eastAsia="zh-CN"/>
              </w:rPr>
            </w:pPr>
            <w:r>
              <w:rPr>
                <w:rFonts w:hint="eastAsia" w:eastAsia="宋体"/>
                <w:lang w:eastAsia="zh-CN"/>
              </w:rPr>
              <w:t>源水多级处理</w:t>
            </w:r>
            <w:r>
              <w:rPr>
                <w:rFonts w:hint="default" w:ascii="Arial" w:hAnsi="Arial" w:eastAsia="宋体" w:cs="Arial"/>
                <w:lang w:eastAsia="zh-CN"/>
              </w:rPr>
              <w:t>→</w:t>
            </w:r>
            <w:r>
              <w:rPr>
                <w:rFonts w:hint="eastAsia" w:ascii="Arial" w:hAnsi="Arial" w:eastAsia="宋体" w:cs="Arial"/>
                <w:lang w:eastAsia="zh-CN"/>
              </w:rPr>
              <w:t>智能</w:t>
            </w:r>
            <w:r>
              <w:rPr>
                <w:rFonts w:hint="eastAsia" w:eastAsia="宋体"/>
                <w:lang w:eastAsia="zh-CN"/>
              </w:rPr>
              <w:t>单</w:t>
            </w:r>
            <w:r>
              <w:rPr>
                <w:rFonts w:hint="eastAsia" w:eastAsia="宋体"/>
              </w:rPr>
              <w:t>级反渗透</w:t>
            </w:r>
            <w:r>
              <w:rPr>
                <w:rFonts w:hint="default" w:ascii="Arial" w:hAnsi="Arial" w:eastAsia="宋体" w:cs="Arial"/>
                <w:lang w:eastAsia="zh-CN"/>
              </w:rPr>
              <w:t>→</w:t>
            </w:r>
            <w:r>
              <w:rPr>
                <w:rFonts w:hint="eastAsia" w:ascii="Arial" w:hAnsi="Arial" w:eastAsia="宋体" w:cs="Arial"/>
                <w:lang w:eastAsia="zh-CN"/>
              </w:rPr>
              <w:t>混床过滤器</w:t>
            </w:r>
            <w:r>
              <w:rPr>
                <w:rFonts w:hint="default" w:ascii="Arial" w:hAnsi="Arial" w:eastAsia="宋体" w:cs="Arial"/>
                <w:lang w:eastAsia="zh-CN"/>
              </w:rPr>
              <w:t>→</w:t>
            </w:r>
            <w:r>
              <w:rPr>
                <w:rFonts w:hint="eastAsia" w:eastAsia="宋体"/>
                <w:lang w:eastAsia="zh-CN"/>
              </w:rPr>
              <w:t>储水箱供水</w:t>
            </w:r>
          </w:p>
        </w:tc>
      </w:tr>
      <w:tr w14:paraId="68FC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center"/>
          </w:tcPr>
          <w:p w14:paraId="515810DC">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cs="宋体"/>
                <w:b/>
                <w:bCs/>
                <w:lang w:eastAsia="zh-CN"/>
              </w:rPr>
            </w:pPr>
            <w:r>
              <w:rPr>
                <w:rFonts w:hint="eastAsia" w:eastAsia="宋体" w:cs="宋体"/>
                <w:b/>
                <w:bCs/>
                <w:lang w:eastAsia="zh-CN"/>
              </w:rPr>
              <w:t>系统回收率</w:t>
            </w:r>
          </w:p>
        </w:tc>
        <w:tc>
          <w:tcPr>
            <w:tcW w:w="6481" w:type="dxa"/>
            <w:noWrap w:val="0"/>
            <w:vAlign w:val="center"/>
          </w:tcPr>
          <w:p w14:paraId="5784B3AB">
            <w:pPr>
              <w:jc w:val="left"/>
              <w:rPr>
                <w:rFonts w:hint="eastAsia" w:eastAsia="宋体"/>
                <w:lang w:eastAsia="zh-CN"/>
              </w:rPr>
            </w:pPr>
            <w:r>
              <w:rPr>
                <w:rFonts w:hint="eastAsia" w:ascii="宋体" w:hAnsi="宋体"/>
                <w:szCs w:val="21"/>
              </w:rPr>
              <w:t>50-75% （可调）</w:t>
            </w:r>
          </w:p>
        </w:tc>
      </w:tr>
      <w:tr w14:paraId="007C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68EA10A6">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b/>
                <w:bCs/>
              </w:rPr>
            </w:pPr>
            <w:r>
              <w:rPr>
                <w:rFonts w:hint="eastAsia" w:eastAsia="宋体"/>
                <w:b/>
                <w:bCs/>
                <w:lang w:eastAsia="zh-CN"/>
              </w:rPr>
              <w:t>操作方式：</w:t>
            </w:r>
          </w:p>
        </w:tc>
        <w:tc>
          <w:tcPr>
            <w:tcW w:w="6481" w:type="dxa"/>
            <w:noWrap w:val="0"/>
            <w:vAlign w:val="top"/>
          </w:tcPr>
          <w:p w14:paraId="6C127E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宋体"/>
                <w:lang w:eastAsia="zh-CN"/>
              </w:rPr>
            </w:pPr>
            <w:r>
              <w:rPr>
                <w:rFonts w:hint="eastAsia" w:eastAsia="宋体"/>
              </w:rPr>
              <w:t>PLC+</w:t>
            </w:r>
            <w:r>
              <w:rPr>
                <w:rFonts w:hint="eastAsia" w:eastAsia="宋体"/>
                <w:lang w:eastAsia="zh-CN"/>
              </w:rPr>
              <w:t>智能显示屏</w:t>
            </w:r>
          </w:p>
        </w:tc>
      </w:tr>
      <w:tr w14:paraId="1ED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14F8432A">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b/>
                <w:bCs/>
                <w:lang w:eastAsia="zh-CN"/>
              </w:rPr>
            </w:pPr>
            <w:r>
              <w:rPr>
                <w:rFonts w:hint="eastAsia" w:eastAsia="宋体"/>
                <w:b/>
                <w:bCs/>
                <w:lang w:eastAsia="zh-CN"/>
              </w:rPr>
              <w:t>运行方式：</w:t>
            </w:r>
          </w:p>
        </w:tc>
        <w:tc>
          <w:tcPr>
            <w:tcW w:w="6481" w:type="dxa"/>
            <w:noWrap w:val="0"/>
            <w:vAlign w:val="top"/>
          </w:tcPr>
          <w:p w14:paraId="04EC65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宋体"/>
              </w:rPr>
            </w:pPr>
            <w:r>
              <w:rPr>
                <w:rFonts w:hint="eastAsia" w:eastAsia="宋体"/>
                <w:lang w:eastAsia="zh-CN"/>
              </w:rPr>
              <w:t>自动运行、手动运行</w:t>
            </w:r>
          </w:p>
        </w:tc>
      </w:tr>
      <w:tr w14:paraId="64A4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274BF085">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b/>
                <w:bCs/>
                <w:lang w:eastAsia="zh-CN"/>
              </w:rPr>
            </w:pPr>
            <w:r>
              <w:rPr>
                <w:rFonts w:hint="eastAsia"/>
                <w:b/>
                <w:bCs/>
              </w:rPr>
              <w:t>运行重量</w:t>
            </w:r>
            <w:r>
              <w:rPr>
                <w:rFonts w:hint="eastAsia"/>
                <w:b/>
                <w:bCs/>
                <w:lang w:eastAsia="zh-CN"/>
              </w:rPr>
              <w:t>：</w:t>
            </w:r>
          </w:p>
        </w:tc>
        <w:tc>
          <w:tcPr>
            <w:tcW w:w="6481" w:type="dxa"/>
            <w:noWrap w:val="0"/>
            <w:vAlign w:val="top"/>
          </w:tcPr>
          <w:p w14:paraId="7A568D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ascii="宋体" w:hAnsi="宋体"/>
                <w:szCs w:val="21"/>
                <w:lang w:val="en-US" w:eastAsia="zh-CN"/>
              </w:rPr>
              <w:t>700</w:t>
            </w:r>
            <w:r>
              <w:rPr>
                <w:rFonts w:ascii="宋体" w:hAnsi="宋体"/>
                <w:szCs w:val="21"/>
              </w:rPr>
              <w:t>K</w:t>
            </w:r>
            <w:r>
              <w:rPr>
                <w:rFonts w:hint="eastAsia" w:ascii="宋体" w:hAnsi="宋体"/>
                <w:szCs w:val="21"/>
              </w:rPr>
              <w:t>g</w:t>
            </w:r>
            <w:r>
              <w:rPr>
                <w:rFonts w:hint="eastAsia" w:ascii="宋体" w:hAnsi="宋体"/>
                <w:szCs w:val="21"/>
                <w:lang w:val="en-US" w:eastAsia="zh-CN"/>
              </w:rPr>
              <w:t xml:space="preserve"> (不含水箱)</w:t>
            </w:r>
          </w:p>
        </w:tc>
      </w:tr>
      <w:tr w14:paraId="0F52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51BE2BE4">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lang w:eastAsia="zh-CN"/>
              </w:rPr>
            </w:pPr>
            <w:r>
              <w:rPr>
                <w:rFonts w:hint="eastAsia"/>
                <w:b/>
                <w:bCs/>
                <w:lang w:eastAsia="zh-CN"/>
              </w:rPr>
              <w:t>设备</w:t>
            </w:r>
            <w:r>
              <w:rPr>
                <w:rFonts w:hint="eastAsia"/>
                <w:b/>
                <w:bCs/>
              </w:rPr>
              <w:t>尺寸(L*W*H)</w:t>
            </w:r>
            <w:r>
              <w:rPr>
                <w:rFonts w:hint="eastAsia"/>
                <w:b/>
                <w:bCs/>
                <w:lang w:eastAsia="zh-CN"/>
              </w:rPr>
              <w:t>：</w:t>
            </w:r>
          </w:p>
        </w:tc>
        <w:tc>
          <w:tcPr>
            <w:tcW w:w="6481" w:type="dxa"/>
            <w:noWrap w:val="0"/>
            <w:vAlign w:val="top"/>
          </w:tcPr>
          <w:p w14:paraId="28E251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Theme="minorEastAsia"/>
                <w:lang w:eastAsia="zh-CN"/>
              </w:rPr>
            </w:pPr>
            <w:r>
              <w:rPr>
                <w:rFonts w:ascii="宋体" w:hAnsi="宋体"/>
                <w:color w:val="000000"/>
                <w:szCs w:val="21"/>
              </w:rPr>
              <w:t>78</w:t>
            </w:r>
            <w:r>
              <w:rPr>
                <w:rFonts w:hint="eastAsia" w:ascii="宋体" w:hAnsi="宋体"/>
                <w:color w:val="000000"/>
                <w:szCs w:val="21"/>
              </w:rPr>
              <w:t>0*1</w:t>
            </w:r>
            <w:r>
              <w:rPr>
                <w:rFonts w:hint="eastAsia" w:ascii="宋体" w:hAnsi="宋体"/>
                <w:color w:val="000000"/>
                <w:szCs w:val="21"/>
                <w:lang w:val="en-US" w:eastAsia="zh-CN"/>
              </w:rPr>
              <w:t>2</w:t>
            </w:r>
            <w:r>
              <w:rPr>
                <w:rFonts w:hint="eastAsia" w:ascii="宋体" w:hAnsi="宋体"/>
                <w:color w:val="000000"/>
                <w:szCs w:val="21"/>
              </w:rPr>
              <w:t>00*1</w:t>
            </w:r>
            <w:r>
              <w:rPr>
                <w:rFonts w:hint="eastAsia" w:ascii="宋体" w:hAnsi="宋体"/>
                <w:color w:val="000000"/>
                <w:szCs w:val="21"/>
                <w:lang w:val="en-US" w:eastAsia="zh-CN"/>
              </w:rPr>
              <w:t>7</w:t>
            </w:r>
            <w:r>
              <w:rPr>
                <w:rFonts w:hint="eastAsia" w:ascii="宋体" w:hAnsi="宋体"/>
                <w:color w:val="000000"/>
                <w:szCs w:val="21"/>
              </w:rPr>
              <w:t>00</w:t>
            </w:r>
            <w:r>
              <w:rPr>
                <w:rFonts w:hint="eastAsia" w:ascii="宋体" w:hAnsi="宋体"/>
                <w:color w:val="000000"/>
                <w:szCs w:val="21"/>
                <w:lang w:eastAsia="zh-CN"/>
              </w:rPr>
              <w:t>（</w:t>
            </w:r>
            <w:r>
              <w:rPr>
                <w:rFonts w:hint="eastAsia" w:ascii="宋体" w:hAnsi="宋体"/>
                <w:color w:val="000000"/>
                <w:szCs w:val="21"/>
                <w:lang w:val="en-US" w:eastAsia="zh-CN"/>
              </w:rPr>
              <w:t>参考</w:t>
            </w:r>
            <w:r>
              <w:rPr>
                <w:rFonts w:hint="eastAsia" w:ascii="宋体" w:hAnsi="宋体"/>
                <w:color w:val="000000"/>
                <w:szCs w:val="21"/>
                <w:lang w:eastAsia="zh-CN"/>
              </w:rPr>
              <w:t>）</w:t>
            </w:r>
          </w:p>
        </w:tc>
      </w:tr>
      <w:tr w14:paraId="332E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33260AB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ascii="Calibri" w:hAnsi="Calibri" w:eastAsia="宋体" w:cs="宋体"/>
                <w:b/>
                <w:bCs/>
                <w:kern w:val="2"/>
                <w:sz w:val="21"/>
                <w:szCs w:val="24"/>
                <w:lang w:val="en-US" w:eastAsia="zh-CN" w:bidi="ar-SA"/>
              </w:rPr>
            </w:pPr>
            <w:r>
              <w:rPr>
                <w:rFonts w:hint="eastAsia" w:eastAsia="宋体" w:cs="宋体"/>
                <w:b/>
                <w:bCs/>
                <w:lang w:eastAsia="zh-CN"/>
              </w:rPr>
              <w:t>设备功率：</w:t>
            </w:r>
          </w:p>
        </w:tc>
        <w:tc>
          <w:tcPr>
            <w:tcW w:w="6481" w:type="dxa"/>
            <w:noWrap w:val="0"/>
            <w:vAlign w:val="top"/>
          </w:tcPr>
          <w:p w14:paraId="28736B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Calibri" w:hAnsi="Calibri" w:cs="宋体"/>
                <w:kern w:val="2"/>
                <w:sz w:val="21"/>
                <w:szCs w:val="24"/>
                <w:lang w:val="en-US" w:eastAsia="zh-CN" w:bidi="ar-SA"/>
              </w:rPr>
            </w:pPr>
            <w:r>
              <w:rPr>
                <w:rFonts w:hint="eastAsia" w:ascii="宋体" w:hAnsi="宋体"/>
                <w:szCs w:val="21"/>
                <w:lang w:val="en-US" w:eastAsia="zh-CN"/>
              </w:rPr>
              <w:t>3</w:t>
            </w:r>
            <w:r>
              <w:rPr>
                <w:rFonts w:hint="eastAsia" w:ascii="宋体" w:hAnsi="宋体"/>
                <w:szCs w:val="21"/>
              </w:rPr>
              <w:t>KW±10%</w:t>
            </w:r>
          </w:p>
        </w:tc>
      </w:tr>
      <w:tr w14:paraId="47A8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60026C4B">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eastAsia="宋体"/>
                <w:b/>
                <w:bCs/>
                <w:lang w:eastAsia="zh-CN"/>
              </w:rPr>
            </w:pPr>
            <w:r>
              <w:rPr>
                <w:rFonts w:hint="eastAsia"/>
                <w:b/>
                <w:bCs/>
              </w:rPr>
              <w:t>工作电源</w:t>
            </w:r>
            <w:r>
              <w:rPr>
                <w:rFonts w:hint="eastAsia"/>
                <w:b/>
                <w:bCs/>
                <w:lang w:eastAsia="zh-CN"/>
              </w:rPr>
              <w:t>：</w:t>
            </w:r>
          </w:p>
        </w:tc>
        <w:tc>
          <w:tcPr>
            <w:tcW w:w="6481" w:type="dxa"/>
            <w:noWrap w:val="0"/>
            <w:vAlign w:val="top"/>
          </w:tcPr>
          <w:p w14:paraId="024371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ascii="宋体" w:hAnsi="宋体"/>
                <w:szCs w:val="21"/>
              </w:rPr>
              <w:t>AC</w:t>
            </w:r>
            <w:r>
              <w:rPr>
                <w:rFonts w:hint="eastAsia" w:ascii="宋体" w:hAnsi="宋体"/>
                <w:szCs w:val="21"/>
                <w:lang w:val="en-US" w:eastAsia="zh-CN"/>
              </w:rPr>
              <w:t>380V</w:t>
            </w:r>
            <w:r>
              <w:rPr>
                <w:rFonts w:hint="eastAsia" w:ascii="宋体" w:hAnsi="宋体"/>
                <w:szCs w:val="21"/>
              </w:rPr>
              <w:t>±10%  频率：50-60HZ</w:t>
            </w:r>
          </w:p>
        </w:tc>
      </w:tr>
      <w:tr w14:paraId="0618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05823C2E">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rPr>
            </w:pPr>
            <w:r>
              <w:rPr>
                <w:rFonts w:hint="eastAsia"/>
                <w:b/>
                <w:bCs/>
              </w:rPr>
              <w:t>工作环境</w:t>
            </w:r>
            <w:r>
              <w:rPr>
                <w:rFonts w:hint="eastAsia"/>
                <w:b/>
                <w:bCs/>
                <w:lang w:eastAsia="zh-CN"/>
              </w:rPr>
              <w:t>：</w:t>
            </w:r>
          </w:p>
        </w:tc>
        <w:tc>
          <w:tcPr>
            <w:tcW w:w="6481" w:type="dxa"/>
            <w:noWrap w:val="0"/>
            <w:vAlign w:val="top"/>
          </w:tcPr>
          <w:p w14:paraId="683155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rPr>
              <w:t>室温5</w:t>
            </w:r>
            <w:r>
              <w:rPr>
                <w:rFonts w:hint="eastAsia" w:ascii="宋体" w:hAnsi="宋体" w:eastAsia="宋体" w:cs="宋体"/>
                <w:lang w:val="en-US" w:eastAsia="zh-CN"/>
              </w:rPr>
              <w:t>～</w:t>
            </w:r>
            <w:r>
              <w:rPr>
                <w:rFonts w:hint="eastAsia"/>
              </w:rPr>
              <w:t>40℃，相对湿度≤80%RH</w:t>
            </w:r>
          </w:p>
        </w:tc>
      </w:tr>
      <w:tr w14:paraId="77C7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5BEAECC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rPr>
            </w:pPr>
            <w:bookmarkStart w:id="3" w:name="_Toc5630"/>
            <w:bookmarkStart w:id="4" w:name="_Toc21395"/>
            <w:bookmarkStart w:id="5" w:name="_Toc14441"/>
            <w:r>
              <w:rPr>
                <w:rFonts w:hint="eastAsia"/>
                <w:b/>
                <w:bCs/>
              </w:rPr>
              <w:t>原水要求</w:t>
            </w:r>
            <w:r>
              <w:rPr>
                <w:rFonts w:hint="eastAsia"/>
                <w:b/>
                <w:bCs/>
                <w:lang w:eastAsia="zh-CN"/>
              </w:rPr>
              <w:t>：</w:t>
            </w:r>
            <w:bookmarkEnd w:id="3"/>
            <w:bookmarkEnd w:id="4"/>
            <w:bookmarkEnd w:id="5"/>
          </w:p>
        </w:tc>
        <w:tc>
          <w:tcPr>
            <w:tcW w:w="6481" w:type="dxa"/>
            <w:noWrap w:val="0"/>
            <w:vAlign w:val="top"/>
          </w:tcPr>
          <w:p w14:paraId="0C7973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rPr>
              <w:t>流量≥</w:t>
            </w:r>
            <w:r>
              <w:rPr>
                <w:rFonts w:hint="eastAsia" w:ascii="宋体" w:hAnsi="宋体"/>
                <w:szCs w:val="21"/>
                <w:lang w:val="en-US" w:eastAsia="zh-CN"/>
              </w:rPr>
              <w:t>2</w:t>
            </w:r>
            <w:r>
              <w:rPr>
                <w:rFonts w:hint="eastAsia" w:ascii="宋体" w:hAnsi="宋体"/>
                <w:szCs w:val="21"/>
              </w:rPr>
              <w:t>T/H</w:t>
            </w:r>
            <w:r>
              <w:rPr>
                <w:rFonts w:hint="eastAsia"/>
              </w:rPr>
              <w:t>, 压力</w:t>
            </w:r>
            <w:r>
              <w:rPr>
                <w:rFonts w:hint="eastAsia"/>
                <w:lang w:val="en-US" w:eastAsia="zh-CN"/>
              </w:rPr>
              <w:t>0.2</w:t>
            </w:r>
            <w:r>
              <w:rPr>
                <w:rFonts w:hint="eastAsia" w:ascii="宋体" w:hAnsi="宋体" w:eastAsia="宋体" w:cs="宋体"/>
                <w:lang w:val="en-US" w:eastAsia="zh-CN"/>
              </w:rPr>
              <w:t>～</w:t>
            </w:r>
            <w:r>
              <w:rPr>
                <w:rFonts w:hint="eastAsia"/>
                <w:lang w:val="en-US" w:eastAsia="zh-CN"/>
              </w:rPr>
              <w:t>0.45</w:t>
            </w:r>
            <w:r>
              <w:rPr>
                <w:rFonts w:hint="eastAsia"/>
              </w:rPr>
              <w:t>Mpa，水温5-40℃</w:t>
            </w:r>
          </w:p>
        </w:tc>
      </w:tr>
      <w:tr w14:paraId="36D3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67BA61E0">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rPr>
            </w:pPr>
            <w:r>
              <w:rPr>
                <w:rFonts w:hint="eastAsia"/>
                <w:b/>
                <w:bCs/>
                <w:lang w:val="en-US" w:eastAsia="zh-CN"/>
              </w:rPr>
              <w:t>无菌纯水箱：</w:t>
            </w:r>
          </w:p>
        </w:tc>
        <w:tc>
          <w:tcPr>
            <w:tcW w:w="6481" w:type="dxa"/>
            <w:noWrap w:val="0"/>
            <w:vAlign w:val="top"/>
          </w:tcPr>
          <w:p w14:paraId="06A6B8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ascii="宋体" w:hAnsi="宋体" w:eastAsia="宋体"/>
                <w:color w:val="000000"/>
                <w:szCs w:val="21"/>
                <w:lang w:val="en-US" w:eastAsia="zh-CN"/>
              </w:rPr>
              <w:t>500L，</w:t>
            </w:r>
            <w:r>
              <w:rPr>
                <w:rFonts w:hint="eastAsia" w:ascii="宋体" w:hAnsi="宋体"/>
                <w:color w:val="000000"/>
                <w:szCs w:val="21"/>
              </w:rPr>
              <w:t>不锈钢材质</w:t>
            </w:r>
          </w:p>
        </w:tc>
      </w:tr>
      <w:tr w14:paraId="1B7D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25D3E46B">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rPr>
            </w:pPr>
            <w:r>
              <w:rPr>
                <w:rFonts w:hint="eastAsia"/>
                <w:b/>
                <w:bCs/>
                <w:lang w:val="en-US" w:eastAsia="zh-CN"/>
              </w:rPr>
              <w:t>混床过滤器：</w:t>
            </w:r>
          </w:p>
        </w:tc>
        <w:tc>
          <w:tcPr>
            <w:tcW w:w="6481" w:type="dxa"/>
            <w:noWrap w:val="0"/>
            <w:vAlign w:val="top"/>
          </w:tcPr>
          <w:p w14:paraId="3BBF13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ascii="宋体" w:hAnsi="宋体"/>
                <w:color w:val="000000"/>
                <w:szCs w:val="21"/>
                <w:lang w:val="en-US" w:eastAsia="zh-CN"/>
              </w:rPr>
              <w:t>13</w:t>
            </w:r>
            <w:r>
              <w:rPr>
                <w:rFonts w:hint="eastAsia" w:ascii="宋体" w:hAnsi="宋体" w:eastAsia="宋体" w:cs="宋体"/>
                <w:color w:val="000000"/>
                <w:szCs w:val="21"/>
                <w:lang w:val="en-US" w:eastAsia="zh-CN"/>
              </w:rPr>
              <w:t>×</w:t>
            </w:r>
            <w:r>
              <w:rPr>
                <w:rFonts w:hint="eastAsia" w:ascii="宋体" w:hAnsi="宋体"/>
                <w:color w:val="000000"/>
                <w:szCs w:val="21"/>
                <w:lang w:val="en-US" w:eastAsia="zh-CN"/>
              </w:rPr>
              <w:t>54，</w:t>
            </w:r>
            <w:r>
              <w:rPr>
                <w:rFonts w:hint="eastAsia" w:ascii="宋体" w:hAnsi="宋体"/>
                <w:color w:val="000000"/>
                <w:szCs w:val="21"/>
                <w:lang w:eastAsia="zh-CN"/>
              </w:rPr>
              <w:t>玻璃钢材质</w:t>
            </w:r>
          </w:p>
        </w:tc>
      </w:tr>
      <w:tr w14:paraId="7ECC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noWrap w:val="0"/>
            <w:vAlign w:val="top"/>
          </w:tcPr>
          <w:p w14:paraId="58EC8F81">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567" w:leftChars="0" w:hanging="567" w:firstLineChars="0"/>
              <w:textAlignment w:val="auto"/>
              <w:rPr>
                <w:rFonts w:hint="eastAsia"/>
                <w:b/>
                <w:bCs/>
                <w:lang w:val="en-US" w:eastAsia="zh-CN"/>
              </w:rPr>
            </w:pPr>
            <w:r>
              <w:rPr>
                <w:rFonts w:hint="eastAsia"/>
                <w:b/>
                <w:bCs/>
                <w:lang w:eastAsia="zh-CN"/>
              </w:rPr>
              <w:t>纯</w:t>
            </w:r>
            <w:r>
              <w:rPr>
                <w:rFonts w:hint="eastAsia"/>
                <w:b/>
                <w:bCs/>
              </w:rPr>
              <w:t>水泵</w:t>
            </w:r>
            <w:r>
              <w:rPr>
                <w:rFonts w:hint="eastAsia"/>
                <w:b/>
                <w:bCs/>
                <w:lang w:val="en-US" w:eastAsia="zh-CN"/>
              </w:rPr>
              <w:t>及管件阀门</w:t>
            </w:r>
          </w:p>
        </w:tc>
        <w:tc>
          <w:tcPr>
            <w:tcW w:w="6481" w:type="dxa"/>
            <w:noWrap w:val="0"/>
            <w:vAlign w:val="top"/>
          </w:tcPr>
          <w:p w14:paraId="2A0933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Theme="minorEastAsia"/>
                <w:color w:val="000000"/>
                <w:szCs w:val="21"/>
                <w:lang w:val="en-US" w:eastAsia="zh-CN"/>
              </w:rPr>
            </w:pPr>
            <w:r>
              <w:rPr>
                <w:rFonts w:hint="eastAsia" w:ascii="宋体" w:hAnsi="宋体" w:eastAsia="宋体"/>
                <w:color w:val="000000"/>
                <w:szCs w:val="21"/>
                <w:lang w:val="en-US" w:eastAsia="zh-CN"/>
              </w:rPr>
              <w:t>CMI 2-4（T）</w:t>
            </w:r>
            <w:r>
              <w:rPr>
                <w:rFonts w:hint="eastAsia" w:ascii="宋体" w:hAnsi="宋体"/>
                <w:color w:val="000000"/>
                <w:szCs w:val="21"/>
              </w:rPr>
              <w:t>不锈钢材质</w:t>
            </w:r>
            <w:r>
              <w:rPr>
                <w:rFonts w:hint="eastAsia" w:ascii="宋体" w:hAnsi="宋体"/>
                <w:color w:val="000000"/>
                <w:szCs w:val="21"/>
                <w:lang w:eastAsia="zh-CN"/>
              </w:rPr>
              <w:t>，</w:t>
            </w:r>
            <w:r>
              <w:rPr>
                <w:rFonts w:hint="eastAsia" w:ascii="宋体" w:hAnsi="宋体"/>
                <w:color w:val="000000"/>
                <w:szCs w:val="21"/>
                <w:lang w:val="en-US" w:eastAsia="zh-CN"/>
              </w:rPr>
              <w:t>管件UPVC</w:t>
            </w:r>
          </w:p>
        </w:tc>
      </w:tr>
    </w:tbl>
    <w:p w14:paraId="5371B45F">
      <w:pPr>
        <w:keepNext w:val="0"/>
        <w:keepLines w:val="0"/>
        <w:widowControl/>
        <w:suppressLineNumbers w:val="0"/>
        <w:ind w:firstLine="720" w:firstLineChars="300"/>
        <w:jc w:val="left"/>
        <w:rPr>
          <w:rFonts w:hint="default" w:ascii="宋体" w:hAnsi="宋体" w:eastAsia="宋体" w:cs="宋体"/>
          <w:color w:val="000000"/>
          <w:kern w:val="0"/>
          <w:sz w:val="24"/>
          <w:szCs w:val="24"/>
          <w:lang w:val="en-US" w:eastAsia="zh-CN" w:bidi="ar"/>
        </w:rPr>
      </w:pPr>
    </w:p>
    <w:p w14:paraId="5B2883D0">
      <w:pPr>
        <w:numPr>
          <w:ilvl w:val="0"/>
          <w:numId w:val="4"/>
        </w:numPr>
        <w:spacing w:line="400" w:lineRule="exact"/>
        <w:ind w:firstLine="482" w:firstLineChars="200"/>
        <w:rPr>
          <w:rFonts w:ascii="宋体" w:hAnsi="宋体" w:eastAsia="宋体" w:cs="宋体"/>
          <w:b/>
          <w:sz w:val="24"/>
          <w:highlight w:val="none"/>
        </w:rPr>
      </w:pPr>
      <w:r>
        <w:rPr>
          <w:rFonts w:hint="eastAsia" w:ascii="宋体" w:hAnsi="宋体" w:eastAsia="宋体" w:cs="宋体"/>
          <w:b/>
          <w:sz w:val="24"/>
          <w:highlight w:val="none"/>
        </w:rPr>
        <w:t>人员要求（必选）</w:t>
      </w:r>
    </w:p>
    <w:p w14:paraId="1FC87B08">
      <w:pPr>
        <w:numPr>
          <w:ilvl w:val="0"/>
          <w:numId w:val="6"/>
        </w:numPr>
        <w:spacing w:line="360" w:lineRule="auto"/>
        <w:rPr>
          <w:rFonts w:hint="default" w:ascii="宋体" w:hAnsi="宋体" w:cs="宋体"/>
          <w:kern w:val="0"/>
          <w:sz w:val="24"/>
          <w:highlight w:val="none"/>
          <w:lang w:val="en-US" w:eastAsia="zh-CN"/>
        </w:rPr>
      </w:pPr>
      <w:r>
        <w:rPr>
          <w:rFonts w:hint="eastAsia" w:ascii="宋体" w:hAnsi="宋体" w:cs="宋体"/>
          <w:kern w:val="0"/>
          <w:sz w:val="24"/>
          <w:highlight w:val="none"/>
          <w:lang w:val="en-US" w:eastAsia="zh-CN"/>
        </w:rPr>
        <w:t>现场2人，技术人员1人。</w:t>
      </w:r>
    </w:p>
    <w:p w14:paraId="43961A76">
      <w:pPr>
        <w:spacing w:line="540" w:lineRule="exact"/>
        <w:rPr>
          <w:rFonts w:ascii="宋体" w:hAnsi="宋体" w:eastAsia="宋体" w:cs="宋体"/>
          <w:b/>
          <w:bCs/>
          <w:sz w:val="28"/>
          <w:szCs w:val="28"/>
          <w:highlight w:val="none"/>
        </w:rPr>
      </w:pPr>
      <w:r>
        <w:rPr>
          <w:rFonts w:hint="eastAsia" w:ascii="宋体" w:hAnsi="宋体" w:eastAsia="宋体" w:cs="宋体"/>
          <w:b/>
          <w:bCs/>
          <w:sz w:val="28"/>
          <w:szCs w:val="28"/>
          <w:highlight w:val="none"/>
        </w:rPr>
        <w:t>二、★商务要求</w:t>
      </w:r>
    </w:p>
    <w:p w14:paraId="4AAD5227">
      <w:pPr>
        <w:numPr>
          <w:ilvl w:val="0"/>
          <w:numId w:val="6"/>
        </w:numPr>
        <w:spacing w:line="360" w:lineRule="auto"/>
        <w:rPr>
          <w:rFonts w:ascii="宋体" w:hAnsi="宋体" w:eastAsia="宋体" w:cs="宋体"/>
          <w:b/>
          <w:bCs/>
          <w:sz w:val="24"/>
          <w:highlight w:val="none"/>
        </w:rPr>
      </w:pPr>
      <w:r>
        <w:rPr>
          <w:rFonts w:hint="eastAsia" w:ascii="宋体" w:hAnsi="宋体" w:eastAsia="宋体" w:cs="宋体"/>
          <w:b/>
          <w:bCs/>
          <w:sz w:val="24"/>
          <w:highlight w:val="none"/>
        </w:rPr>
        <w:t>服务时间:</w:t>
      </w:r>
      <w:r>
        <w:rPr>
          <w:rFonts w:hint="eastAsia" w:ascii="宋体" w:hAnsi="宋体" w:eastAsia="宋体" w:cs="宋体"/>
          <w:bCs/>
          <w:sz w:val="24"/>
          <w:highlight w:val="none"/>
          <w:lang w:val="en-US" w:eastAsia="zh-CN"/>
        </w:rPr>
        <w:t>接至通知后15日内</w:t>
      </w:r>
      <w:r>
        <w:rPr>
          <w:rFonts w:hint="eastAsia" w:ascii="Times New Roman" w:hAnsi="Times New Roman" w:eastAsia="宋体" w:cs="Times New Roman"/>
          <w:lang w:val="en-US" w:eastAsia="zh-CN"/>
        </w:rPr>
        <w:t>日内到货</w:t>
      </w:r>
    </w:p>
    <w:p w14:paraId="411F8F22">
      <w:pPr>
        <w:numPr>
          <w:ilvl w:val="0"/>
          <w:numId w:val="6"/>
        </w:numPr>
        <w:spacing w:line="360" w:lineRule="auto"/>
        <w:rPr>
          <w:rFonts w:ascii="宋体" w:hAnsi="宋体" w:eastAsia="宋体" w:cs="宋体"/>
          <w:b/>
          <w:bCs/>
          <w:sz w:val="24"/>
          <w:highlight w:val="none"/>
        </w:rPr>
      </w:pPr>
      <w:r>
        <w:rPr>
          <w:rFonts w:hint="eastAsia" w:ascii="宋体" w:hAnsi="宋体" w:eastAsia="宋体" w:cs="宋体"/>
          <w:b/>
          <w:bCs/>
          <w:sz w:val="24"/>
          <w:highlight w:val="none"/>
        </w:rPr>
        <w:t>服务地点：</w:t>
      </w:r>
      <w:r>
        <w:rPr>
          <w:rFonts w:hint="eastAsia" w:ascii="宋体" w:hAnsi="宋体" w:cs="宋体"/>
          <w:kern w:val="0"/>
          <w:sz w:val="24"/>
          <w:highlight w:val="none"/>
        </w:rPr>
        <w:t>中山大学附属第八医院（深圳福田）</w:t>
      </w:r>
    </w:p>
    <w:p w14:paraId="7C95FE8D">
      <w:pPr>
        <w:numPr>
          <w:ilvl w:val="0"/>
          <w:numId w:val="6"/>
        </w:numPr>
        <w:spacing w:line="360" w:lineRule="auto"/>
        <w:rPr>
          <w:rFonts w:ascii="宋体" w:hAnsi="宋体" w:eastAsia="宋体" w:cs="宋体"/>
          <w:b/>
          <w:bCs/>
          <w:sz w:val="24"/>
          <w:highlight w:val="none"/>
        </w:rPr>
      </w:pPr>
      <w:r>
        <w:rPr>
          <w:rFonts w:hint="eastAsia" w:ascii="宋体" w:hAnsi="宋体" w:eastAsia="宋体" w:cs="宋体"/>
          <w:b/>
          <w:bCs/>
          <w:sz w:val="24"/>
          <w:highlight w:val="none"/>
        </w:rPr>
        <w:t>投标报价要求</w:t>
      </w:r>
    </w:p>
    <w:p w14:paraId="21BB6F7C">
      <w:pPr>
        <w:keepNext w:val="0"/>
        <w:keepLines w:val="0"/>
        <w:widowControl/>
        <w:suppressLineNumbers w:val="0"/>
        <w:ind w:firstLine="720" w:firstLineChars="3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投标总价必须是完成该项目的一切费用总和，包括服务费、检测费、材料费、售后服务费、以及国家规定的各项税费等全部费用。一经中标，投标报价作为中标单位签订的合同金额，合同期限内的合同单价金额不作调整，不得超过9.5万元。</w:t>
      </w:r>
    </w:p>
    <w:p w14:paraId="50C51AD7">
      <w:pPr>
        <w:spacing w:line="360" w:lineRule="auto"/>
        <w:ind w:firstLine="482" w:firstLineChars="200"/>
        <w:rPr>
          <w:rFonts w:hint="default" w:ascii="宋体" w:hAnsi="宋体" w:cs="宋体" w:eastAsiaTheme="minorEastAsia"/>
          <w:kern w:val="0"/>
          <w:sz w:val="24"/>
          <w:highlight w:val="none"/>
          <w:lang w:val="en-US" w:eastAsia="zh-CN"/>
        </w:rPr>
      </w:pPr>
      <w:r>
        <w:rPr>
          <w:rFonts w:hint="eastAsia" w:ascii="宋体" w:hAnsi="宋体" w:eastAsia="宋体" w:cs="宋体"/>
          <w:b/>
          <w:bCs/>
          <w:sz w:val="24"/>
          <w:highlight w:val="none"/>
        </w:rPr>
        <w:t>（四）付款方式：</w:t>
      </w:r>
      <w:r>
        <w:rPr>
          <w:rFonts w:hint="eastAsia" w:ascii="宋体" w:hAnsi="宋体" w:eastAsia="宋体" w:cs="宋体"/>
          <w:color w:val="000000"/>
          <w:kern w:val="0"/>
          <w:sz w:val="24"/>
          <w:szCs w:val="24"/>
          <w:lang w:val="en-US" w:eastAsia="zh-CN" w:bidi="ar"/>
        </w:rPr>
        <w:t>通过验收后支付，甲方收到乙方发票及凭证资料之日起10工作日内以转账方式支付给乙方。</w:t>
      </w:r>
    </w:p>
    <w:p w14:paraId="00FE1E10">
      <w:pPr>
        <w:spacing w:line="360" w:lineRule="auto"/>
        <w:ind w:left="420"/>
        <w:rPr>
          <w:rFonts w:ascii="宋体" w:hAnsi="宋体" w:eastAsia="宋体" w:cs="宋体"/>
          <w:b/>
          <w:bCs/>
          <w:sz w:val="24"/>
          <w:highlight w:val="none"/>
        </w:rPr>
      </w:pPr>
      <w:r>
        <w:rPr>
          <w:rFonts w:hint="eastAsia" w:ascii="宋体" w:hAnsi="宋体" w:eastAsia="宋体" w:cs="宋体"/>
          <w:b/>
          <w:bCs/>
          <w:sz w:val="24"/>
          <w:highlight w:val="none"/>
        </w:rPr>
        <w:t>（五）关于验收</w:t>
      </w:r>
    </w:p>
    <w:p w14:paraId="4906325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bCs/>
          <w:sz w:val="24"/>
        </w:rPr>
        <w:t>甲方按合同约定及中华人民共和国现行的验收规范和评定标准进行交货验收。</w:t>
      </w:r>
    </w:p>
    <w:p w14:paraId="77612D93">
      <w:pPr>
        <w:numPr>
          <w:ilvl w:val="255"/>
          <w:numId w:val="0"/>
        </w:num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2、货物经过双方验收，满足以下条件时，甲方向乙方签发验收报告：</w:t>
      </w:r>
    </w:p>
    <w:p w14:paraId="0EF04ADE">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（1）货物全新。</w:t>
      </w:r>
    </w:p>
    <w:p w14:paraId="0DE350F2">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（2）全部技术文件资料等已按规定数量移交完毕。</w:t>
      </w:r>
    </w:p>
    <w:p w14:paraId="096F0E5B">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（4）按照合同要求和投标报价承诺的技术参数验收必须合格。</w:t>
      </w:r>
    </w:p>
    <w:p w14:paraId="29B0A085">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5）乙方提供的各种文件载明的内容必须真实，甲方对产品的技术数据置疑时有权要求乙方选择双方认可的第三方检测机构进行检测(检测费用由乙方承担)，检测结果必须证明乙方提供的技术数据是真实的，否则视为不合格。</w:t>
      </w:r>
    </w:p>
    <w:p w14:paraId="411B9689">
      <w:pPr>
        <w:numPr>
          <w:ilvl w:val="255"/>
          <w:numId w:val="0"/>
        </w:num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（6）货物所有技术指标达到合同和甲方的要求，</w:t>
      </w:r>
      <w:r>
        <w:rPr>
          <w:rFonts w:hint="eastAsia" w:ascii="宋体" w:hAnsi="宋体" w:eastAsia="宋体" w:cs="宋体"/>
          <w:bCs/>
          <w:sz w:val="24"/>
          <w:lang w:val="en-US" w:eastAsia="zh-CN"/>
        </w:rPr>
        <w:t>且均按合同和甲方要求栽种到指定地点，</w:t>
      </w:r>
      <w:r>
        <w:rPr>
          <w:rFonts w:hint="eastAsia" w:ascii="宋体" w:hAnsi="宋体" w:eastAsia="宋体" w:cs="宋体"/>
          <w:bCs/>
          <w:sz w:val="24"/>
        </w:rPr>
        <w:t>经验收合格后，双方共同签署验收报告。</w:t>
      </w:r>
    </w:p>
    <w:p w14:paraId="0B77A8EE">
      <w:pPr>
        <w:adjustRightInd w:val="0"/>
        <w:snapToGrid w:val="0"/>
        <w:spacing w:line="360" w:lineRule="auto"/>
        <w:ind w:firstLine="480" w:firstLineChars="200"/>
      </w:pPr>
      <w:r>
        <w:rPr>
          <w:rFonts w:hint="eastAsia" w:ascii="宋体" w:hAnsi="宋体"/>
          <w:sz w:val="24"/>
          <w:szCs w:val="32"/>
        </w:rPr>
        <w:t>3、因货物质量问题发生争议时，由本地质量技术监督部门鉴定，货物符合质量技术标准的，鉴定费由甲方承担，否则鉴定费由乙方承担。</w:t>
      </w:r>
    </w:p>
    <w:p w14:paraId="3CB149C7">
      <w:pPr>
        <w:pStyle w:val="2"/>
        <w:rPr>
          <w:highlight w:val="none"/>
        </w:rPr>
      </w:pPr>
    </w:p>
    <w:p w14:paraId="7E7165F6">
      <w:pPr>
        <w:rPr>
          <w:highlight w:val="none"/>
        </w:rPr>
      </w:pPr>
    </w:p>
    <w:p w14:paraId="5D244E42">
      <w:pPr>
        <w:keepNext w:val="0"/>
        <w:keepLines w:val="0"/>
        <w:pageBreakBefore w:val="0"/>
        <w:widowControl w:val="0"/>
        <w:kinsoku/>
        <w:wordWrap/>
        <w:overflowPunct/>
        <w:topLinePunct w:val="0"/>
        <w:autoSpaceDE/>
        <w:autoSpaceDN/>
        <w:bidi w:val="0"/>
        <w:adjustRightInd w:val="0"/>
        <w:snapToGrid w:val="0"/>
        <w:spacing w:line="520" w:lineRule="atLeas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（六）</w:t>
      </w:r>
      <w:r>
        <w:rPr>
          <w:rFonts w:hint="eastAsia" w:ascii="宋体" w:hAnsi="宋体" w:eastAsia="宋体" w:cs="宋体"/>
          <w:b/>
          <w:bCs/>
          <w:sz w:val="24"/>
          <w:szCs w:val="24"/>
          <w:highlight w:val="none"/>
        </w:rPr>
        <w:t>违约责任</w:t>
      </w:r>
    </w:p>
    <w:p w14:paraId="79E4E2A2">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w:t>
      </w:r>
      <w:r>
        <w:rPr>
          <w:rFonts w:hint="eastAsia" w:ascii="宋体" w:hAnsi="宋体" w:eastAsia="宋体" w:cs="宋体"/>
          <w:sz w:val="24"/>
          <w:szCs w:val="24"/>
          <w:highlight w:val="none"/>
        </w:rPr>
        <w:t>须根据采购文件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合同以及甲方的</w:t>
      </w:r>
      <w:r>
        <w:rPr>
          <w:rFonts w:hint="eastAsia" w:ascii="宋体" w:hAnsi="宋体" w:eastAsia="宋体" w:cs="宋体"/>
          <w:sz w:val="24"/>
          <w:szCs w:val="24"/>
          <w:highlight w:val="none"/>
        </w:rPr>
        <w:t>要求提供服务，若</w:t>
      </w:r>
      <w:r>
        <w:rPr>
          <w:rFonts w:hint="eastAsia" w:ascii="宋体" w:hAnsi="宋体" w:eastAsia="宋体" w:cs="宋体"/>
          <w:sz w:val="24"/>
          <w:szCs w:val="24"/>
          <w:highlight w:val="none"/>
          <w:lang w:val="en-US" w:eastAsia="zh-CN"/>
        </w:rPr>
        <w:t>乙方未按上述要求提供服务的，或</w:t>
      </w:r>
      <w:r>
        <w:rPr>
          <w:rFonts w:hint="eastAsia" w:ascii="宋体" w:hAnsi="宋体" w:eastAsia="宋体" w:cs="宋体"/>
          <w:sz w:val="24"/>
          <w:szCs w:val="24"/>
          <w:highlight w:val="none"/>
        </w:rPr>
        <w:t>因</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rPr>
        <w:t>原因导致项目无法进行而给</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造成损失的，</w:t>
      </w:r>
      <w:r>
        <w:rPr>
          <w:rFonts w:hint="eastAsia" w:ascii="宋体" w:hAnsi="宋体" w:eastAsia="宋体" w:cs="宋体"/>
          <w:sz w:val="24"/>
          <w:szCs w:val="24"/>
          <w:highlight w:val="none"/>
          <w:lang w:val="en-US" w:eastAsia="zh-CN"/>
        </w:rPr>
        <w:t>甲方有权单方解除合同，乙方须赔偿因此给甲方造成的全部损失并</w:t>
      </w:r>
      <w:r>
        <w:rPr>
          <w:rFonts w:hint="eastAsia" w:ascii="宋体" w:hAnsi="宋体" w:eastAsia="宋体" w:cs="宋体"/>
          <w:sz w:val="24"/>
          <w:szCs w:val="24"/>
          <w:highlight w:val="none"/>
        </w:rPr>
        <w:t>承担一切经济及法律责任</w:t>
      </w:r>
      <w:r>
        <w:rPr>
          <w:rFonts w:hint="eastAsia" w:ascii="宋体" w:hAnsi="宋体" w:eastAsia="宋体" w:cs="宋体"/>
          <w:sz w:val="24"/>
          <w:szCs w:val="24"/>
          <w:highlight w:val="none"/>
          <w:lang w:eastAsia="zh-CN"/>
        </w:rPr>
        <w:t>。</w:t>
      </w:r>
    </w:p>
    <w:p w14:paraId="3EDD1CF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pPr>
      <w:r>
        <w:rPr>
          <w:rFonts w:hint="eastAsia" w:ascii="宋体" w:hAnsi="宋体" w:eastAsia="宋体" w:cs="宋体"/>
          <w:sz w:val="24"/>
          <w:szCs w:val="24"/>
          <w:highlight w:val="none"/>
          <w:lang w:val="en-US" w:eastAsia="zh-CN"/>
        </w:rPr>
        <w:t>2、乙方</w:t>
      </w:r>
      <w:r>
        <w:rPr>
          <w:rFonts w:hint="eastAsia" w:ascii="宋体" w:hAnsi="宋体" w:eastAsia="宋体" w:cs="宋体"/>
          <w:sz w:val="24"/>
          <w:szCs w:val="24"/>
          <w:highlight w:val="none"/>
        </w:rPr>
        <w:t>所</w:t>
      </w:r>
      <w:r>
        <w:rPr>
          <w:rFonts w:hint="eastAsia" w:ascii="宋体" w:hAnsi="宋体" w:eastAsia="宋体" w:cs="宋体"/>
          <w:sz w:val="24"/>
          <w:szCs w:val="24"/>
          <w:highlight w:val="none"/>
          <w:lang w:val="en-US" w:eastAsia="zh-CN"/>
        </w:rPr>
        <w:t>提供的服务或</w:t>
      </w:r>
      <w:r>
        <w:rPr>
          <w:rFonts w:hint="eastAsia" w:ascii="宋体" w:hAnsi="宋体" w:eastAsia="宋体" w:cs="宋体"/>
          <w:sz w:val="24"/>
          <w:szCs w:val="24"/>
          <w:highlight w:val="none"/>
        </w:rPr>
        <w:t>交付</w:t>
      </w:r>
      <w:r>
        <w:rPr>
          <w:rFonts w:hint="eastAsia" w:ascii="宋体" w:hAnsi="宋体" w:eastAsia="宋体" w:cs="宋体"/>
          <w:sz w:val="24"/>
          <w:szCs w:val="24"/>
          <w:highlight w:val="none"/>
          <w:lang w:val="en-US" w:eastAsia="zh-CN"/>
        </w:rPr>
        <w:t>项目服务成果</w:t>
      </w:r>
      <w:r>
        <w:rPr>
          <w:rFonts w:hint="eastAsia" w:ascii="宋体" w:hAnsi="宋体" w:eastAsia="宋体" w:cs="宋体"/>
          <w:sz w:val="24"/>
          <w:szCs w:val="24"/>
          <w:highlight w:val="none"/>
        </w:rPr>
        <w:t>不能实质性满足</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文件要求</w:t>
      </w:r>
      <w:r>
        <w:rPr>
          <w:rFonts w:hint="eastAsia" w:ascii="宋体" w:hAnsi="宋体" w:eastAsia="宋体" w:cs="宋体"/>
          <w:sz w:val="24"/>
          <w:szCs w:val="24"/>
          <w:highlight w:val="none"/>
          <w:lang w:val="en-US" w:eastAsia="zh-CN"/>
        </w:rPr>
        <w:t>或合同约定</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有权</w:t>
      </w:r>
      <w:r>
        <w:rPr>
          <w:rFonts w:hint="eastAsia" w:ascii="宋体" w:hAnsi="宋体" w:eastAsia="宋体" w:cs="宋体"/>
          <w:sz w:val="24"/>
          <w:szCs w:val="24"/>
          <w:highlight w:val="none"/>
          <w:lang w:val="en-US" w:eastAsia="zh-CN"/>
        </w:rPr>
        <w:t>拒绝验收</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rPr>
        <w:t>向</w:t>
      </w:r>
      <w:r>
        <w:rPr>
          <w:rFonts w:hint="eastAsia" w:ascii="宋体" w:hAnsi="宋体" w:eastAsia="宋体" w:cs="宋体"/>
          <w:sz w:val="24"/>
          <w:szCs w:val="24"/>
          <w:highlight w:val="none"/>
          <w:lang w:val="en-US" w:eastAsia="zh-CN"/>
        </w:rPr>
        <w:t>甲方支付合同总金额5%/次</w:t>
      </w:r>
      <w:r>
        <w:rPr>
          <w:rFonts w:hint="eastAsia" w:ascii="宋体" w:hAnsi="宋体" w:eastAsia="宋体" w:cs="宋体"/>
          <w:sz w:val="24"/>
          <w:szCs w:val="24"/>
          <w:highlight w:val="none"/>
        </w:rPr>
        <w:t>的违约金</w:t>
      </w:r>
      <w:r>
        <w:rPr>
          <w:rFonts w:hint="eastAsia" w:ascii="宋体" w:hAnsi="宋体" w:eastAsia="宋体" w:cs="宋体"/>
          <w:color w:val="000000"/>
          <w:kern w:val="0"/>
          <w:sz w:val="24"/>
          <w:highlight w:val="none"/>
          <w:lang w:eastAsia="zh-CN"/>
        </w:rPr>
        <w:t>，</w:t>
      </w:r>
      <w:r>
        <w:rPr>
          <w:rFonts w:hint="eastAsia" w:ascii="宋体" w:hAnsi="宋体" w:eastAsia="宋体" w:cs="宋体"/>
          <w:color w:val="000000"/>
          <w:kern w:val="0"/>
          <w:sz w:val="24"/>
          <w:highlight w:val="none"/>
          <w:lang w:val="en-US" w:eastAsia="zh-CN"/>
        </w:rPr>
        <w:t>违约金不足以弥补甲方损失的，乙方须继续赔偿，甲方有权在应付合同款中直接扣除该违约金/赔偿金。同时，乙方须在甲方要求的时限内完成整改直至达到甲方要求。</w:t>
      </w:r>
    </w:p>
    <w:p w14:paraId="15F7B9BA">
      <w:pPr>
        <w:keepNext w:val="0"/>
        <w:keepLines w:val="0"/>
        <w:pageBreakBefore w:val="0"/>
        <w:widowControl w:val="0"/>
        <w:kinsoku/>
        <w:wordWrap/>
        <w:overflowPunct/>
        <w:topLinePunct w:val="0"/>
        <w:autoSpaceDE/>
        <w:autoSpaceDN/>
        <w:bidi w:val="0"/>
        <w:adjustRightInd w:val="0"/>
        <w:snapToGrid w:val="0"/>
        <w:spacing w:line="520" w:lineRule="atLeast"/>
        <w:ind w:firstLine="482" w:firstLineChars="200"/>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lang w:eastAsia="zh-CN"/>
        </w:rPr>
        <w:t>）其他要求：</w:t>
      </w:r>
    </w:p>
    <w:p w14:paraId="77BC42B3">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合同签订后，投标人应严格按采购人的要求送货，按照采购项目的规格、数量、质量等要求交货安装，否则产生的额外费用由投标人来承担。投标人提供的货物不符合本合同约定的，采购人有权拒收货物，由此引起的相关风险及损失由投标人承担。</w:t>
      </w:r>
    </w:p>
    <w:p w14:paraId="706E3D7B">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　投标人装货完成发运前，应及时将发货情况通知给采购人接货人，如未通知至采购人接货人而造成的卸货延迟或无法安装，其损失和责任由投标人承担。</w:t>
      </w:r>
    </w:p>
    <w:p w14:paraId="2A3EFB4A">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（3）发货和收货手续必须清楚，投标人的发货人和采购人的收货人签字及入库证明等资料至少应保留1年，以作为核对购货明细的合法证明。</w:t>
      </w:r>
    </w:p>
    <w:p w14:paraId="3E16123C">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投标人应向采购人提供配置清单、产品说明书、图纸、操作手册、中文操作使用说明书、原厂维护手册、维修手册、软件备份、故障代码表、备件清单、零部件、维护手册（含维修密码及接口数据）等维护维修必需的材料和信息。所有外文资料需提供中文译本。文件应随货物一并交付至采购人指定地点。</w:t>
      </w:r>
    </w:p>
    <w:p w14:paraId="3850134D">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投标人提供的货物必须为全新货物，出厂日期为在采购人收到日期前12个月内，最新生产批次且经检验合格的产品。产品如需要计量检定的，应提供相关计量检定部门出具的合法检定报告。其中，进口设备必须具有报关证明文件、原产地证明和商检合格证明文件等相关证明文件，否则采购人不予接收。如国家规定的强检设备，由投标人负责完成首次计量强制检定，验收前投标人必须附上计量检定合格报告。</w:t>
      </w:r>
    </w:p>
    <w:p w14:paraId="0BD34134">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采购人有权检验或测试货物，以确认货物是否符合要求，费用由投标人承担，采购人不承担任何费用。若发现投标人所交货物与招标（采购）文件、合同要求或投标文件中所承诺的不符或存在质量、技术缺陷等，采购人有权拒绝接收该货物，投标人应在_3_日内补足、更换或退货等,以满足采购人要求，由此发生的一切损失和费用由投标人承担。</w:t>
      </w:r>
    </w:p>
    <w:p w14:paraId="4ED65FFA">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（7）投标人负责货物的现场安装和调试，提供货物安装、调试和维修所需的专用工具和辅助材料。</w:t>
      </w:r>
    </w:p>
    <w:p w14:paraId="36D11C7A">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货物安装需施工的，投标人应在合同签订前提供设备安装施工图纸，采购人与投标人共同签字确定安装场地施工方案。如涉及提供相关的电路图、施工图、安装工程等，全部费用（包含但不限于装修费、旧设备拆装费、管理服务费、安装如涉及外接电源、网络、给排水、排风等必须对现有设施进行改造或增加管线、材料及人工等）由投标人承担，电源电线插座、长度和用电等须符合采购人的使用要求，设备电源插头须符合采购人使用科室现有的插座，若不符合须提供相应的插头转换接口，投标人所供货物均须妥善安装确保采购人可正常使用。</w:t>
      </w:r>
    </w:p>
    <w:p w14:paraId="62AEA2D1">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（9）货物包装及运输要求：以纸箱包装、包装整体,便于装卸。货物在交付采购人并验收合格前的毁损及灭失风险由投标人承担。</w:t>
      </w:r>
    </w:p>
    <w:p w14:paraId="45A8DF1A">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（10）送货单应为一式叁份，应清楚注明采购人所购货物的时间、品牌、数量、规格等，以此为标准参数，并且有采购人签字确认,以此作为结算验收的依据。</w:t>
      </w:r>
    </w:p>
    <w:p w14:paraId="73A6A96C">
      <w:pPr>
        <w:pStyle w:val="17"/>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（11）投标人承担产品质量责任，并做到安全作业，若发生任何事故（包括但不限于人身伤害、财产损失等）或侵权责任等的，投标人负责赔偿并承担一切经济及法律责任。</w:t>
      </w:r>
    </w:p>
    <w:p w14:paraId="3C37ACB9">
      <w:pPr>
        <w:pStyle w:val="2"/>
        <w:rPr>
          <w:highlight w:val="none"/>
        </w:rPr>
      </w:pPr>
    </w:p>
    <w:p w14:paraId="07D947C0">
      <w:pPr>
        <w:rPr>
          <w:highlight w:val="none"/>
        </w:rPr>
      </w:pPr>
    </w:p>
    <w:p w14:paraId="2C17E7CF">
      <w:pPr>
        <w:pStyle w:val="2"/>
        <w:rPr>
          <w:highlight w:val="none"/>
        </w:rPr>
      </w:pPr>
    </w:p>
    <w:p w14:paraId="6F86326C">
      <w:pPr>
        <w:rPr>
          <w:highlight w:val="none"/>
        </w:rPr>
      </w:pPr>
    </w:p>
    <w:p w14:paraId="77168850">
      <w:pPr>
        <w:pStyle w:val="2"/>
        <w:rPr>
          <w:highlight w:val="none"/>
        </w:rPr>
      </w:pPr>
    </w:p>
    <w:p w14:paraId="2A27F736">
      <w:pPr>
        <w:rPr>
          <w:highlight w:val="none"/>
        </w:rPr>
      </w:pPr>
    </w:p>
    <w:p w14:paraId="00EC9B99">
      <w:pPr>
        <w:pStyle w:val="2"/>
        <w:rPr>
          <w:highlight w:val="none"/>
        </w:rPr>
      </w:pPr>
    </w:p>
    <w:p w14:paraId="0B4B2DD5">
      <w:pPr>
        <w:rPr>
          <w:highlight w:val="none"/>
        </w:rPr>
      </w:pPr>
    </w:p>
    <w:p w14:paraId="2C1E55B6">
      <w:pPr>
        <w:pStyle w:val="2"/>
        <w:rPr>
          <w:highlight w:val="none"/>
        </w:rPr>
      </w:pPr>
    </w:p>
    <w:p w14:paraId="6C549837">
      <w:pPr>
        <w:spacing w:line="540" w:lineRule="exact"/>
        <w:rPr>
          <w:rFonts w:ascii="Times New Roman" w:hAnsi="Times New Roman" w:eastAsia="仿宋_GB2312" w:cs="Times New Roman"/>
          <w:sz w:val="28"/>
          <w:szCs w:val="28"/>
          <w:highlight w:val="none"/>
        </w:rPr>
      </w:pPr>
    </w:p>
    <w:p w14:paraId="609660C0">
      <w:pPr>
        <w:spacing w:line="540" w:lineRule="exact"/>
        <w:jc w:val="right"/>
        <w:rPr>
          <w:rFonts w:ascii="Times New Roman" w:hAnsi="Times New Roman" w:eastAsia="仿宋_GB2312" w:cs="Times New Roman"/>
          <w:sz w:val="22"/>
          <w:szCs w:val="22"/>
          <w:highlight w:val="none"/>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DA49">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45AE75">
                          <w:pPr>
                            <w:pStyle w:val="8"/>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245AE75">
                    <w:pPr>
                      <w:pStyle w:val="8"/>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81E8">
    <w:pPr>
      <w:autoSpaceDE w:val="0"/>
      <w:autoSpaceDN w:val="0"/>
      <w:spacing w:line="14" w:lineRule="auto"/>
      <w:jc w:val="left"/>
      <w:rPr>
        <w:rFonts w:ascii="仿宋" w:hAnsi="仿宋" w:eastAsia="仿宋" w:cs="仿宋"/>
        <w:sz w:val="2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1611C"/>
    <w:multiLevelType w:val="singleLevel"/>
    <w:tmpl w:val="FA61611C"/>
    <w:lvl w:ilvl="0" w:tentative="0">
      <w:start w:val="1"/>
      <w:numFmt w:val="decimal"/>
      <w:suff w:val="nothing"/>
      <w:lvlText w:val="%1．"/>
      <w:lvlJc w:val="left"/>
      <w:pPr>
        <w:ind w:left="0" w:firstLine="400"/>
      </w:pPr>
      <w:rPr>
        <w:rFonts w:hint="default" w:ascii="宋体" w:hAnsi="宋体" w:eastAsia="宋体" w:cstheme="majorEastAsia"/>
        <w:sz w:val="24"/>
        <w:szCs w:val="24"/>
      </w:rPr>
    </w:lvl>
  </w:abstractNum>
  <w:abstractNum w:abstractNumId="1">
    <w:nsid w:val="0000000F"/>
    <w:multiLevelType w:val="singleLevel"/>
    <w:tmpl w:val="0000000F"/>
    <w:lvl w:ilvl="0" w:tentative="0">
      <w:start w:val="2"/>
      <w:numFmt w:val="chineseCounting"/>
      <w:suff w:val="nothing"/>
      <w:lvlText w:val="%1、"/>
      <w:lvlJc w:val="left"/>
      <w:rPr>
        <w:rFonts w:hint="eastAsia"/>
      </w:rPr>
    </w:lvl>
  </w:abstractNum>
  <w:abstractNum w:abstractNumId="2">
    <w:nsid w:val="09E84A65"/>
    <w:multiLevelType w:val="singleLevel"/>
    <w:tmpl w:val="09E84A65"/>
    <w:lvl w:ilvl="0" w:tentative="0">
      <w:start w:val="2"/>
      <w:numFmt w:val="chineseCounting"/>
      <w:suff w:val="nothing"/>
      <w:lvlText w:val="（%1）"/>
      <w:lvlJc w:val="left"/>
      <w:rPr>
        <w:rFonts w:hint="eastAsia"/>
      </w:rPr>
    </w:lvl>
  </w:abstractNum>
  <w:abstractNum w:abstractNumId="3">
    <w:nsid w:val="14E3E999"/>
    <w:multiLevelType w:val="singleLevel"/>
    <w:tmpl w:val="14E3E999"/>
    <w:lvl w:ilvl="0" w:tentative="0">
      <w:start w:val="1"/>
      <w:numFmt w:val="chineseCounting"/>
      <w:suff w:val="nothing"/>
      <w:lvlText w:val="（%1）"/>
      <w:lvlJc w:val="left"/>
      <w:pPr>
        <w:ind w:left="0" w:firstLine="420"/>
      </w:pPr>
      <w:rPr>
        <w:rFonts w:hint="eastAsia"/>
      </w:rPr>
    </w:lvl>
  </w:abstractNum>
  <w:abstractNum w:abstractNumId="4">
    <w:nsid w:val="1B9B557A"/>
    <w:multiLevelType w:val="singleLevel"/>
    <w:tmpl w:val="1B9B557A"/>
    <w:lvl w:ilvl="0" w:tentative="0">
      <w:start w:val="1"/>
      <w:numFmt w:val="decimal"/>
      <w:suff w:val="nothing"/>
      <w:lvlText w:val="%1．"/>
      <w:lvlJc w:val="left"/>
      <w:pPr>
        <w:ind w:left="0" w:firstLine="400"/>
      </w:pPr>
      <w:rPr>
        <w:rFonts w:hint="default"/>
      </w:rPr>
    </w:lvl>
  </w:abstractNum>
  <w:abstractNum w:abstractNumId="5">
    <w:nsid w:val="3A21ED8D"/>
    <w:multiLevelType w:val="multilevel"/>
    <w:tmpl w:val="3A21ED8D"/>
    <w:lvl w:ilvl="0" w:tentative="0">
      <w:start w:val="2"/>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mOGY2NmQ5OTJmMDI1Mjc1OTM0OTRmZDQ5YTZkODMifQ=="/>
  </w:docVars>
  <w:rsids>
    <w:rsidRoot w:val="4FFC5FA2"/>
    <w:rsid w:val="000624C6"/>
    <w:rsid w:val="00176E65"/>
    <w:rsid w:val="001C35EF"/>
    <w:rsid w:val="0021439E"/>
    <w:rsid w:val="006105BC"/>
    <w:rsid w:val="006A471C"/>
    <w:rsid w:val="008B3F21"/>
    <w:rsid w:val="00A23411"/>
    <w:rsid w:val="00B53AF8"/>
    <w:rsid w:val="00C528DB"/>
    <w:rsid w:val="010158D6"/>
    <w:rsid w:val="025A2061"/>
    <w:rsid w:val="031B4DDD"/>
    <w:rsid w:val="04235212"/>
    <w:rsid w:val="04F835A0"/>
    <w:rsid w:val="05C30855"/>
    <w:rsid w:val="066639D5"/>
    <w:rsid w:val="06AE7966"/>
    <w:rsid w:val="07207949"/>
    <w:rsid w:val="07B37C1F"/>
    <w:rsid w:val="08B6005B"/>
    <w:rsid w:val="0AF34F6D"/>
    <w:rsid w:val="0CB734F0"/>
    <w:rsid w:val="0CF33513"/>
    <w:rsid w:val="0E122ED0"/>
    <w:rsid w:val="0E410442"/>
    <w:rsid w:val="0FC87C7C"/>
    <w:rsid w:val="109F26E4"/>
    <w:rsid w:val="113605CA"/>
    <w:rsid w:val="13C045D3"/>
    <w:rsid w:val="14E07226"/>
    <w:rsid w:val="154E4416"/>
    <w:rsid w:val="168B310E"/>
    <w:rsid w:val="16B71C1F"/>
    <w:rsid w:val="18823C45"/>
    <w:rsid w:val="1AB64061"/>
    <w:rsid w:val="1C1918CE"/>
    <w:rsid w:val="1D3346C5"/>
    <w:rsid w:val="1D390E43"/>
    <w:rsid w:val="1E0344C3"/>
    <w:rsid w:val="1E200CF1"/>
    <w:rsid w:val="1E7239A4"/>
    <w:rsid w:val="1E7D169F"/>
    <w:rsid w:val="1F2E7B6B"/>
    <w:rsid w:val="1FE65F6B"/>
    <w:rsid w:val="1FEB3581"/>
    <w:rsid w:val="20DB2F52"/>
    <w:rsid w:val="21C565C2"/>
    <w:rsid w:val="228C6B97"/>
    <w:rsid w:val="22D737D5"/>
    <w:rsid w:val="23EB635F"/>
    <w:rsid w:val="24BF25D2"/>
    <w:rsid w:val="25F37AAF"/>
    <w:rsid w:val="25F623DD"/>
    <w:rsid w:val="26180E7B"/>
    <w:rsid w:val="27611031"/>
    <w:rsid w:val="28441A80"/>
    <w:rsid w:val="29AD3C82"/>
    <w:rsid w:val="29ED6FF1"/>
    <w:rsid w:val="2B3D2467"/>
    <w:rsid w:val="2B5014F4"/>
    <w:rsid w:val="2CAB6572"/>
    <w:rsid w:val="2D774A5C"/>
    <w:rsid w:val="2E722BA3"/>
    <w:rsid w:val="2F28214D"/>
    <w:rsid w:val="2F4B1AAD"/>
    <w:rsid w:val="2F5939CF"/>
    <w:rsid w:val="2FC041FF"/>
    <w:rsid w:val="3001707A"/>
    <w:rsid w:val="3215472C"/>
    <w:rsid w:val="32AD00B9"/>
    <w:rsid w:val="336B086B"/>
    <w:rsid w:val="34023489"/>
    <w:rsid w:val="34815751"/>
    <w:rsid w:val="35400969"/>
    <w:rsid w:val="36BC2F59"/>
    <w:rsid w:val="370B0B2C"/>
    <w:rsid w:val="37B564F7"/>
    <w:rsid w:val="39FD4282"/>
    <w:rsid w:val="3A2E1EF7"/>
    <w:rsid w:val="3AED4389"/>
    <w:rsid w:val="3AF109F6"/>
    <w:rsid w:val="3B4A6275"/>
    <w:rsid w:val="3B915A92"/>
    <w:rsid w:val="3BA96372"/>
    <w:rsid w:val="3BDB4DF3"/>
    <w:rsid w:val="3C71288B"/>
    <w:rsid w:val="3C9A6F62"/>
    <w:rsid w:val="3D3879AE"/>
    <w:rsid w:val="3DF87DF4"/>
    <w:rsid w:val="3E0233F7"/>
    <w:rsid w:val="41072269"/>
    <w:rsid w:val="41181839"/>
    <w:rsid w:val="420B225C"/>
    <w:rsid w:val="42BE4C61"/>
    <w:rsid w:val="47D74267"/>
    <w:rsid w:val="4811248E"/>
    <w:rsid w:val="48733F90"/>
    <w:rsid w:val="48E61E4B"/>
    <w:rsid w:val="490E5A67"/>
    <w:rsid w:val="49260284"/>
    <w:rsid w:val="4A086EB1"/>
    <w:rsid w:val="4A123A63"/>
    <w:rsid w:val="4A1C3C31"/>
    <w:rsid w:val="4B0C22F0"/>
    <w:rsid w:val="4B1E5CB5"/>
    <w:rsid w:val="4B595235"/>
    <w:rsid w:val="4DFA2A5E"/>
    <w:rsid w:val="4EE203B7"/>
    <w:rsid w:val="4FFC5FA2"/>
    <w:rsid w:val="515F1555"/>
    <w:rsid w:val="523B17BE"/>
    <w:rsid w:val="53460CB6"/>
    <w:rsid w:val="54A379AB"/>
    <w:rsid w:val="559D6190"/>
    <w:rsid w:val="56FA2A30"/>
    <w:rsid w:val="578F07CC"/>
    <w:rsid w:val="5B035313"/>
    <w:rsid w:val="5B285746"/>
    <w:rsid w:val="5B9D1491"/>
    <w:rsid w:val="5DAF116F"/>
    <w:rsid w:val="5EF9646E"/>
    <w:rsid w:val="5F3C589A"/>
    <w:rsid w:val="5F3F4774"/>
    <w:rsid w:val="608E2BDB"/>
    <w:rsid w:val="60ED780A"/>
    <w:rsid w:val="60EE1FAE"/>
    <w:rsid w:val="610A2B60"/>
    <w:rsid w:val="622C10F6"/>
    <w:rsid w:val="62355AF7"/>
    <w:rsid w:val="62EA2ED9"/>
    <w:rsid w:val="63BF7C32"/>
    <w:rsid w:val="682B2CD6"/>
    <w:rsid w:val="68913B77"/>
    <w:rsid w:val="691D3680"/>
    <w:rsid w:val="6CDB5633"/>
    <w:rsid w:val="6D232646"/>
    <w:rsid w:val="70866F42"/>
    <w:rsid w:val="70B77E27"/>
    <w:rsid w:val="741B7106"/>
    <w:rsid w:val="756248C1"/>
    <w:rsid w:val="75C31803"/>
    <w:rsid w:val="76102E50"/>
    <w:rsid w:val="7A2B0238"/>
    <w:rsid w:val="7B086181"/>
    <w:rsid w:val="7B3050A5"/>
    <w:rsid w:val="7BB865F7"/>
    <w:rsid w:val="7CD56FFA"/>
    <w:rsid w:val="7D34021E"/>
    <w:rsid w:val="7DFF2EA4"/>
    <w:rsid w:val="7E0A2AE6"/>
    <w:rsid w:val="7EA1197F"/>
    <w:rsid w:val="7F170FBC"/>
    <w:rsid w:val="7F46351C"/>
    <w:rsid w:val="7F791185"/>
    <w:rsid w:val="7FC70142"/>
    <w:rsid w:val="7FD7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szCs w:val="20"/>
    </w:rPr>
  </w:style>
  <w:style w:type="paragraph" w:styleId="3">
    <w:name w:val="Normal Indent"/>
    <w:basedOn w:val="1"/>
    <w:autoRedefine/>
    <w:qFormat/>
    <w:uiPriority w:val="0"/>
    <w:pPr>
      <w:adjustRightInd w:val="0"/>
      <w:spacing w:line="360" w:lineRule="atLeast"/>
      <w:ind w:firstLine="420"/>
      <w:jc w:val="left"/>
      <w:textAlignment w:val="baseline"/>
    </w:pPr>
    <w:rPr>
      <w:kern w:val="0"/>
      <w:sz w:val="24"/>
    </w:rPr>
  </w:style>
  <w:style w:type="paragraph" w:styleId="4">
    <w:name w:val="annotation text"/>
    <w:basedOn w:val="1"/>
    <w:autoRedefine/>
    <w:qFormat/>
    <w:uiPriority w:val="0"/>
    <w:pPr>
      <w:jc w:val="left"/>
    </w:pPr>
  </w:style>
  <w:style w:type="paragraph" w:styleId="5">
    <w:name w:val="Body Text Indent"/>
    <w:basedOn w:val="1"/>
    <w:autoRedefine/>
    <w:qFormat/>
    <w:uiPriority w:val="0"/>
    <w:pPr>
      <w:spacing w:line="560" w:lineRule="exact"/>
      <w:ind w:left="300"/>
    </w:pPr>
    <w:rPr>
      <w:sz w:val="24"/>
    </w:rPr>
  </w:style>
  <w:style w:type="paragraph" w:styleId="6">
    <w:name w:val="index 4"/>
    <w:basedOn w:val="1"/>
    <w:next w:val="1"/>
    <w:qFormat/>
    <w:uiPriority w:val="0"/>
    <w:pPr>
      <w:ind w:left="600" w:leftChars="600"/>
    </w:pPr>
  </w:style>
  <w:style w:type="paragraph" w:styleId="7">
    <w:name w:val="Plain Text"/>
    <w:basedOn w:val="1"/>
    <w:autoRedefine/>
    <w:qFormat/>
    <w:uiPriority w:val="0"/>
    <w:rPr>
      <w:rFonts w:ascii="宋体" w:hAnsi="Courier New"/>
      <w:szCs w:val="20"/>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99"/>
    <w:pPr>
      <w:spacing w:beforeAutospacing="1" w:afterAutospacing="1"/>
      <w:jc w:val="left"/>
    </w:pPr>
    <w:rPr>
      <w:rFonts w:cs="Times New Roman"/>
      <w:kern w:val="0"/>
      <w:sz w:val="24"/>
    </w:rPr>
  </w:style>
  <w:style w:type="paragraph" w:styleId="11">
    <w:name w:val="Body Text First Indent 2"/>
    <w:basedOn w:val="5"/>
    <w:next w:val="1"/>
    <w:autoRedefine/>
    <w:qFormat/>
    <w:uiPriority w:val="0"/>
    <w:pPr>
      <w:ind w:firstLine="420" w:firstLineChars="200"/>
    </w:pPr>
    <w:rPr>
      <w:sz w:val="21"/>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autoRedefine/>
    <w:qFormat/>
    <w:uiPriority w:val="99"/>
    <w:rPr>
      <w:sz w:val="21"/>
      <w:szCs w:val="21"/>
    </w:rPr>
  </w:style>
  <w:style w:type="paragraph" w:styleId="16">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7">
    <w:name w:val="文档正文"/>
    <w:basedOn w:val="1"/>
    <w:autoRedefine/>
    <w:qFormat/>
    <w:uiPriority w:val="0"/>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18">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9">
    <w:name w:val="列出段落1"/>
    <w:basedOn w:val="1"/>
    <w:autoRedefine/>
    <w:qFormat/>
    <w:uiPriority w:val="0"/>
    <w:pPr>
      <w:ind w:firstLine="420" w:firstLineChars="200"/>
    </w:pPr>
    <w:rPr>
      <w:rFonts w:ascii="Times New Roman" w:hAnsi="Times New Roman" w:eastAsia="宋体" w:cs="Times New Roman"/>
    </w:rPr>
  </w:style>
  <w:style w:type="paragraph" w:customStyle="1" w:styleId="20">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2968</Words>
  <Characters>3169</Characters>
  <Lines>2</Lines>
  <Paragraphs>2</Paragraphs>
  <TotalTime>0</TotalTime>
  <ScaleCrop>false</ScaleCrop>
  <LinksUpToDate>false</LinksUpToDate>
  <CharactersWithSpaces>3197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2023-01-05T10:14:00Z</dcterms:created>
  <dc:creator>yc</dc:creator>
  <cp:lastModifiedBy>刘久桦</cp:lastModifiedBy>
  <dcterms:modified xsi:type="dcterms:W3CDTF">2026-08-10T06:37:40Z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A6AE9131C2914F008CF79D78F4B40706_13</vt:lpwstr>
  </property>
  <property fmtid="{D5CDD505-2E9C-101B-9397-08002B2CF9AE}" pid="4" name="KSOTemplateDocerSaveRecord">
    <vt:lpwstr>eyJoZGlkIjoiYmZmNjk3NGJjYmI3ZGI4NGVkNDViNWY4OTE4OTQ3MzQiLCJ1c2VySWQiOiIzMTE0NTAxNDYifQ==</vt:lpwstr>
  </property>
</Properties>
</file>