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986F29">
      <w:pPr>
        <w:jc w:val="center"/>
        <w:rPr>
          <w:rFonts w:ascii="微软雅黑" w:hAnsi="微软雅黑" w:eastAsia="微软雅黑" w:cs="微软雅黑"/>
          <w:b/>
          <w:bCs/>
          <w:sz w:val="32"/>
          <w:szCs w:val="32"/>
        </w:rPr>
      </w:pPr>
      <w:r>
        <w:rPr>
          <w:rFonts w:hint="eastAsia" w:ascii="微软雅黑" w:hAnsi="微软雅黑" w:eastAsia="微软雅黑" w:cs="微软雅黑"/>
          <w:b/>
          <w:bCs/>
          <w:sz w:val="32"/>
          <w:szCs w:val="32"/>
        </w:rPr>
        <w:t>中医体质辨识系统</w:t>
      </w:r>
      <w:bookmarkStart w:id="0" w:name="_GoBack"/>
      <w:bookmarkEnd w:id="0"/>
      <w:r>
        <w:rPr>
          <w:rFonts w:hint="eastAsia" w:ascii="微软雅黑" w:hAnsi="微软雅黑" w:eastAsia="微软雅黑" w:cs="微软雅黑"/>
          <w:b/>
          <w:bCs/>
          <w:sz w:val="32"/>
          <w:szCs w:val="32"/>
        </w:rPr>
        <w:t>功能需求</w:t>
      </w:r>
    </w:p>
    <w:p w14:paraId="02CB44CA">
      <w:pPr>
        <w:pStyle w:val="12"/>
        <w:numPr>
          <w:ilvl w:val="0"/>
          <w:numId w:val="1"/>
        </w:numPr>
        <w:ind w:left="0"/>
        <w:rPr>
          <w:rFonts w:ascii="微软雅黑" w:hAnsi="微软雅黑" w:eastAsia="微软雅黑" w:cs="微软雅黑"/>
        </w:rPr>
      </w:pPr>
      <w:r>
        <w:rPr>
          <w:rFonts w:ascii="微软雅黑" w:hAnsi="微软雅黑" w:eastAsia="微软雅黑" w:cs="微软雅黑"/>
        </w:rPr>
        <w:t>系统技术规格及要求</w:t>
      </w:r>
    </w:p>
    <w:p w14:paraId="68A0B135">
      <w:pPr>
        <w:ind w:firstLine="240"/>
        <w:rPr>
          <w:rFonts w:ascii="微软雅黑" w:hAnsi="微软雅黑" w:eastAsia="微软雅黑" w:cs="微软雅黑"/>
        </w:rPr>
      </w:pPr>
      <w:r>
        <w:rPr>
          <w:rFonts w:hint="eastAsia" w:ascii="微软雅黑" w:hAnsi="微软雅黑" w:eastAsia="微软雅黑" w:cs="微软雅黑"/>
        </w:rPr>
        <w:t>根据《深圳经济特区健康条例》、《关于优化基层医疗卫生机构布局建设的指导意见》(国卫基层发(2025)2号)、《广东省家庭医生“签约有感”行动方案(2026-2027)》、《福田区数智健康小屋试点建设工作方案(试行)》的相关工作指引的通知要求及中山大学附属第八医院(深圳福田)党办通(2026)254 号关于我院数智健康小屋投入环境改造及基础物资的相关事宜决定事项的通知，申请建设社康数智健康小屋</w:t>
      </w:r>
      <w:r>
        <w:rPr>
          <w:rFonts w:ascii="微软雅黑" w:hAnsi="微软雅黑" w:eastAsia="微软雅黑" w:cs="微软雅黑"/>
        </w:rPr>
        <w:t>中医体质辨识</w:t>
      </w:r>
      <w:r>
        <w:rPr>
          <w:rFonts w:hint="eastAsia" w:ascii="微软雅黑" w:hAnsi="微软雅黑" w:eastAsia="微软雅黑" w:cs="微软雅黑"/>
        </w:rPr>
        <w:t xml:space="preserve">系统. </w:t>
      </w:r>
    </w:p>
    <w:p w14:paraId="33C691F8">
      <w:pPr>
        <w:ind w:firstLine="240"/>
        <w:rPr>
          <w:rFonts w:ascii="微软雅黑" w:hAnsi="微软雅黑" w:eastAsia="微软雅黑" w:cs="微软雅黑"/>
        </w:rPr>
      </w:pPr>
      <w:r>
        <w:rPr>
          <w:rFonts w:hint="eastAsia" w:ascii="微软雅黑" w:hAnsi="微软雅黑" w:eastAsia="微软雅黑" w:cs="微软雅黑"/>
        </w:rPr>
        <w:t>本项目总价即完成本项目的全部内容的所有费用，包含但不限于软件系统的二次开发、服务器、安装调试、接口费及对接院内其他信息系统所涉及到的所有费用以及租赁期内供应商负责软硬件维保费用。</w:t>
      </w:r>
    </w:p>
    <w:p w14:paraId="303152F2">
      <w:pPr>
        <w:pStyle w:val="12"/>
        <w:ind w:left="240"/>
        <w:rPr>
          <w:rFonts w:ascii="微软雅黑" w:hAnsi="微软雅黑" w:eastAsia="微软雅黑" w:cs="微软雅黑"/>
        </w:rPr>
      </w:pPr>
    </w:p>
    <w:p w14:paraId="54F78409">
      <w:pPr>
        <w:pStyle w:val="12"/>
        <w:numPr>
          <w:ilvl w:val="0"/>
          <w:numId w:val="1"/>
        </w:numPr>
        <w:adjustRightInd w:val="0"/>
        <w:snapToGrid w:val="0"/>
        <w:spacing w:before="156" w:beforeLines="50"/>
        <w:ind w:left="0"/>
        <w:rPr>
          <w:rFonts w:ascii="微软雅黑" w:hAnsi="微软雅黑" w:eastAsia="微软雅黑" w:cs="微软雅黑"/>
        </w:rPr>
      </w:pPr>
      <w:r>
        <w:rPr>
          <w:rFonts w:hint="eastAsia" w:ascii="微软雅黑" w:hAnsi="微软雅黑" w:eastAsia="微软雅黑" w:cs="微软雅黑"/>
        </w:rPr>
        <w:t>系统功能参数需求</w:t>
      </w:r>
    </w:p>
    <w:tbl>
      <w:tblPr>
        <w:tblStyle w:val="6"/>
        <w:tblW w:w="97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6"/>
        <w:gridCol w:w="1827"/>
        <w:gridCol w:w="6857"/>
      </w:tblGrid>
      <w:tr w14:paraId="6E7F8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blHeader/>
          <w:jc w:val="center"/>
        </w:trPr>
        <w:tc>
          <w:tcPr>
            <w:tcW w:w="1096" w:type="dxa"/>
            <w:tcMar>
              <w:top w:w="80" w:type="dxa"/>
              <w:left w:w="100" w:type="dxa"/>
              <w:bottom w:w="80" w:type="dxa"/>
              <w:right w:w="100" w:type="dxa"/>
            </w:tcMar>
            <w:vAlign w:val="center"/>
          </w:tcPr>
          <w:p w14:paraId="15A84238">
            <w:pPr>
              <w:spacing w:line="276" w:lineRule="auto"/>
              <w:jc w:val="center"/>
            </w:pPr>
            <w:r>
              <w:rPr>
                <w:rFonts w:ascii="宋体" w:hAnsi="宋体" w:eastAsia="宋体"/>
                <w:b/>
                <w:sz w:val="20"/>
              </w:rPr>
              <w:t>类别</w:t>
            </w:r>
          </w:p>
        </w:tc>
        <w:tc>
          <w:tcPr>
            <w:tcW w:w="1827" w:type="dxa"/>
            <w:tcMar>
              <w:top w:w="80" w:type="dxa"/>
              <w:left w:w="100" w:type="dxa"/>
              <w:bottom w:w="80" w:type="dxa"/>
              <w:right w:w="100" w:type="dxa"/>
            </w:tcMar>
            <w:vAlign w:val="center"/>
          </w:tcPr>
          <w:p w14:paraId="73011A6F">
            <w:pPr>
              <w:spacing w:line="276" w:lineRule="auto"/>
              <w:jc w:val="center"/>
            </w:pPr>
            <w:r>
              <w:rPr>
                <w:rFonts w:ascii="宋体" w:hAnsi="宋体" w:eastAsia="宋体"/>
                <w:b/>
                <w:sz w:val="20"/>
              </w:rPr>
              <w:t>项目</w:t>
            </w:r>
          </w:p>
        </w:tc>
        <w:tc>
          <w:tcPr>
            <w:tcW w:w="6857" w:type="dxa"/>
            <w:tcMar>
              <w:top w:w="80" w:type="dxa"/>
              <w:left w:w="100" w:type="dxa"/>
              <w:bottom w:w="80" w:type="dxa"/>
              <w:right w:w="100" w:type="dxa"/>
            </w:tcMar>
            <w:vAlign w:val="center"/>
          </w:tcPr>
          <w:p w14:paraId="0C600818">
            <w:pPr>
              <w:spacing w:line="276" w:lineRule="auto"/>
              <w:jc w:val="center"/>
            </w:pPr>
            <w:r>
              <w:rPr>
                <w:rFonts w:ascii="宋体" w:hAnsi="宋体" w:eastAsia="宋体"/>
                <w:b/>
                <w:sz w:val="20"/>
              </w:rPr>
              <w:t>技术要求</w:t>
            </w:r>
          </w:p>
        </w:tc>
      </w:tr>
      <w:tr w14:paraId="492C1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1096" w:type="dxa"/>
            <w:vMerge w:val="restart"/>
            <w:tcMar>
              <w:top w:w="80" w:type="dxa"/>
              <w:left w:w="100" w:type="dxa"/>
              <w:bottom w:w="80" w:type="dxa"/>
              <w:right w:w="100" w:type="dxa"/>
            </w:tcMar>
            <w:vAlign w:val="center"/>
          </w:tcPr>
          <w:p w14:paraId="53A54B65">
            <w:pPr>
              <w:spacing w:line="276" w:lineRule="auto"/>
              <w:jc w:val="center"/>
            </w:pPr>
            <w:r>
              <w:rPr>
                <w:rFonts w:ascii="宋体" w:hAnsi="宋体" w:eastAsia="宋体"/>
                <w:sz w:val="17"/>
              </w:rPr>
              <w:t>整机要求</w:t>
            </w:r>
          </w:p>
          <w:p w14:paraId="16680AF1">
            <w:pPr>
              <w:spacing w:line="276" w:lineRule="auto"/>
              <w:jc w:val="center"/>
            </w:pPr>
          </w:p>
        </w:tc>
        <w:tc>
          <w:tcPr>
            <w:tcW w:w="1827" w:type="dxa"/>
            <w:tcMar>
              <w:top w:w="80" w:type="dxa"/>
              <w:left w:w="100" w:type="dxa"/>
              <w:bottom w:w="80" w:type="dxa"/>
              <w:right w:w="100" w:type="dxa"/>
            </w:tcMar>
            <w:vAlign w:val="center"/>
          </w:tcPr>
          <w:p w14:paraId="30786EC2">
            <w:pPr>
              <w:spacing w:line="276" w:lineRule="auto"/>
            </w:pPr>
            <w:r>
              <w:rPr>
                <w:rFonts w:ascii="宋体" w:hAnsi="宋体" w:eastAsia="宋体"/>
                <w:sz w:val="17"/>
              </w:rPr>
              <w:t>题库类型</w:t>
            </w:r>
          </w:p>
        </w:tc>
        <w:tc>
          <w:tcPr>
            <w:tcW w:w="6857" w:type="dxa"/>
            <w:tcMar>
              <w:top w:w="80" w:type="dxa"/>
              <w:left w:w="100" w:type="dxa"/>
              <w:bottom w:w="80" w:type="dxa"/>
              <w:right w:w="100" w:type="dxa"/>
            </w:tcMar>
            <w:vAlign w:val="center"/>
          </w:tcPr>
          <w:p w14:paraId="173DCC97">
            <w:pPr>
              <w:spacing w:line="276" w:lineRule="auto"/>
            </w:pPr>
            <w:r>
              <w:rPr>
                <w:rFonts w:hint="eastAsia" w:ascii="宋体" w:hAnsi="宋体" w:cs="宋体"/>
                <w:szCs w:val="21"/>
              </w:rPr>
              <w:t>▲</w:t>
            </w:r>
            <w:r>
              <w:rPr>
                <w:rFonts w:ascii="宋体" w:hAnsi="宋体" w:eastAsia="宋体"/>
                <w:sz w:val="17"/>
              </w:rPr>
              <w:t>33/66/88道题三种方式，可自由切换或仪器自动识别切换；通过信息采集，自动给出体质辨识结果。</w:t>
            </w:r>
          </w:p>
        </w:tc>
      </w:tr>
      <w:tr w14:paraId="26D72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9" w:hRule="atLeast"/>
          <w:jc w:val="center"/>
        </w:trPr>
        <w:tc>
          <w:tcPr>
            <w:tcW w:w="1096" w:type="dxa"/>
            <w:vMerge w:val="continue"/>
            <w:tcMar>
              <w:top w:w="80" w:type="dxa"/>
              <w:left w:w="100" w:type="dxa"/>
              <w:bottom w:w="80" w:type="dxa"/>
              <w:right w:w="100" w:type="dxa"/>
            </w:tcMar>
            <w:vAlign w:val="center"/>
          </w:tcPr>
          <w:p w14:paraId="0854B0D2">
            <w:pPr>
              <w:spacing w:line="276" w:lineRule="auto"/>
              <w:jc w:val="center"/>
            </w:pPr>
          </w:p>
        </w:tc>
        <w:tc>
          <w:tcPr>
            <w:tcW w:w="1827" w:type="dxa"/>
            <w:tcMar>
              <w:top w:w="80" w:type="dxa"/>
              <w:left w:w="100" w:type="dxa"/>
              <w:bottom w:w="80" w:type="dxa"/>
              <w:right w:w="100" w:type="dxa"/>
            </w:tcMar>
            <w:vAlign w:val="center"/>
          </w:tcPr>
          <w:p w14:paraId="34102B20">
            <w:pPr>
              <w:spacing w:line="276" w:lineRule="auto"/>
            </w:pPr>
            <w:r>
              <w:rPr>
                <w:rFonts w:ascii="宋体" w:hAnsi="宋体" w:eastAsia="宋体"/>
                <w:sz w:val="17"/>
              </w:rPr>
              <w:t>产品功能</w:t>
            </w:r>
          </w:p>
        </w:tc>
        <w:tc>
          <w:tcPr>
            <w:tcW w:w="6857" w:type="dxa"/>
            <w:tcMar>
              <w:top w:w="80" w:type="dxa"/>
              <w:left w:w="100" w:type="dxa"/>
              <w:bottom w:w="80" w:type="dxa"/>
              <w:right w:w="100" w:type="dxa"/>
            </w:tcMar>
            <w:vAlign w:val="center"/>
          </w:tcPr>
          <w:p w14:paraId="6B53455C">
            <w:pPr>
              <w:spacing w:line="276" w:lineRule="auto"/>
            </w:pPr>
            <w:r>
              <w:rPr>
                <w:rFonts w:hint="eastAsia" w:ascii="宋体" w:hAnsi="宋体" w:cs="宋体"/>
                <w:szCs w:val="21"/>
              </w:rPr>
              <w:t>▲</w:t>
            </w:r>
            <w:r>
              <w:rPr>
                <w:rFonts w:ascii="宋体" w:hAnsi="宋体" w:eastAsia="宋体"/>
                <w:sz w:val="17"/>
              </w:rPr>
              <w:t>支持儿童中医体质辨识、中青年中医体质辨识、老年人中医体质辨识、高血压健康管理量表、糖尿病健康管理量表、孕产妇健康管理量表、老年人抑郁自评量表(SDS)、老年人焦虑自评量表(SAS)、老年人生活自理能力评估表(ADL)、老年人简单智力状态检查量表(MMSE)、1-8月龄儿童中医药健康管理服务记录表、12-30月龄儿童中医药健康管理服务记录表、3-6岁儿童健康检查记录表。</w:t>
            </w:r>
          </w:p>
        </w:tc>
      </w:tr>
      <w:tr w14:paraId="4876C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1096" w:type="dxa"/>
            <w:vMerge w:val="continue"/>
            <w:tcMar>
              <w:top w:w="80" w:type="dxa"/>
              <w:left w:w="100" w:type="dxa"/>
              <w:bottom w:w="80" w:type="dxa"/>
              <w:right w:w="100" w:type="dxa"/>
            </w:tcMar>
            <w:vAlign w:val="center"/>
          </w:tcPr>
          <w:p w14:paraId="5E54E0EE">
            <w:pPr>
              <w:spacing w:line="276" w:lineRule="auto"/>
              <w:jc w:val="center"/>
            </w:pPr>
          </w:p>
        </w:tc>
        <w:tc>
          <w:tcPr>
            <w:tcW w:w="1827" w:type="dxa"/>
            <w:tcMar>
              <w:top w:w="80" w:type="dxa"/>
              <w:left w:w="100" w:type="dxa"/>
              <w:bottom w:w="80" w:type="dxa"/>
              <w:right w:w="100" w:type="dxa"/>
            </w:tcMar>
            <w:vAlign w:val="center"/>
          </w:tcPr>
          <w:p w14:paraId="7945E858">
            <w:pPr>
              <w:spacing w:line="276" w:lineRule="auto"/>
            </w:pPr>
            <w:r>
              <w:rPr>
                <w:rFonts w:ascii="宋体" w:hAnsi="宋体" w:eastAsia="宋体"/>
                <w:sz w:val="17"/>
              </w:rPr>
              <w:t>版本选择</w:t>
            </w:r>
          </w:p>
        </w:tc>
        <w:tc>
          <w:tcPr>
            <w:tcW w:w="6857" w:type="dxa"/>
            <w:tcMar>
              <w:top w:w="80" w:type="dxa"/>
              <w:left w:w="100" w:type="dxa"/>
              <w:bottom w:w="80" w:type="dxa"/>
              <w:right w:w="100" w:type="dxa"/>
            </w:tcMar>
            <w:vAlign w:val="center"/>
          </w:tcPr>
          <w:p w14:paraId="09EF68AA">
            <w:pPr>
              <w:spacing w:line="276" w:lineRule="auto"/>
            </w:pPr>
            <w:r>
              <w:rPr>
                <w:rFonts w:ascii="宋体" w:hAnsi="宋体" w:eastAsia="宋体"/>
                <w:sz w:val="17"/>
              </w:rPr>
              <w:t>根据年龄不同，系统自动选择儿童、成人、老年版本。</w:t>
            </w:r>
          </w:p>
        </w:tc>
      </w:tr>
      <w:tr w14:paraId="117F1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1096" w:type="dxa"/>
            <w:vMerge w:val="continue"/>
            <w:tcMar>
              <w:top w:w="80" w:type="dxa"/>
              <w:left w:w="100" w:type="dxa"/>
              <w:bottom w:w="80" w:type="dxa"/>
              <w:right w:w="100" w:type="dxa"/>
            </w:tcMar>
            <w:vAlign w:val="center"/>
          </w:tcPr>
          <w:p w14:paraId="75A0F93C">
            <w:pPr>
              <w:spacing w:line="276" w:lineRule="auto"/>
              <w:jc w:val="center"/>
            </w:pPr>
          </w:p>
        </w:tc>
        <w:tc>
          <w:tcPr>
            <w:tcW w:w="1827" w:type="dxa"/>
            <w:tcMar>
              <w:top w:w="80" w:type="dxa"/>
              <w:left w:w="100" w:type="dxa"/>
              <w:bottom w:w="80" w:type="dxa"/>
              <w:right w:w="100" w:type="dxa"/>
            </w:tcMar>
            <w:vAlign w:val="center"/>
          </w:tcPr>
          <w:p w14:paraId="3B866C1B">
            <w:pPr>
              <w:spacing w:line="276" w:lineRule="auto"/>
            </w:pPr>
            <w:r>
              <w:rPr>
                <w:rFonts w:ascii="宋体" w:hAnsi="宋体" w:eastAsia="宋体"/>
                <w:sz w:val="17"/>
              </w:rPr>
              <w:t>标准符合性</w:t>
            </w:r>
          </w:p>
        </w:tc>
        <w:tc>
          <w:tcPr>
            <w:tcW w:w="6857" w:type="dxa"/>
            <w:tcMar>
              <w:top w:w="80" w:type="dxa"/>
              <w:left w:w="100" w:type="dxa"/>
              <w:bottom w:w="80" w:type="dxa"/>
              <w:right w:w="100" w:type="dxa"/>
            </w:tcMar>
            <w:vAlign w:val="center"/>
          </w:tcPr>
          <w:p w14:paraId="2EEE24A5">
            <w:pPr>
              <w:spacing w:line="276" w:lineRule="auto"/>
            </w:pPr>
            <w:r>
              <w:rPr>
                <w:rFonts w:ascii="宋体" w:hAnsi="宋体" w:eastAsia="宋体"/>
                <w:sz w:val="17"/>
              </w:rPr>
              <w:t>产品符合《国家基本公共卫生服务技术规范》第三版标准（即学历选项中必须有研究生选项）、《中医体质分类与判定》ZYYXH/T157-2009标准、《老年人健康管理技术规范》WS/T484-2015标准。</w:t>
            </w:r>
          </w:p>
        </w:tc>
      </w:tr>
      <w:tr w14:paraId="34833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1096" w:type="dxa"/>
            <w:vMerge w:val="continue"/>
            <w:tcMar>
              <w:top w:w="80" w:type="dxa"/>
              <w:left w:w="100" w:type="dxa"/>
              <w:bottom w:w="80" w:type="dxa"/>
              <w:right w:w="100" w:type="dxa"/>
            </w:tcMar>
            <w:vAlign w:val="center"/>
          </w:tcPr>
          <w:p w14:paraId="6129437B">
            <w:pPr>
              <w:spacing w:line="276" w:lineRule="auto"/>
              <w:jc w:val="center"/>
            </w:pPr>
          </w:p>
        </w:tc>
        <w:tc>
          <w:tcPr>
            <w:tcW w:w="1827" w:type="dxa"/>
            <w:tcMar>
              <w:top w:w="80" w:type="dxa"/>
              <w:left w:w="100" w:type="dxa"/>
              <w:bottom w:w="80" w:type="dxa"/>
              <w:right w:w="100" w:type="dxa"/>
            </w:tcMar>
            <w:vAlign w:val="center"/>
          </w:tcPr>
          <w:p w14:paraId="070EB422">
            <w:pPr>
              <w:spacing w:line="276" w:lineRule="auto"/>
            </w:pPr>
            <w:r>
              <w:rPr>
                <w:rFonts w:ascii="宋体" w:hAnsi="宋体" w:eastAsia="宋体"/>
                <w:sz w:val="17"/>
              </w:rPr>
              <w:t>养生指导系统</w:t>
            </w:r>
          </w:p>
        </w:tc>
        <w:tc>
          <w:tcPr>
            <w:tcW w:w="6857" w:type="dxa"/>
            <w:tcMar>
              <w:top w:w="80" w:type="dxa"/>
              <w:left w:w="100" w:type="dxa"/>
              <w:bottom w:w="80" w:type="dxa"/>
              <w:right w:w="100" w:type="dxa"/>
            </w:tcMar>
            <w:vAlign w:val="center"/>
          </w:tcPr>
          <w:p w14:paraId="5A2125C9">
            <w:pPr>
              <w:spacing w:line="276" w:lineRule="auto"/>
            </w:pPr>
            <w:r>
              <w:rPr>
                <w:rFonts w:hint="eastAsia" w:ascii="宋体" w:hAnsi="宋体" w:cs="宋体"/>
                <w:szCs w:val="21"/>
              </w:rPr>
              <w:t>▲</w:t>
            </w:r>
            <w:r>
              <w:rPr>
                <w:rFonts w:ascii="宋体" w:hAnsi="宋体" w:eastAsia="宋体"/>
                <w:sz w:val="17"/>
              </w:rPr>
              <w:t>配备音乐养生系统、情调调摄系统、儿童健康指导系统、睡眠养生系统、节气养生系统、妇幼保健系统、四季养生系统、休闲养生系统、常见慢性病保健系统。</w:t>
            </w:r>
          </w:p>
        </w:tc>
      </w:tr>
      <w:tr w14:paraId="29586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1096" w:type="dxa"/>
            <w:vMerge w:val="continue"/>
            <w:tcMar>
              <w:top w:w="80" w:type="dxa"/>
              <w:left w:w="100" w:type="dxa"/>
              <w:bottom w:w="80" w:type="dxa"/>
              <w:right w:w="100" w:type="dxa"/>
            </w:tcMar>
            <w:vAlign w:val="center"/>
          </w:tcPr>
          <w:p w14:paraId="5BF9EB54">
            <w:pPr>
              <w:spacing w:line="276" w:lineRule="auto"/>
              <w:jc w:val="center"/>
            </w:pPr>
          </w:p>
        </w:tc>
        <w:tc>
          <w:tcPr>
            <w:tcW w:w="1827" w:type="dxa"/>
            <w:tcMar>
              <w:top w:w="80" w:type="dxa"/>
              <w:left w:w="100" w:type="dxa"/>
              <w:bottom w:w="80" w:type="dxa"/>
              <w:right w:w="100" w:type="dxa"/>
            </w:tcMar>
            <w:vAlign w:val="center"/>
          </w:tcPr>
          <w:p w14:paraId="1DC5E6CF">
            <w:pPr>
              <w:spacing w:line="276" w:lineRule="auto"/>
            </w:pPr>
            <w:r>
              <w:rPr>
                <w:rFonts w:ascii="宋体" w:hAnsi="宋体" w:eastAsia="宋体"/>
                <w:sz w:val="17"/>
              </w:rPr>
              <w:t>体质类型</w:t>
            </w:r>
          </w:p>
        </w:tc>
        <w:tc>
          <w:tcPr>
            <w:tcW w:w="6857" w:type="dxa"/>
            <w:tcMar>
              <w:top w:w="80" w:type="dxa"/>
              <w:left w:w="100" w:type="dxa"/>
              <w:bottom w:w="80" w:type="dxa"/>
              <w:right w:w="100" w:type="dxa"/>
            </w:tcMar>
            <w:vAlign w:val="center"/>
          </w:tcPr>
          <w:p w14:paraId="4C345F40">
            <w:pPr>
              <w:spacing w:line="276" w:lineRule="auto"/>
            </w:pPr>
            <w:r>
              <w:rPr>
                <w:rFonts w:hint="eastAsia" w:ascii="宋体" w:hAnsi="宋体" w:cs="宋体"/>
                <w:szCs w:val="21"/>
              </w:rPr>
              <w:t>▲</w:t>
            </w:r>
            <w:r>
              <w:rPr>
                <w:rFonts w:ascii="宋体" w:hAnsi="宋体" w:eastAsia="宋体"/>
                <w:sz w:val="17"/>
              </w:rPr>
              <w:t>支持1-12岁儿童11种体质类型，65岁以上老年人及正常人群9种体质类型；可判定个人个性体质偏颇情况，对偏颇体质提供健康指导内容，并针对不同个人体质进行针对性指导。</w:t>
            </w:r>
          </w:p>
        </w:tc>
      </w:tr>
      <w:tr w14:paraId="32B89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096" w:type="dxa"/>
            <w:vMerge w:val="continue"/>
            <w:tcMar>
              <w:top w:w="80" w:type="dxa"/>
              <w:left w:w="100" w:type="dxa"/>
              <w:bottom w:w="80" w:type="dxa"/>
              <w:right w:w="100" w:type="dxa"/>
            </w:tcMar>
            <w:vAlign w:val="center"/>
          </w:tcPr>
          <w:p w14:paraId="41A58DF8">
            <w:pPr>
              <w:spacing w:line="276" w:lineRule="auto"/>
              <w:jc w:val="center"/>
            </w:pPr>
          </w:p>
        </w:tc>
        <w:tc>
          <w:tcPr>
            <w:tcW w:w="1827" w:type="dxa"/>
            <w:tcMar>
              <w:top w:w="80" w:type="dxa"/>
              <w:left w:w="100" w:type="dxa"/>
              <w:bottom w:w="80" w:type="dxa"/>
              <w:right w:w="100" w:type="dxa"/>
            </w:tcMar>
            <w:vAlign w:val="center"/>
          </w:tcPr>
          <w:p w14:paraId="0744287B">
            <w:pPr>
              <w:spacing w:line="276" w:lineRule="auto"/>
            </w:pPr>
            <w:r>
              <w:rPr>
                <w:rFonts w:ascii="宋体" w:hAnsi="宋体" w:eastAsia="宋体"/>
                <w:sz w:val="17"/>
              </w:rPr>
              <w:t>语音提示</w:t>
            </w:r>
          </w:p>
        </w:tc>
        <w:tc>
          <w:tcPr>
            <w:tcW w:w="6857" w:type="dxa"/>
            <w:tcMar>
              <w:top w:w="80" w:type="dxa"/>
              <w:left w:w="100" w:type="dxa"/>
              <w:bottom w:w="80" w:type="dxa"/>
              <w:right w:w="100" w:type="dxa"/>
            </w:tcMar>
            <w:vAlign w:val="center"/>
          </w:tcPr>
          <w:p w14:paraId="5CD1B1CD">
            <w:pPr>
              <w:spacing w:line="276" w:lineRule="auto"/>
            </w:pPr>
            <w:r>
              <w:rPr>
                <w:rFonts w:ascii="宋体" w:hAnsi="宋体" w:eastAsia="宋体"/>
                <w:sz w:val="17"/>
              </w:rPr>
              <w:t>每道题均进行语音播报，提示使用者完成检测。</w:t>
            </w:r>
          </w:p>
        </w:tc>
      </w:tr>
      <w:tr w14:paraId="58BCD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1096" w:type="dxa"/>
            <w:vMerge w:val="continue"/>
            <w:tcMar>
              <w:top w:w="80" w:type="dxa"/>
              <w:left w:w="100" w:type="dxa"/>
              <w:bottom w:w="80" w:type="dxa"/>
              <w:right w:w="100" w:type="dxa"/>
            </w:tcMar>
            <w:vAlign w:val="center"/>
          </w:tcPr>
          <w:p w14:paraId="18AF68AE">
            <w:pPr>
              <w:spacing w:line="276" w:lineRule="auto"/>
              <w:jc w:val="center"/>
            </w:pPr>
          </w:p>
        </w:tc>
        <w:tc>
          <w:tcPr>
            <w:tcW w:w="1827" w:type="dxa"/>
            <w:tcMar>
              <w:top w:w="80" w:type="dxa"/>
              <w:left w:w="100" w:type="dxa"/>
              <w:bottom w:w="80" w:type="dxa"/>
              <w:right w:w="100" w:type="dxa"/>
            </w:tcMar>
            <w:vAlign w:val="center"/>
          </w:tcPr>
          <w:p w14:paraId="1C4FAB76">
            <w:pPr>
              <w:spacing w:line="276" w:lineRule="auto"/>
            </w:pPr>
            <w:r>
              <w:rPr>
                <w:rFonts w:ascii="宋体" w:hAnsi="宋体" w:eastAsia="宋体"/>
                <w:sz w:val="17"/>
              </w:rPr>
              <w:t>报告管理</w:t>
            </w:r>
          </w:p>
        </w:tc>
        <w:tc>
          <w:tcPr>
            <w:tcW w:w="6857" w:type="dxa"/>
            <w:tcMar>
              <w:top w:w="80" w:type="dxa"/>
              <w:left w:w="100" w:type="dxa"/>
              <w:bottom w:w="80" w:type="dxa"/>
              <w:right w:w="100" w:type="dxa"/>
            </w:tcMar>
            <w:vAlign w:val="center"/>
          </w:tcPr>
          <w:p w14:paraId="377195F3">
            <w:pPr>
              <w:spacing w:line="276" w:lineRule="auto"/>
            </w:pPr>
            <w:r>
              <w:rPr>
                <w:rFonts w:ascii="宋体" w:hAnsi="宋体" w:eastAsia="宋体"/>
                <w:sz w:val="17"/>
              </w:rPr>
              <w:t>每种体质均有模块化报告可选择，并可根据个人具体情况进行修改。</w:t>
            </w:r>
          </w:p>
        </w:tc>
      </w:tr>
      <w:tr w14:paraId="5CF23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1096" w:type="dxa"/>
            <w:vMerge w:val="continue"/>
            <w:tcMar>
              <w:top w:w="80" w:type="dxa"/>
              <w:left w:w="100" w:type="dxa"/>
              <w:bottom w:w="80" w:type="dxa"/>
              <w:right w:w="100" w:type="dxa"/>
            </w:tcMar>
            <w:vAlign w:val="center"/>
          </w:tcPr>
          <w:p w14:paraId="44D0AA04">
            <w:pPr>
              <w:spacing w:line="276" w:lineRule="auto"/>
              <w:jc w:val="center"/>
            </w:pPr>
          </w:p>
        </w:tc>
        <w:tc>
          <w:tcPr>
            <w:tcW w:w="1827" w:type="dxa"/>
            <w:tcMar>
              <w:top w:w="80" w:type="dxa"/>
              <w:left w:w="100" w:type="dxa"/>
              <w:bottom w:w="80" w:type="dxa"/>
              <w:right w:w="100" w:type="dxa"/>
            </w:tcMar>
            <w:vAlign w:val="center"/>
          </w:tcPr>
          <w:p w14:paraId="141732BF">
            <w:pPr>
              <w:spacing w:line="276" w:lineRule="auto"/>
            </w:pPr>
            <w:r>
              <w:rPr>
                <w:rFonts w:ascii="宋体" w:hAnsi="宋体" w:eastAsia="宋体"/>
                <w:sz w:val="17"/>
              </w:rPr>
              <w:t>个性化指导</w:t>
            </w:r>
          </w:p>
        </w:tc>
        <w:tc>
          <w:tcPr>
            <w:tcW w:w="6857" w:type="dxa"/>
            <w:tcMar>
              <w:top w:w="80" w:type="dxa"/>
              <w:left w:w="100" w:type="dxa"/>
              <w:bottom w:w="80" w:type="dxa"/>
              <w:right w:w="100" w:type="dxa"/>
            </w:tcMar>
            <w:vAlign w:val="center"/>
          </w:tcPr>
          <w:p w14:paraId="59029450">
            <w:pPr>
              <w:spacing w:line="276" w:lineRule="auto"/>
            </w:pPr>
            <w:r>
              <w:rPr>
                <w:rFonts w:ascii="宋体" w:hAnsi="宋体" w:eastAsia="宋体"/>
                <w:sz w:val="17"/>
              </w:rPr>
              <w:t>具备个性化指导功能，可针对不同个人体质，从心理特征、膳食、运动、环境、作息等多种健康生活方式提出针对性建议。</w:t>
            </w:r>
          </w:p>
        </w:tc>
      </w:tr>
      <w:tr w14:paraId="775FB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1096" w:type="dxa"/>
            <w:vMerge w:val="continue"/>
            <w:tcMar>
              <w:top w:w="80" w:type="dxa"/>
              <w:left w:w="100" w:type="dxa"/>
              <w:bottom w:w="80" w:type="dxa"/>
              <w:right w:w="100" w:type="dxa"/>
            </w:tcMar>
            <w:vAlign w:val="center"/>
          </w:tcPr>
          <w:p w14:paraId="28607C9F">
            <w:pPr>
              <w:spacing w:line="276" w:lineRule="auto"/>
              <w:jc w:val="center"/>
            </w:pPr>
          </w:p>
        </w:tc>
        <w:tc>
          <w:tcPr>
            <w:tcW w:w="1827" w:type="dxa"/>
            <w:tcMar>
              <w:top w:w="80" w:type="dxa"/>
              <w:left w:w="100" w:type="dxa"/>
              <w:bottom w:w="80" w:type="dxa"/>
              <w:right w:w="100" w:type="dxa"/>
            </w:tcMar>
            <w:vAlign w:val="center"/>
          </w:tcPr>
          <w:p w14:paraId="1899A752">
            <w:pPr>
              <w:spacing w:line="276" w:lineRule="auto"/>
            </w:pPr>
            <w:r>
              <w:rPr>
                <w:rFonts w:ascii="宋体" w:hAnsi="宋体" w:eastAsia="宋体"/>
                <w:sz w:val="17"/>
              </w:rPr>
              <w:t>软件著作权</w:t>
            </w:r>
          </w:p>
        </w:tc>
        <w:tc>
          <w:tcPr>
            <w:tcW w:w="6857" w:type="dxa"/>
            <w:tcMar>
              <w:top w:w="80" w:type="dxa"/>
              <w:left w:w="100" w:type="dxa"/>
              <w:bottom w:w="80" w:type="dxa"/>
              <w:right w:w="100" w:type="dxa"/>
            </w:tcMar>
            <w:vAlign w:val="center"/>
          </w:tcPr>
          <w:p w14:paraId="59B4BA2C">
            <w:pPr>
              <w:spacing w:line="276" w:lineRule="auto"/>
            </w:pPr>
            <w:r>
              <w:rPr>
                <w:rFonts w:hint="eastAsia" w:ascii="微软雅黑" w:hAnsi="微软雅黑" w:eastAsia="微软雅黑" w:cs="微软雅黑"/>
              </w:rPr>
              <w:t>▲</w:t>
            </w:r>
            <w:r>
              <w:rPr>
                <w:rFonts w:ascii="宋体" w:hAnsi="宋体" w:eastAsia="宋体"/>
                <w:sz w:val="17"/>
              </w:rPr>
              <w:t>为避免使用侵权风险，并保障数据对接传输时产品二次开发能力，需提供中医体质辨识软件著作权证书。</w:t>
            </w:r>
          </w:p>
        </w:tc>
      </w:tr>
      <w:tr w14:paraId="47A15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1096" w:type="dxa"/>
            <w:vMerge w:val="continue"/>
            <w:tcMar>
              <w:top w:w="80" w:type="dxa"/>
              <w:left w:w="100" w:type="dxa"/>
              <w:bottom w:w="80" w:type="dxa"/>
              <w:right w:w="100" w:type="dxa"/>
            </w:tcMar>
            <w:vAlign w:val="center"/>
          </w:tcPr>
          <w:p w14:paraId="472E1B7A">
            <w:pPr>
              <w:spacing w:line="276" w:lineRule="auto"/>
              <w:jc w:val="center"/>
            </w:pPr>
          </w:p>
        </w:tc>
        <w:tc>
          <w:tcPr>
            <w:tcW w:w="1827" w:type="dxa"/>
            <w:tcMar>
              <w:top w:w="80" w:type="dxa"/>
              <w:left w:w="100" w:type="dxa"/>
              <w:bottom w:w="80" w:type="dxa"/>
              <w:right w:w="100" w:type="dxa"/>
            </w:tcMar>
            <w:vAlign w:val="center"/>
          </w:tcPr>
          <w:p w14:paraId="4EE10278">
            <w:pPr>
              <w:spacing w:line="276" w:lineRule="auto"/>
            </w:pPr>
            <w:r>
              <w:rPr>
                <w:rFonts w:ascii="宋体" w:hAnsi="宋体" w:eastAsia="宋体"/>
                <w:sz w:val="17"/>
              </w:rPr>
              <w:t>整体设计</w:t>
            </w:r>
          </w:p>
        </w:tc>
        <w:tc>
          <w:tcPr>
            <w:tcW w:w="6857" w:type="dxa"/>
            <w:tcMar>
              <w:top w:w="80" w:type="dxa"/>
              <w:left w:w="100" w:type="dxa"/>
              <w:bottom w:w="80" w:type="dxa"/>
              <w:right w:w="100" w:type="dxa"/>
            </w:tcMar>
            <w:vAlign w:val="center"/>
          </w:tcPr>
          <w:p w14:paraId="292885B2">
            <w:pPr>
              <w:spacing w:line="276" w:lineRule="auto"/>
            </w:pPr>
            <w:r>
              <w:rPr>
                <w:rFonts w:ascii="宋体" w:hAnsi="宋体" w:eastAsia="宋体"/>
                <w:sz w:val="17"/>
              </w:rPr>
              <w:t>设备采用一体化带脚轮设计；刷卡模块、人脸识别模块、触摸模块等所有传感器均采用模块化内置设计；设备整体简洁大方，外围检测设备采用内置式防尘设计。</w:t>
            </w:r>
          </w:p>
        </w:tc>
      </w:tr>
      <w:tr w14:paraId="78FCE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1096" w:type="dxa"/>
            <w:vMerge w:val="continue"/>
            <w:tcMar>
              <w:top w:w="80" w:type="dxa"/>
              <w:left w:w="100" w:type="dxa"/>
              <w:bottom w:w="80" w:type="dxa"/>
              <w:right w:w="100" w:type="dxa"/>
            </w:tcMar>
            <w:vAlign w:val="center"/>
          </w:tcPr>
          <w:p w14:paraId="3BD9B35A">
            <w:pPr>
              <w:spacing w:line="276" w:lineRule="auto"/>
              <w:jc w:val="center"/>
            </w:pPr>
          </w:p>
        </w:tc>
        <w:tc>
          <w:tcPr>
            <w:tcW w:w="1827" w:type="dxa"/>
            <w:tcMar>
              <w:top w:w="80" w:type="dxa"/>
              <w:left w:w="100" w:type="dxa"/>
              <w:bottom w:w="80" w:type="dxa"/>
              <w:right w:w="100" w:type="dxa"/>
            </w:tcMar>
            <w:vAlign w:val="center"/>
          </w:tcPr>
          <w:p w14:paraId="29C248EE">
            <w:pPr>
              <w:spacing w:line="276" w:lineRule="auto"/>
            </w:pPr>
            <w:r>
              <w:rPr>
                <w:rFonts w:ascii="宋体" w:hAnsi="宋体" w:eastAsia="宋体"/>
                <w:sz w:val="17"/>
              </w:rPr>
              <w:t>操作体验</w:t>
            </w:r>
          </w:p>
        </w:tc>
        <w:tc>
          <w:tcPr>
            <w:tcW w:w="6857" w:type="dxa"/>
            <w:tcMar>
              <w:top w:w="80" w:type="dxa"/>
              <w:left w:w="100" w:type="dxa"/>
              <w:bottom w:w="80" w:type="dxa"/>
              <w:right w:w="100" w:type="dxa"/>
            </w:tcMar>
            <w:vAlign w:val="center"/>
          </w:tcPr>
          <w:p w14:paraId="1D74A602">
            <w:pPr>
              <w:spacing w:line="276" w:lineRule="auto"/>
            </w:pPr>
            <w:r>
              <w:rPr>
                <w:rFonts w:ascii="宋体" w:hAnsi="宋体" w:eastAsia="宋体"/>
                <w:sz w:val="17"/>
              </w:rPr>
              <w:t>设备操作简单，人机交互体验良好。</w:t>
            </w:r>
          </w:p>
        </w:tc>
      </w:tr>
      <w:tr w14:paraId="2115B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1096" w:type="dxa"/>
            <w:vMerge w:val="continue"/>
            <w:tcMar>
              <w:top w:w="80" w:type="dxa"/>
              <w:left w:w="100" w:type="dxa"/>
              <w:bottom w:w="80" w:type="dxa"/>
              <w:right w:w="100" w:type="dxa"/>
            </w:tcMar>
            <w:vAlign w:val="center"/>
          </w:tcPr>
          <w:p w14:paraId="59414990">
            <w:pPr>
              <w:spacing w:line="276" w:lineRule="auto"/>
              <w:jc w:val="center"/>
            </w:pPr>
          </w:p>
        </w:tc>
        <w:tc>
          <w:tcPr>
            <w:tcW w:w="1827" w:type="dxa"/>
            <w:tcMar>
              <w:top w:w="80" w:type="dxa"/>
              <w:left w:w="100" w:type="dxa"/>
              <w:bottom w:w="80" w:type="dxa"/>
              <w:right w:w="100" w:type="dxa"/>
            </w:tcMar>
            <w:vAlign w:val="center"/>
          </w:tcPr>
          <w:p w14:paraId="38B01026">
            <w:pPr>
              <w:spacing w:line="276" w:lineRule="auto"/>
            </w:pPr>
            <w:r>
              <w:rPr>
                <w:rFonts w:ascii="宋体" w:hAnsi="宋体" w:eastAsia="宋体"/>
                <w:sz w:val="17"/>
              </w:rPr>
              <w:t>供电要求</w:t>
            </w:r>
          </w:p>
        </w:tc>
        <w:tc>
          <w:tcPr>
            <w:tcW w:w="6857" w:type="dxa"/>
            <w:tcMar>
              <w:top w:w="80" w:type="dxa"/>
              <w:left w:w="100" w:type="dxa"/>
              <w:bottom w:w="80" w:type="dxa"/>
              <w:right w:w="100" w:type="dxa"/>
            </w:tcMar>
            <w:vAlign w:val="center"/>
          </w:tcPr>
          <w:p w14:paraId="55685ECA">
            <w:pPr>
              <w:spacing w:line="276" w:lineRule="auto"/>
            </w:pPr>
            <w:r>
              <w:rPr>
                <w:rFonts w:ascii="宋体" w:hAnsi="宋体" w:eastAsia="宋体"/>
                <w:sz w:val="17"/>
              </w:rPr>
              <w:t>设备采用220V常规市电供电；电源插口具备电源指示灯和过载保护；电源插座可单独开、关控制整机通电。</w:t>
            </w:r>
          </w:p>
        </w:tc>
      </w:tr>
      <w:tr w14:paraId="089A5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1096" w:type="dxa"/>
            <w:vMerge w:val="continue"/>
            <w:tcMar>
              <w:top w:w="80" w:type="dxa"/>
              <w:left w:w="100" w:type="dxa"/>
              <w:bottom w:w="80" w:type="dxa"/>
              <w:right w:w="100" w:type="dxa"/>
            </w:tcMar>
            <w:vAlign w:val="center"/>
          </w:tcPr>
          <w:p w14:paraId="2CE9D8E7">
            <w:pPr>
              <w:spacing w:line="276" w:lineRule="auto"/>
              <w:jc w:val="center"/>
            </w:pPr>
          </w:p>
        </w:tc>
        <w:tc>
          <w:tcPr>
            <w:tcW w:w="1827" w:type="dxa"/>
            <w:tcMar>
              <w:top w:w="80" w:type="dxa"/>
              <w:left w:w="100" w:type="dxa"/>
              <w:bottom w:w="80" w:type="dxa"/>
              <w:right w:w="100" w:type="dxa"/>
            </w:tcMar>
            <w:vAlign w:val="center"/>
          </w:tcPr>
          <w:p w14:paraId="2232F2D5">
            <w:pPr>
              <w:spacing w:line="276" w:lineRule="auto"/>
            </w:pPr>
            <w:r>
              <w:rPr>
                <w:rFonts w:ascii="宋体" w:hAnsi="宋体" w:eastAsia="宋体"/>
                <w:sz w:val="17"/>
              </w:rPr>
              <w:t>操作显示屏</w:t>
            </w:r>
          </w:p>
        </w:tc>
        <w:tc>
          <w:tcPr>
            <w:tcW w:w="6857" w:type="dxa"/>
            <w:tcMar>
              <w:top w:w="80" w:type="dxa"/>
              <w:left w:w="100" w:type="dxa"/>
              <w:bottom w:w="80" w:type="dxa"/>
              <w:right w:w="100" w:type="dxa"/>
            </w:tcMar>
            <w:vAlign w:val="center"/>
          </w:tcPr>
          <w:p w14:paraId="179A91D9">
            <w:pPr>
              <w:spacing w:line="276" w:lineRule="auto"/>
            </w:pPr>
            <w:r>
              <w:rPr>
                <w:rFonts w:hint="eastAsia" w:ascii="微软雅黑" w:hAnsi="微软雅黑" w:eastAsia="微软雅黑" w:cs="微软雅黑"/>
              </w:rPr>
              <w:t>▲</w:t>
            </w:r>
            <w:r>
              <w:rPr>
                <w:rFonts w:ascii="宋体" w:hAnsi="宋体" w:eastAsia="宋体"/>
                <w:sz w:val="17"/>
              </w:rPr>
              <w:t>操作显示屏尺寸不小于21.5寸，采用电容触摸屏；显示规格为16:9宽屏显示；采用全面屏一体化设计，美观适用；触摸屏必须采用加硬钢化玻璃材质，安全耐用。</w:t>
            </w:r>
          </w:p>
        </w:tc>
      </w:tr>
      <w:tr w14:paraId="2E625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1096" w:type="dxa"/>
            <w:vMerge w:val="continue"/>
            <w:tcMar>
              <w:top w:w="80" w:type="dxa"/>
              <w:left w:w="100" w:type="dxa"/>
              <w:bottom w:w="80" w:type="dxa"/>
              <w:right w:w="100" w:type="dxa"/>
            </w:tcMar>
            <w:vAlign w:val="center"/>
          </w:tcPr>
          <w:p w14:paraId="3ED31AC5">
            <w:pPr>
              <w:spacing w:line="276" w:lineRule="auto"/>
              <w:jc w:val="center"/>
            </w:pPr>
          </w:p>
        </w:tc>
        <w:tc>
          <w:tcPr>
            <w:tcW w:w="1827" w:type="dxa"/>
            <w:tcMar>
              <w:top w:w="80" w:type="dxa"/>
              <w:left w:w="100" w:type="dxa"/>
              <w:bottom w:w="80" w:type="dxa"/>
              <w:right w:w="100" w:type="dxa"/>
            </w:tcMar>
            <w:vAlign w:val="center"/>
          </w:tcPr>
          <w:p w14:paraId="43B6D886">
            <w:pPr>
              <w:spacing w:line="276" w:lineRule="auto"/>
            </w:pPr>
            <w:r>
              <w:rPr>
                <w:rFonts w:ascii="宋体" w:hAnsi="宋体" w:eastAsia="宋体"/>
                <w:sz w:val="17"/>
              </w:rPr>
              <w:t>报告打印</w:t>
            </w:r>
          </w:p>
        </w:tc>
        <w:tc>
          <w:tcPr>
            <w:tcW w:w="6857" w:type="dxa"/>
            <w:tcMar>
              <w:top w:w="80" w:type="dxa"/>
              <w:left w:w="100" w:type="dxa"/>
              <w:bottom w:w="80" w:type="dxa"/>
              <w:right w:w="100" w:type="dxa"/>
            </w:tcMar>
            <w:vAlign w:val="center"/>
          </w:tcPr>
          <w:p w14:paraId="589D682A">
            <w:pPr>
              <w:spacing w:line="276" w:lineRule="auto"/>
            </w:pPr>
            <w:r>
              <w:rPr>
                <w:rFonts w:ascii="宋体" w:hAnsi="宋体" w:eastAsia="宋体"/>
                <w:sz w:val="17"/>
              </w:rPr>
              <w:t>检测报告单采用A4纸规格打印，内容清晰易懂。</w:t>
            </w:r>
          </w:p>
        </w:tc>
      </w:tr>
      <w:tr w14:paraId="4EC13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1096" w:type="dxa"/>
            <w:vMerge w:val="restart"/>
            <w:tcMar>
              <w:top w:w="80" w:type="dxa"/>
              <w:left w:w="100" w:type="dxa"/>
              <w:bottom w:w="80" w:type="dxa"/>
              <w:right w:w="100" w:type="dxa"/>
            </w:tcMar>
            <w:vAlign w:val="center"/>
          </w:tcPr>
          <w:p w14:paraId="6A070665">
            <w:pPr>
              <w:spacing w:line="276" w:lineRule="auto"/>
              <w:jc w:val="center"/>
            </w:pPr>
            <w:r>
              <w:rPr>
                <w:rFonts w:ascii="宋体" w:hAnsi="宋体" w:eastAsia="宋体"/>
                <w:sz w:val="17"/>
              </w:rPr>
              <w:t>系统要求</w:t>
            </w:r>
          </w:p>
        </w:tc>
        <w:tc>
          <w:tcPr>
            <w:tcW w:w="1827" w:type="dxa"/>
            <w:tcMar>
              <w:top w:w="80" w:type="dxa"/>
              <w:left w:w="100" w:type="dxa"/>
              <w:bottom w:w="80" w:type="dxa"/>
              <w:right w:w="100" w:type="dxa"/>
            </w:tcMar>
            <w:vAlign w:val="center"/>
          </w:tcPr>
          <w:p w14:paraId="2A8D4A14">
            <w:pPr>
              <w:spacing w:line="276" w:lineRule="auto"/>
            </w:pPr>
            <w:r>
              <w:rPr>
                <w:rFonts w:ascii="宋体" w:hAnsi="宋体" w:eastAsia="宋体"/>
                <w:sz w:val="17"/>
              </w:rPr>
              <w:t>建档检测</w:t>
            </w:r>
          </w:p>
        </w:tc>
        <w:tc>
          <w:tcPr>
            <w:tcW w:w="6857" w:type="dxa"/>
            <w:tcMar>
              <w:top w:w="80" w:type="dxa"/>
              <w:left w:w="100" w:type="dxa"/>
              <w:bottom w:w="80" w:type="dxa"/>
              <w:right w:w="100" w:type="dxa"/>
            </w:tcMar>
            <w:vAlign w:val="center"/>
          </w:tcPr>
          <w:p w14:paraId="095F9EA3">
            <w:pPr>
              <w:spacing w:line="276" w:lineRule="auto"/>
            </w:pPr>
            <w:r>
              <w:rPr>
                <w:rFonts w:ascii="宋体" w:hAnsi="宋体" w:eastAsia="宋体"/>
                <w:sz w:val="17"/>
              </w:rPr>
              <w:t>支持身份证刷卡、输入身份证号或输入手机号等方式自助建档检测；体检数据上传至健康数据管理平台个人健康档案中。</w:t>
            </w:r>
          </w:p>
        </w:tc>
      </w:tr>
      <w:tr w14:paraId="1D28F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1096" w:type="dxa"/>
            <w:vMerge w:val="continue"/>
            <w:tcMar>
              <w:top w:w="80" w:type="dxa"/>
              <w:left w:w="100" w:type="dxa"/>
              <w:bottom w:w="80" w:type="dxa"/>
              <w:right w:w="100" w:type="dxa"/>
            </w:tcMar>
            <w:vAlign w:val="center"/>
          </w:tcPr>
          <w:p w14:paraId="6DE43C85">
            <w:pPr>
              <w:spacing w:line="276" w:lineRule="auto"/>
              <w:jc w:val="center"/>
            </w:pPr>
          </w:p>
        </w:tc>
        <w:tc>
          <w:tcPr>
            <w:tcW w:w="1827" w:type="dxa"/>
            <w:tcMar>
              <w:top w:w="80" w:type="dxa"/>
              <w:left w:w="100" w:type="dxa"/>
              <w:bottom w:w="80" w:type="dxa"/>
              <w:right w:w="100" w:type="dxa"/>
            </w:tcMar>
            <w:vAlign w:val="center"/>
          </w:tcPr>
          <w:p w14:paraId="67F2B08D">
            <w:pPr>
              <w:spacing w:line="276" w:lineRule="auto"/>
            </w:pPr>
            <w:r>
              <w:rPr>
                <w:rFonts w:ascii="宋体" w:hAnsi="宋体" w:eastAsia="宋体"/>
                <w:sz w:val="17"/>
              </w:rPr>
              <w:t>登录方式</w:t>
            </w:r>
          </w:p>
        </w:tc>
        <w:tc>
          <w:tcPr>
            <w:tcW w:w="6857" w:type="dxa"/>
            <w:tcMar>
              <w:top w:w="80" w:type="dxa"/>
              <w:left w:w="100" w:type="dxa"/>
              <w:bottom w:w="80" w:type="dxa"/>
              <w:right w:w="100" w:type="dxa"/>
            </w:tcMar>
            <w:vAlign w:val="center"/>
          </w:tcPr>
          <w:p w14:paraId="646C0356">
            <w:pPr>
              <w:spacing w:line="276" w:lineRule="auto"/>
            </w:pPr>
            <w:r>
              <w:rPr>
                <w:rFonts w:ascii="宋体" w:hAnsi="宋体" w:eastAsia="宋体"/>
                <w:sz w:val="17"/>
              </w:rPr>
              <w:t>系统支持人脸识别、微信二维码扫码登录，可替代刷卡登录。</w:t>
            </w:r>
          </w:p>
        </w:tc>
      </w:tr>
      <w:tr w14:paraId="2261E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1096" w:type="dxa"/>
            <w:vMerge w:val="continue"/>
            <w:tcMar>
              <w:top w:w="80" w:type="dxa"/>
              <w:left w:w="100" w:type="dxa"/>
              <w:bottom w:w="80" w:type="dxa"/>
              <w:right w:w="100" w:type="dxa"/>
            </w:tcMar>
            <w:vAlign w:val="center"/>
          </w:tcPr>
          <w:p w14:paraId="55933A50">
            <w:pPr>
              <w:spacing w:line="276" w:lineRule="auto"/>
              <w:jc w:val="center"/>
            </w:pPr>
          </w:p>
        </w:tc>
        <w:tc>
          <w:tcPr>
            <w:tcW w:w="1827" w:type="dxa"/>
            <w:tcMar>
              <w:top w:w="80" w:type="dxa"/>
              <w:left w:w="100" w:type="dxa"/>
              <w:bottom w:w="80" w:type="dxa"/>
              <w:right w:w="100" w:type="dxa"/>
            </w:tcMar>
            <w:vAlign w:val="center"/>
          </w:tcPr>
          <w:p w14:paraId="0C310082">
            <w:pPr>
              <w:spacing w:line="276" w:lineRule="auto"/>
            </w:pPr>
            <w:r>
              <w:rPr>
                <w:rFonts w:ascii="宋体" w:hAnsi="宋体" w:eastAsia="宋体"/>
                <w:sz w:val="17"/>
              </w:rPr>
              <w:t>答题交互</w:t>
            </w:r>
          </w:p>
        </w:tc>
        <w:tc>
          <w:tcPr>
            <w:tcW w:w="6857" w:type="dxa"/>
            <w:tcMar>
              <w:top w:w="80" w:type="dxa"/>
              <w:left w:w="100" w:type="dxa"/>
              <w:bottom w:w="80" w:type="dxa"/>
              <w:right w:w="100" w:type="dxa"/>
            </w:tcMar>
            <w:vAlign w:val="center"/>
          </w:tcPr>
          <w:p w14:paraId="4EED2EDA">
            <w:pPr>
              <w:spacing w:line="276" w:lineRule="auto"/>
            </w:pPr>
            <w:r>
              <w:rPr>
                <w:rFonts w:ascii="宋体" w:hAnsi="宋体" w:eastAsia="宋体"/>
                <w:sz w:val="17"/>
              </w:rPr>
              <w:t>系统操作采用图模式，即使用者操作时满屏只显示一题，而非多题同时显示在同一操作界面中；同时具备题目选择进度指示，保证使用者操作顺畅。</w:t>
            </w:r>
          </w:p>
        </w:tc>
      </w:tr>
      <w:tr w14:paraId="32511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1096" w:type="dxa"/>
            <w:vMerge w:val="continue"/>
            <w:tcMar>
              <w:top w:w="80" w:type="dxa"/>
              <w:left w:w="100" w:type="dxa"/>
              <w:bottom w:w="80" w:type="dxa"/>
              <w:right w:w="100" w:type="dxa"/>
            </w:tcMar>
            <w:vAlign w:val="center"/>
          </w:tcPr>
          <w:p w14:paraId="1B866A43">
            <w:pPr>
              <w:spacing w:line="276" w:lineRule="auto"/>
              <w:jc w:val="center"/>
            </w:pPr>
          </w:p>
        </w:tc>
        <w:tc>
          <w:tcPr>
            <w:tcW w:w="1827" w:type="dxa"/>
            <w:tcMar>
              <w:top w:w="80" w:type="dxa"/>
              <w:left w:w="100" w:type="dxa"/>
              <w:bottom w:w="80" w:type="dxa"/>
              <w:right w:w="100" w:type="dxa"/>
            </w:tcMar>
            <w:vAlign w:val="center"/>
          </w:tcPr>
          <w:p w14:paraId="0EA7515A">
            <w:pPr>
              <w:spacing w:line="276" w:lineRule="auto"/>
            </w:pPr>
            <w:r>
              <w:rPr>
                <w:rFonts w:ascii="宋体" w:hAnsi="宋体" w:eastAsia="宋体"/>
                <w:sz w:val="17"/>
              </w:rPr>
              <w:t>历史报告查看</w:t>
            </w:r>
          </w:p>
        </w:tc>
        <w:tc>
          <w:tcPr>
            <w:tcW w:w="6857" w:type="dxa"/>
            <w:tcMar>
              <w:top w:w="80" w:type="dxa"/>
              <w:left w:w="100" w:type="dxa"/>
              <w:bottom w:w="80" w:type="dxa"/>
              <w:right w:w="100" w:type="dxa"/>
            </w:tcMar>
            <w:vAlign w:val="center"/>
          </w:tcPr>
          <w:p w14:paraId="43E8A856">
            <w:pPr>
              <w:spacing w:line="276" w:lineRule="auto"/>
            </w:pPr>
            <w:r>
              <w:rPr>
                <w:rFonts w:ascii="宋体" w:hAnsi="宋体" w:eastAsia="宋体"/>
                <w:sz w:val="17"/>
              </w:rPr>
              <w:t>可查看以往每次体检报告；报告单对检测项目进行分项分析，并对异常项目进行汇总，对异常项目提供健康促进方案参考。</w:t>
            </w:r>
          </w:p>
        </w:tc>
      </w:tr>
      <w:tr w14:paraId="0E507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1096" w:type="dxa"/>
            <w:vMerge w:val="continue"/>
            <w:tcMar>
              <w:top w:w="80" w:type="dxa"/>
              <w:left w:w="100" w:type="dxa"/>
              <w:bottom w:w="80" w:type="dxa"/>
              <w:right w:w="100" w:type="dxa"/>
            </w:tcMar>
            <w:vAlign w:val="center"/>
          </w:tcPr>
          <w:p w14:paraId="5F96AD99">
            <w:pPr>
              <w:spacing w:line="276" w:lineRule="auto"/>
              <w:jc w:val="center"/>
            </w:pPr>
          </w:p>
        </w:tc>
        <w:tc>
          <w:tcPr>
            <w:tcW w:w="1827" w:type="dxa"/>
            <w:tcMar>
              <w:top w:w="80" w:type="dxa"/>
              <w:left w:w="100" w:type="dxa"/>
              <w:bottom w:w="80" w:type="dxa"/>
              <w:right w:w="100" w:type="dxa"/>
            </w:tcMar>
            <w:vAlign w:val="center"/>
          </w:tcPr>
          <w:p w14:paraId="328EB7CD">
            <w:pPr>
              <w:spacing w:line="276" w:lineRule="auto"/>
            </w:pPr>
            <w:r>
              <w:rPr>
                <w:rFonts w:ascii="宋体" w:hAnsi="宋体" w:eastAsia="宋体"/>
                <w:sz w:val="17"/>
              </w:rPr>
              <w:t>公卫管理功能</w:t>
            </w:r>
          </w:p>
        </w:tc>
        <w:tc>
          <w:tcPr>
            <w:tcW w:w="6857" w:type="dxa"/>
            <w:tcMar>
              <w:top w:w="80" w:type="dxa"/>
              <w:left w:w="100" w:type="dxa"/>
              <w:bottom w:w="80" w:type="dxa"/>
              <w:right w:w="100" w:type="dxa"/>
            </w:tcMar>
            <w:vAlign w:val="center"/>
          </w:tcPr>
          <w:p w14:paraId="282DF88F">
            <w:pPr>
              <w:spacing w:line="276" w:lineRule="auto"/>
            </w:pPr>
            <w:r>
              <w:rPr>
                <w:rFonts w:ascii="宋体" w:hAnsi="宋体" w:eastAsia="宋体"/>
                <w:sz w:val="17"/>
              </w:rPr>
              <w:t>系统具有居民建档案管理、健康教育管理、严重精神障碍管理、肺结核患者健康管理、慢病预防与保健等功能。</w:t>
            </w:r>
          </w:p>
        </w:tc>
      </w:tr>
      <w:tr w14:paraId="0287F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1096" w:type="dxa"/>
            <w:vMerge w:val="continue"/>
            <w:tcMar>
              <w:top w:w="80" w:type="dxa"/>
              <w:left w:w="100" w:type="dxa"/>
              <w:bottom w:w="80" w:type="dxa"/>
              <w:right w:w="100" w:type="dxa"/>
            </w:tcMar>
            <w:vAlign w:val="center"/>
          </w:tcPr>
          <w:p w14:paraId="1B3F53CD">
            <w:pPr>
              <w:spacing w:line="276" w:lineRule="auto"/>
              <w:jc w:val="center"/>
            </w:pPr>
          </w:p>
        </w:tc>
        <w:tc>
          <w:tcPr>
            <w:tcW w:w="1827" w:type="dxa"/>
            <w:tcMar>
              <w:top w:w="80" w:type="dxa"/>
              <w:left w:w="100" w:type="dxa"/>
              <w:bottom w:w="80" w:type="dxa"/>
              <w:right w:w="100" w:type="dxa"/>
            </w:tcMar>
            <w:vAlign w:val="center"/>
          </w:tcPr>
          <w:p w14:paraId="677EA2FB">
            <w:pPr>
              <w:spacing w:line="276" w:lineRule="auto"/>
            </w:pPr>
            <w:r>
              <w:rPr>
                <w:rFonts w:ascii="宋体" w:hAnsi="宋体" w:eastAsia="宋体"/>
                <w:sz w:val="17"/>
              </w:rPr>
              <w:t>慢病及妇幼量表</w:t>
            </w:r>
          </w:p>
        </w:tc>
        <w:tc>
          <w:tcPr>
            <w:tcW w:w="6857" w:type="dxa"/>
            <w:tcMar>
              <w:top w:w="80" w:type="dxa"/>
              <w:left w:w="100" w:type="dxa"/>
              <w:bottom w:w="80" w:type="dxa"/>
              <w:right w:w="100" w:type="dxa"/>
            </w:tcMar>
            <w:vAlign w:val="center"/>
          </w:tcPr>
          <w:p w14:paraId="003F6A47">
            <w:pPr>
              <w:spacing w:line="276" w:lineRule="auto"/>
            </w:pPr>
            <w:r>
              <w:rPr>
                <w:rFonts w:ascii="宋体" w:hAnsi="宋体" w:eastAsia="宋体"/>
                <w:sz w:val="17"/>
              </w:rPr>
              <w:t>系统具有高血压、糖尿病、孕产妇健康量表。</w:t>
            </w:r>
          </w:p>
        </w:tc>
      </w:tr>
      <w:tr w14:paraId="3AD0A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1096" w:type="dxa"/>
            <w:vMerge w:val="continue"/>
            <w:tcMar>
              <w:top w:w="80" w:type="dxa"/>
              <w:left w:w="100" w:type="dxa"/>
              <w:bottom w:w="80" w:type="dxa"/>
              <w:right w:w="100" w:type="dxa"/>
            </w:tcMar>
            <w:vAlign w:val="center"/>
          </w:tcPr>
          <w:p w14:paraId="3D42491F">
            <w:pPr>
              <w:spacing w:line="276" w:lineRule="auto"/>
              <w:jc w:val="center"/>
            </w:pPr>
          </w:p>
        </w:tc>
        <w:tc>
          <w:tcPr>
            <w:tcW w:w="1827" w:type="dxa"/>
            <w:tcMar>
              <w:top w:w="80" w:type="dxa"/>
              <w:left w:w="100" w:type="dxa"/>
              <w:bottom w:w="80" w:type="dxa"/>
              <w:right w:w="100" w:type="dxa"/>
            </w:tcMar>
            <w:vAlign w:val="center"/>
          </w:tcPr>
          <w:p w14:paraId="32FBF50B">
            <w:pPr>
              <w:spacing w:line="276" w:lineRule="auto"/>
            </w:pPr>
            <w:r>
              <w:rPr>
                <w:rFonts w:ascii="宋体" w:hAnsi="宋体" w:eastAsia="宋体"/>
                <w:sz w:val="17"/>
              </w:rPr>
              <w:t>老年人评估量表</w:t>
            </w:r>
          </w:p>
        </w:tc>
        <w:tc>
          <w:tcPr>
            <w:tcW w:w="6857" w:type="dxa"/>
            <w:tcMar>
              <w:top w:w="80" w:type="dxa"/>
              <w:left w:w="100" w:type="dxa"/>
              <w:bottom w:w="80" w:type="dxa"/>
              <w:right w:w="100" w:type="dxa"/>
            </w:tcMar>
            <w:vAlign w:val="center"/>
          </w:tcPr>
          <w:p w14:paraId="06F4651E">
            <w:pPr>
              <w:spacing w:line="276" w:lineRule="auto"/>
            </w:pPr>
            <w:r>
              <w:rPr>
                <w:rFonts w:ascii="宋体" w:hAnsi="宋体" w:eastAsia="宋体"/>
                <w:sz w:val="17"/>
              </w:rPr>
              <w:t>系统具有五种老年人健康评估量表，包括抑郁自评量表SDS、焦虑自评量表SAS、老年抑郁量表GDS、老年人生活自理能力评估表ADL、简单智力状态检查量表MMSE。</w:t>
            </w:r>
          </w:p>
        </w:tc>
      </w:tr>
      <w:tr w14:paraId="1BF28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1096" w:type="dxa"/>
            <w:vMerge w:val="continue"/>
            <w:tcMar>
              <w:top w:w="80" w:type="dxa"/>
              <w:left w:w="100" w:type="dxa"/>
              <w:bottom w:w="80" w:type="dxa"/>
              <w:right w:w="100" w:type="dxa"/>
            </w:tcMar>
            <w:vAlign w:val="center"/>
          </w:tcPr>
          <w:p w14:paraId="2F1050E2">
            <w:pPr>
              <w:spacing w:line="276" w:lineRule="auto"/>
              <w:jc w:val="center"/>
            </w:pPr>
          </w:p>
        </w:tc>
        <w:tc>
          <w:tcPr>
            <w:tcW w:w="1827" w:type="dxa"/>
            <w:tcMar>
              <w:top w:w="80" w:type="dxa"/>
              <w:left w:w="100" w:type="dxa"/>
              <w:bottom w:w="80" w:type="dxa"/>
              <w:right w:w="100" w:type="dxa"/>
            </w:tcMar>
            <w:vAlign w:val="center"/>
          </w:tcPr>
          <w:p w14:paraId="1FFBAFD1">
            <w:pPr>
              <w:spacing w:line="276" w:lineRule="auto"/>
            </w:pPr>
            <w:r>
              <w:rPr>
                <w:rFonts w:ascii="宋体" w:hAnsi="宋体" w:eastAsia="宋体"/>
                <w:sz w:val="17"/>
              </w:rPr>
              <w:t>儿童中医药健康管理记录</w:t>
            </w:r>
          </w:p>
        </w:tc>
        <w:tc>
          <w:tcPr>
            <w:tcW w:w="6857" w:type="dxa"/>
            <w:tcMar>
              <w:top w:w="80" w:type="dxa"/>
              <w:left w:w="100" w:type="dxa"/>
              <w:bottom w:w="80" w:type="dxa"/>
              <w:right w:w="100" w:type="dxa"/>
            </w:tcMar>
            <w:vAlign w:val="center"/>
          </w:tcPr>
          <w:p w14:paraId="1594A3DE">
            <w:pPr>
              <w:spacing w:line="276" w:lineRule="auto"/>
            </w:pPr>
            <w:r>
              <w:rPr>
                <w:rFonts w:ascii="宋体" w:hAnsi="宋体" w:eastAsia="宋体"/>
                <w:sz w:val="17"/>
              </w:rPr>
              <w:t>系统具有6-18月龄儿童中医药健康管理服务记录表和24-36月龄儿童中医药健康管理服务记录表。</w:t>
            </w:r>
          </w:p>
        </w:tc>
      </w:tr>
      <w:tr w14:paraId="584F0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1096" w:type="dxa"/>
            <w:vMerge w:val="continue"/>
            <w:tcMar>
              <w:top w:w="80" w:type="dxa"/>
              <w:left w:w="100" w:type="dxa"/>
              <w:bottom w:w="80" w:type="dxa"/>
              <w:right w:w="100" w:type="dxa"/>
            </w:tcMar>
            <w:vAlign w:val="center"/>
          </w:tcPr>
          <w:p w14:paraId="6676FA3F">
            <w:pPr>
              <w:spacing w:line="276" w:lineRule="auto"/>
              <w:jc w:val="center"/>
            </w:pPr>
          </w:p>
        </w:tc>
        <w:tc>
          <w:tcPr>
            <w:tcW w:w="1827" w:type="dxa"/>
            <w:tcMar>
              <w:top w:w="80" w:type="dxa"/>
              <w:left w:w="100" w:type="dxa"/>
              <w:bottom w:w="80" w:type="dxa"/>
              <w:right w:w="100" w:type="dxa"/>
            </w:tcMar>
            <w:vAlign w:val="center"/>
          </w:tcPr>
          <w:p w14:paraId="7D6B2557">
            <w:pPr>
              <w:spacing w:line="276" w:lineRule="auto"/>
            </w:pPr>
            <w:r>
              <w:rPr>
                <w:rFonts w:ascii="宋体" w:hAnsi="宋体" w:eastAsia="宋体"/>
                <w:sz w:val="17"/>
              </w:rPr>
              <w:t>儿童健康检查记录</w:t>
            </w:r>
          </w:p>
        </w:tc>
        <w:tc>
          <w:tcPr>
            <w:tcW w:w="6857" w:type="dxa"/>
            <w:tcMar>
              <w:top w:w="80" w:type="dxa"/>
              <w:left w:w="100" w:type="dxa"/>
              <w:bottom w:w="80" w:type="dxa"/>
              <w:right w:w="100" w:type="dxa"/>
            </w:tcMar>
            <w:vAlign w:val="center"/>
          </w:tcPr>
          <w:p w14:paraId="12846E5F">
            <w:pPr>
              <w:spacing w:line="276" w:lineRule="auto"/>
            </w:pPr>
            <w:r>
              <w:rPr>
                <w:rFonts w:ascii="宋体" w:hAnsi="宋体" w:eastAsia="宋体"/>
                <w:sz w:val="17"/>
              </w:rPr>
              <w:t>仪器具有3-6岁儿童健康检查记录表。</w:t>
            </w:r>
          </w:p>
        </w:tc>
      </w:tr>
      <w:tr w14:paraId="0B0AB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1096" w:type="dxa"/>
            <w:vMerge w:val="continue"/>
            <w:tcMar>
              <w:top w:w="80" w:type="dxa"/>
              <w:left w:w="100" w:type="dxa"/>
              <w:bottom w:w="80" w:type="dxa"/>
              <w:right w:w="100" w:type="dxa"/>
            </w:tcMar>
            <w:vAlign w:val="center"/>
          </w:tcPr>
          <w:p w14:paraId="6C4683A4">
            <w:pPr>
              <w:spacing w:line="276" w:lineRule="auto"/>
              <w:jc w:val="center"/>
            </w:pPr>
          </w:p>
        </w:tc>
        <w:tc>
          <w:tcPr>
            <w:tcW w:w="1827" w:type="dxa"/>
            <w:tcMar>
              <w:top w:w="80" w:type="dxa"/>
              <w:left w:w="100" w:type="dxa"/>
              <w:bottom w:w="80" w:type="dxa"/>
              <w:right w:w="100" w:type="dxa"/>
            </w:tcMar>
            <w:vAlign w:val="center"/>
          </w:tcPr>
          <w:p w14:paraId="68351F8A">
            <w:pPr>
              <w:spacing w:line="276" w:lineRule="auto"/>
            </w:pPr>
            <w:r>
              <w:rPr>
                <w:rFonts w:ascii="宋体" w:hAnsi="宋体" w:eastAsia="宋体"/>
                <w:sz w:val="17"/>
              </w:rPr>
              <w:t>数据接口</w:t>
            </w:r>
          </w:p>
        </w:tc>
        <w:tc>
          <w:tcPr>
            <w:tcW w:w="6857" w:type="dxa"/>
            <w:tcMar>
              <w:top w:w="80" w:type="dxa"/>
              <w:left w:w="100" w:type="dxa"/>
              <w:bottom w:w="80" w:type="dxa"/>
              <w:right w:w="100" w:type="dxa"/>
            </w:tcMar>
            <w:vAlign w:val="center"/>
          </w:tcPr>
          <w:p w14:paraId="5907DFCD">
            <w:pPr>
              <w:spacing w:line="276" w:lineRule="auto"/>
            </w:pPr>
            <w:r>
              <w:rPr>
                <w:rFonts w:ascii="宋体" w:hAnsi="宋体" w:eastAsia="宋体"/>
                <w:sz w:val="17"/>
              </w:rPr>
              <w:t>系统须开放数据接口，支持和第三方数据平台对接，将检测数据上传到指定的数据服务端。</w:t>
            </w:r>
          </w:p>
        </w:tc>
      </w:tr>
      <w:tr w14:paraId="2BA60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1096" w:type="dxa"/>
            <w:vMerge w:val="continue"/>
            <w:tcMar>
              <w:top w:w="80" w:type="dxa"/>
              <w:left w:w="100" w:type="dxa"/>
              <w:bottom w:w="80" w:type="dxa"/>
              <w:right w:w="100" w:type="dxa"/>
            </w:tcMar>
            <w:vAlign w:val="center"/>
          </w:tcPr>
          <w:p w14:paraId="58A51390">
            <w:pPr>
              <w:spacing w:line="276" w:lineRule="auto"/>
              <w:jc w:val="center"/>
            </w:pPr>
          </w:p>
        </w:tc>
        <w:tc>
          <w:tcPr>
            <w:tcW w:w="1827" w:type="dxa"/>
            <w:tcMar>
              <w:top w:w="80" w:type="dxa"/>
              <w:left w:w="100" w:type="dxa"/>
              <w:bottom w:w="80" w:type="dxa"/>
              <w:right w:w="100" w:type="dxa"/>
            </w:tcMar>
            <w:vAlign w:val="center"/>
          </w:tcPr>
          <w:p w14:paraId="4FEC6184">
            <w:pPr>
              <w:spacing w:line="276" w:lineRule="auto"/>
            </w:pPr>
            <w:r>
              <w:rPr>
                <w:rFonts w:ascii="宋体" w:hAnsi="宋体" w:eastAsia="宋体"/>
                <w:sz w:val="17"/>
              </w:rPr>
              <w:t>系统管理</w:t>
            </w:r>
          </w:p>
        </w:tc>
        <w:tc>
          <w:tcPr>
            <w:tcW w:w="6857" w:type="dxa"/>
            <w:tcMar>
              <w:top w:w="80" w:type="dxa"/>
              <w:left w:w="100" w:type="dxa"/>
              <w:bottom w:w="80" w:type="dxa"/>
              <w:right w:w="100" w:type="dxa"/>
            </w:tcMar>
            <w:vAlign w:val="center"/>
          </w:tcPr>
          <w:p w14:paraId="3A65D580">
            <w:pPr>
              <w:spacing w:line="276" w:lineRule="auto"/>
            </w:pPr>
            <w:r>
              <w:rPr>
                <w:rFonts w:ascii="宋体" w:hAnsi="宋体" w:eastAsia="宋体"/>
                <w:sz w:val="17"/>
              </w:rPr>
              <w:t>系统管理功能支持登录设置、服务器设置、公卫服务、连接管理、系统管理。</w:t>
            </w:r>
          </w:p>
        </w:tc>
      </w:tr>
      <w:tr w14:paraId="21111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jc w:val="center"/>
        </w:trPr>
        <w:tc>
          <w:tcPr>
            <w:tcW w:w="1096" w:type="dxa"/>
            <w:vMerge w:val="continue"/>
            <w:tcMar>
              <w:top w:w="80" w:type="dxa"/>
              <w:left w:w="100" w:type="dxa"/>
              <w:bottom w:w="80" w:type="dxa"/>
              <w:right w:w="100" w:type="dxa"/>
            </w:tcMar>
            <w:vAlign w:val="center"/>
          </w:tcPr>
          <w:p w14:paraId="5B1D6D8B">
            <w:pPr>
              <w:spacing w:line="276" w:lineRule="auto"/>
              <w:jc w:val="center"/>
            </w:pPr>
          </w:p>
        </w:tc>
        <w:tc>
          <w:tcPr>
            <w:tcW w:w="1827" w:type="dxa"/>
            <w:tcMar>
              <w:top w:w="80" w:type="dxa"/>
              <w:left w:w="100" w:type="dxa"/>
              <w:bottom w:w="80" w:type="dxa"/>
              <w:right w:w="100" w:type="dxa"/>
            </w:tcMar>
            <w:vAlign w:val="center"/>
          </w:tcPr>
          <w:p w14:paraId="13004C6F">
            <w:pPr>
              <w:spacing w:line="276" w:lineRule="auto"/>
            </w:pPr>
            <w:r>
              <w:rPr>
                <w:rFonts w:ascii="宋体" w:hAnsi="宋体" w:eastAsia="宋体"/>
                <w:sz w:val="17"/>
              </w:rPr>
              <w:t>AI健康分析</w:t>
            </w:r>
          </w:p>
        </w:tc>
        <w:tc>
          <w:tcPr>
            <w:tcW w:w="6857" w:type="dxa"/>
            <w:tcMar>
              <w:top w:w="80" w:type="dxa"/>
              <w:left w:w="100" w:type="dxa"/>
              <w:bottom w:w="80" w:type="dxa"/>
              <w:right w:w="100" w:type="dxa"/>
            </w:tcMar>
            <w:vAlign w:val="center"/>
          </w:tcPr>
          <w:p w14:paraId="0D80F720">
            <w:pPr>
              <w:spacing w:line="276" w:lineRule="auto"/>
            </w:pPr>
            <w:r>
              <w:rPr>
                <w:rFonts w:hint="eastAsia" w:ascii="微软雅黑" w:hAnsi="微软雅黑" w:eastAsia="微软雅黑" w:cs="微软雅黑"/>
              </w:rPr>
              <w:t>▲</w:t>
            </w:r>
            <w:r>
              <w:rPr>
                <w:rFonts w:ascii="宋体" w:hAnsi="宋体" w:eastAsia="宋体"/>
                <w:sz w:val="17"/>
              </w:rPr>
              <w:t>能够对体检数据进行全面、细致的分析，识别潜在健康问题和异常指标；可根据用户体检情况进行详细分析，并定制个性化健康管理方案、运动建议、膳食指导等；需取得健康风险评估系统软件著作权证书。</w:t>
            </w:r>
          </w:p>
        </w:tc>
      </w:tr>
      <w:tr w14:paraId="5D308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1096" w:type="dxa"/>
            <w:vMerge w:val="continue"/>
            <w:tcMar>
              <w:top w:w="80" w:type="dxa"/>
              <w:left w:w="100" w:type="dxa"/>
              <w:bottom w:w="80" w:type="dxa"/>
              <w:right w:w="100" w:type="dxa"/>
            </w:tcMar>
            <w:vAlign w:val="center"/>
          </w:tcPr>
          <w:p w14:paraId="369EED43">
            <w:pPr>
              <w:spacing w:line="276" w:lineRule="auto"/>
              <w:jc w:val="center"/>
            </w:pPr>
          </w:p>
        </w:tc>
        <w:tc>
          <w:tcPr>
            <w:tcW w:w="1827" w:type="dxa"/>
            <w:tcMar>
              <w:top w:w="80" w:type="dxa"/>
              <w:left w:w="100" w:type="dxa"/>
              <w:bottom w:w="80" w:type="dxa"/>
              <w:right w:w="100" w:type="dxa"/>
            </w:tcMar>
            <w:vAlign w:val="center"/>
          </w:tcPr>
          <w:p w14:paraId="0A00EA27">
            <w:pPr>
              <w:spacing w:line="276" w:lineRule="auto"/>
            </w:pPr>
            <w:r>
              <w:rPr>
                <w:rFonts w:ascii="宋体" w:hAnsi="宋体" w:eastAsia="宋体"/>
                <w:sz w:val="17"/>
              </w:rPr>
              <w:t>功能拓展</w:t>
            </w:r>
          </w:p>
        </w:tc>
        <w:tc>
          <w:tcPr>
            <w:tcW w:w="6857" w:type="dxa"/>
            <w:tcMar>
              <w:top w:w="80" w:type="dxa"/>
              <w:left w:w="100" w:type="dxa"/>
              <w:bottom w:w="80" w:type="dxa"/>
              <w:right w:w="100" w:type="dxa"/>
            </w:tcMar>
            <w:vAlign w:val="center"/>
          </w:tcPr>
          <w:p w14:paraId="6023803B">
            <w:pPr>
              <w:spacing w:line="276" w:lineRule="auto"/>
            </w:pPr>
            <w:r>
              <w:rPr>
                <w:rFonts w:ascii="宋体" w:hAnsi="宋体" w:eastAsia="宋体"/>
                <w:sz w:val="17"/>
              </w:rPr>
              <w:t>系统可支持拓展远程问诊、舌苔评估、面相评估。</w:t>
            </w:r>
          </w:p>
        </w:tc>
      </w:tr>
      <w:tr w14:paraId="14526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096" w:type="dxa"/>
            <w:vMerge w:val="restart"/>
            <w:tcMar>
              <w:top w:w="80" w:type="dxa"/>
              <w:left w:w="100" w:type="dxa"/>
              <w:bottom w:w="80" w:type="dxa"/>
              <w:right w:w="100" w:type="dxa"/>
            </w:tcMar>
            <w:vAlign w:val="center"/>
          </w:tcPr>
          <w:p w14:paraId="4801BE5B">
            <w:pPr>
              <w:spacing w:line="276" w:lineRule="auto"/>
              <w:jc w:val="center"/>
            </w:pPr>
            <w:r>
              <w:rPr>
                <w:rFonts w:ascii="宋体" w:hAnsi="宋体" w:eastAsia="宋体"/>
                <w:sz w:val="17"/>
              </w:rPr>
              <w:t>操作平台</w:t>
            </w:r>
          </w:p>
        </w:tc>
        <w:tc>
          <w:tcPr>
            <w:tcW w:w="1827" w:type="dxa"/>
            <w:tcMar>
              <w:top w:w="80" w:type="dxa"/>
              <w:left w:w="100" w:type="dxa"/>
              <w:bottom w:w="80" w:type="dxa"/>
              <w:right w:w="100" w:type="dxa"/>
            </w:tcMar>
            <w:vAlign w:val="center"/>
          </w:tcPr>
          <w:p w14:paraId="05F07A82">
            <w:pPr>
              <w:spacing w:line="276" w:lineRule="auto"/>
            </w:pPr>
            <w:r>
              <w:rPr>
                <w:rFonts w:ascii="宋体" w:hAnsi="宋体" w:eastAsia="宋体"/>
                <w:sz w:val="17"/>
              </w:rPr>
              <w:t>主控主机-处理器</w:t>
            </w:r>
          </w:p>
        </w:tc>
        <w:tc>
          <w:tcPr>
            <w:tcW w:w="6857" w:type="dxa"/>
            <w:tcMar>
              <w:top w:w="80" w:type="dxa"/>
              <w:left w:w="100" w:type="dxa"/>
              <w:bottom w:w="80" w:type="dxa"/>
              <w:right w:w="100" w:type="dxa"/>
            </w:tcMar>
            <w:vAlign w:val="center"/>
          </w:tcPr>
          <w:p w14:paraId="759891B5">
            <w:pPr>
              <w:spacing w:line="276" w:lineRule="auto"/>
            </w:pPr>
            <w:r>
              <w:rPr>
                <w:rFonts w:ascii="宋体" w:hAnsi="宋体" w:eastAsia="宋体"/>
                <w:sz w:val="17"/>
              </w:rPr>
              <w:t>处理器为Intel Core i5及以上。</w:t>
            </w:r>
          </w:p>
        </w:tc>
      </w:tr>
      <w:tr w14:paraId="77FA5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1096" w:type="dxa"/>
            <w:vMerge w:val="continue"/>
            <w:tcMar>
              <w:top w:w="80" w:type="dxa"/>
              <w:left w:w="100" w:type="dxa"/>
              <w:bottom w:w="80" w:type="dxa"/>
              <w:right w:w="100" w:type="dxa"/>
            </w:tcMar>
            <w:vAlign w:val="center"/>
          </w:tcPr>
          <w:p w14:paraId="1D06102D">
            <w:pPr>
              <w:spacing w:line="276" w:lineRule="auto"/>
              <w:jc w:val="center"/>
            </w:pPr>
          </w:p>
        </w:tc>
        <w:tc>
          <w:tcPr>
            <w:tcW w:w="1827" w:type="dxa"/>
            <w:tcMar>
              <w:top w:w="80" w:type="dxa"/>
              <w:left w:w="100" w:type="dxa"/>
              <w:bottom w:w="80" w:type="dxa"/>
              <w:right w:w="100" w:type="dxa"/>
            </w:tcMar>
            <w:vAlign w:val="center"/>
          </w:tcPr>
          <w:p w14:paraId="0CA75981">
            <w:pPr>
              <w:spacing w:line="276" w:lineRule="auto"/>
            </w:pPr>
            <w:r>
              <w:rPr>
                <w:rFonts w:ascii="宋体" w:hAnsi="宋体" w:eastAsia="宋体"/>
                <w:sz w:val="17"/>
              </w:rPr>
              <w:t>主控主机-显示输出</w:t>
            </w:r>
          </w:p>
        </w:tc>
        <w:tc>
          <w:tcPr>
            <w:tcW w:w="6857" w:type="dxa"/>
            <w:tcMar>
              <w:top w:w="80" w:type="dxa"/>
              <w:left w:w="100" w:type="dxa"/>
              <w:bottom w:w="80" w:type="dxa"/>
              <w:right w:w="100" w:type="dxa"/>
            </w:tcMar>
            <w:vAlign w:val="center"/>
          </w:tcPr>
          <w:p w14:paraId="0B216476">
            <w:pPr>
              <w:spacing w:line="276" w:lineRule="auto"/>
            </w:pPr>
            <w:r>
              <w:rPr>
                <w:rFonts w:ascii="宋体" w:hAnsi="宋体" w:eastAsia="宋体"/>
                <w:sz w:val="17"/>
              </w:rPr>
              <w:t>显示输出支持VGA、HDMI、LVDS；显示功能支持单显、双显复制、双显扩展、DOS下单显；支持异显同步/异步。</w:t>
            </w:r>
          </w:p>
        </w:tc>
      </w:tr>
      <w:tr w14:paraId="2220F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096" w:type="dxa"/>
            <w:vMerge w:val="continue"/>
            <w:tcMar>
              <w:top w:w="80" w:type="dxa"/>
              <w:left w:w="100" w:type="dxa"/>
              <w:bottom w:w="80" w:type="dxa"/>
              <w:right w:w="100" w:type="dxa"/>
            </w:tcMar>
            <w:vAlign w:val="center"/>
          </w:tcPr>
          <w:p w14:paraId="172F6FDC">
            <w:pPr>
              <w:spacing w:line="276" w:lineRule="auto"/>
              <w:jc w:val="center"/>
            </w:pPr>
          </w:p>
        </w:tc>
        <w:tc>
          <w:tcPr>
            <w:tcW w:w="1827" w:type="dxa"/>
            <w:tcMar>
              <w:top w:w="80" w:type="dxa"/>
              <w:left w:w="100" w:type="dxa"/>
              <w:bottom w:w="80" w:type="dxa"/>
              <w:right w:w="100" w:type="dxa"/>
            </w:tcMar>
            <w:vAlign w:val="center"/>
          </w:tcPr>
          <w:p w14:paraId="11E2F689">
            <w:pPr>
              <w:spacing w:line="276" w:lineRule="auto"/>
            </w:pPr>
            <w:r>
              <w:rPr>
                <w:rFonts w:ascii="宋体" w:hAnsi="宋体" w:eastAsia="宋体"/>
                <w:sz w:val="17"/>
              </w:rPr>
              <w:t>主控主机-内存</w:t>
            </w:r>
          </w:p>
        </w:tc>
        <w:tc>
          <w:tcPr>
            <w:tcW w:w="6857" w:type="dxa"/>
            <w:tcMar>
              <w:top w:w="80" w:type="dxa"/>
              <w:left w:w="100" w:type="dxa"/>
              <w:bottom w:w="80" w:type="dxa"/>
              <w:right w:w="100" w:type="dxa"/>
            </w:tcMar>
            <w:vAlign w:val="center"/>
          </w:tcPr>
          <w:p w14:paraId="4B188E4E">
            <w:pPr>
              <w:spacing w:line="276" w:lineRule="auto"/>
            </w:pPr>
            <w:r>
              <w:rPr>
                <w:rFonts w:ascii="宋体" w:hAnsi="宋体" w:eastAsia="宋体"/>
                <w:sz w:val="17"/>
              </w:rPr>
              <w:t>内存不低于8G高速缓存。</w:t>
            </w:r>
          </w:p>
        </w:tc>
      </w:tr>
      <w:tr w14:paraId="6CBC3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1096" w:type="dxa"/>
            <w:vMerge w:val="continue"/>
            <w:tcMar>
              <w:top w:w="80" w:type="dxa"/>
              <w:left w:w="100" w:type="dxa"/>
              <w:bottom w:w="80" w:type="dxa"/>
              <w:right w:w="100" w:type="dxa"/>
            </w:tcMar>
            <w:vAlign w:val="center"/>
          </w:tcPr>
          <w:p w14:paraId="3CB6F042">
            <w:pPr>
              <w:spacing w:line="276" w:lineRule="auto"/>
              <w:jc w:val="center"/>
            </w:pPr>
          </w:p>
        </w:tc>
        <w:tc>
          <w:tcPr>
            <w:tcW w:w="1827" w:type="dxa"/>
            <w:tcMar>
              <w:top w:w="80" w:type="dxa"/>
              <w:left w:w="100" w:type="dxa"/>
              <w:bottom w:w="80" w:type="dxa"/>
              <w:right w:w="100" w:type="dxa"/>
            </w:tcMar>
            <w:vAlign w:val="center"/>
          </w:tcPr>
          <w:p w14:paraId="512BEFFD">
            <w:pPr>
              <w:spacing w:line="276" w:lineRule="auto"/>
            </w:pPr>
            <w:r>
              <w:rPr>
                <w:rFonts w:ascii="宋体" w:hAnsi="宋体" w:eastAsia="宋体"/>
                <w:sz w:val="17"/>
              </w:rPr>
              <w:t>主控主机-硬盘</w:t>
            </w:r>
          </w:p>
        </w:tc>
        <w:tc>
          <w:tcPr>
            <w:tcW w:w="6857" w:type="dxa"/>
            <w:tcMar>
              <w:top w:w="80" w:type="dxa"/>
              <w:left w:w="100" w:type="dxa"/>
              <w:bottom w:w="80" w:type="dxa"/>
              <w:right w:w="100" w:type="dxa"/>
            </w:tcMar>
            <w:vAlign w:val="center"/>
          </w:tcPr>
          <w:p w14:paraId="1DA298D9">
            <w:pPr>
              <w:spacing w:line="276" w:lineRule="auto"/>
            </w:pPr>
            <w:r>
              <w:rPr>
                <w:rFonts w:ascii="宋体" w:hAnsi="宋体" w:eastAsia="宋体"/>
                <w:sz w:val="17"/>
              </w:rPr>
              <w:t>固态硬盘不低于128G。</w:t>
            </w:r>
          </w:p>
        </w:tc>
      </w:tr>
      <w:tr w14:paraId="0CE9D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096" w:type="dxa"/>
            <w:vMerge w:val="continue"/>
            <w:tcMar>
              <w:top w:w="80" w:type="dxa"/>
              <w:left w:w="100" w:type="dxa"/>
              <w:bottom w:w="80" w:type="dxa"/>
              <w:right w:w="100" w:type="dxa"/>
            </w:tcMar>
            <w:vAlign w:val="center"/>
          </w:tcPr>
          <w:p w14:paraId="2E5046DC">
            <w:pPr>
              <w:spacing w:line="276" w:lineRule="auto"/>
              <w:jc w:val="center"/>
            </w:pPr>
          </w:p>
        </w:tc>
        <w:tc>
          <w:tcPr>
            <w:tcW w:w="1827" w:type="dxa"/>
            <w:tcMar>
              <w:top w:w="80" w:type="dxa"/>
              <w:left w:w="100" w:type="dxa"/>
              <w:bottom w:w="80" w:type="dxa"/>
              <w:right w:w="100" w:type="dxa"/>
            </w:tcMar>
            <w:vAlign w:val="center"/>
          </w:tcPr>
          <w:p w14:paraId="58BB2E4D">
            <w:pPr>
              <w:spacing w:line="276" w:lineRule="auto"/>
            </w:pPr>
            <w:r>
              <w:rPr>
                <w:rFonts w:ascii="宋体" w:hAnsi="宋体" w:eastAsia="宋体"/>
                <w:sz w:val="17"/>
              </w:rPr>
              <w:t>主控主机-I/O接口</w:t>
            </w:r>
          </w:p>
        </w:tc>
        <w:tc>
          <w:tcPr>
            <w:tcW w:w="6857" w:type="dxa"/>
            <w:tcMar>
              <w:top w:w="80" w:type="dxa"/>
              <w:left w:w="100" w:type="dxa"/>
              <w:bottom w:w="80" w:type="dxa"/>
              <w:right w:w="100" w:type="dxa"/>
            </w:tcMar>
            <w:vAlign w:val="center"/>
          </w:tcPr>
          <w:p w14:paraId="1FEC2BA6">
            <w:pPr>
              <w:spacing w:line="276" w:lineRule="auto"/>
            </w:pPr>
            <w:r>
              <w:rPr>
                <w:rFonts w:ascii="宋体" w:hAnsi="宋体" w:eastAsia="宋体"/>
                <w:sz w:val="17"/>
              </w:rPr>
              <w:t>I/O接口不低于6个COM232、1个RS485、6个USB2.0、2个USB3.0。</w:t>
            </w:r>
          </w:p>
        </w:tc>
      </w:tr>
      <w:tr w14:paraId="5D5AB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1096" w:type="dxa"/>
            <w:vMerge w:val="continue"/>
            <w:tcMar>
              <w:top w:w="80" w:type="dxa"/>
              <w:left w:w="100" w:type="dxa"/>
              <w:bottom w:w="80" w:type="dxa"/>
              <w:right w:w="100" w:type="dxa"/>
            </w:tcMar>
            <w:vAlign w:val="center"/>
          </w:tcPr>
          <w:p w14:paraId="7A004B54">
            <w:pPr>
              <w:spacing w:line="276" w:lineRule="auto"/>
              <w:jc w:val="center"/>
            </w:pPr>
          </w:p>
        </w:tc>
        <w:tc>
          <w:tcPr>
            <w:tcW w:w="1827" w:type="dxa"/>
            <w:tcMar>
              <w:top w:w="80" w:type="dxa"/>
              <w:left w:w="100" w:type="dxa"/>
              <w:bottom w:w="80" w:type="dxa"/>
              <w:right w:w="100" w:type="dxa"/>
            </w:tcMar>
            <w:vAlign w:val="center"/>
          </w:tcPr>
          <w:p w14:paraId="7856CE4C">
            <w:pPr>
              <w:spacing w:line="276" w:lineRule="auto"/>
            </w:pPr>
            <w:r>
              <w:rPr>
                <w:rFonts w:ascii="宋体" w:hAnsi="宋体" w:eastAsia="宋体"/>
                <w:sz w:val="17"/>
              </w:rPr>
              <w:t>主控主机-网络</w:t>
            </w:r>
          </w:p>
        </w:tc>
        <w:tc>
          <w:tcPr>
            <w:tcW w:w="6857" w:type="dxa"/>
            <w:tcMar>
              <w:top w:w="80" w:type="dxa"/>
              <w:left w:w="100" w:type="dxa"/>
              <w:bottom w:w="80" w:type="dxa"/>
              <w:right w:w="100" w:type="dxa"/>
            </w:tcMar>
            <w:vAlign w:val="center"/>
          </w:tcPr>
          <w:p w14:paraId="35353DDC">
            <w:pPr>
              <w:spacing w:line="276" w:lineRule="auto"/>
            </w:pPr>
            <w:r>
              <w:rPr>
                <w:rFonts w:ascii="宋体" w:hAnsi="宋体" w:eastAsia="宋体"/>
                <w:sz w:val="17"/>
              </w:rPr>
              <w:t>支持Wi-Fi和网线连接。</w:t>
            </w:r>
          </w:p>
        </w:tc>
      </w:tr>
      <w:tr w14:paraId="0BDC6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096" w:type="dxa"/>
            <w:vMerge w:val="continue"/>
            <w:tcMar>
              <w:top w:w="80" w:type="dxa"/>
              <w:left w:w="100" w:type="dxa"/>
              <w:bottom w:w="80" w:type="dxa"/>
              <w:right w:w="100" w:type="dxa"/>
            </w:tcMar>
            <w:vAlign w:val="center"/>
          </w:tcPr>
          <w:p w14:paraId="0644EFA5">
            <w:pPr>
              <w:spacing w:line="276" w:lineRule="auto"/>
              <w:jc w:val="center"/>
            </w:pPr>
          </w:p>
        </w:tc>
        <w:tc>
          <w:tcPr>
            <w:tcW w:w="1827" w:type="dxa"/>
            <w:tcMar>
              <w:top w:w="80" w:type="dxa"/>
              <w:left w:w="100" w:type="dxa"/>
              <w:bottom w:w="80" w:type="dxa"/>
              <w:right w:w="100" w:type="dxa"/>
            </w:tcMar>
            <w:vAlign w:val="center"/>
          </w:tcPr>
          <w:p w14:paraId="1DAA2F09">
            <w:pPr>
              <w:spacing w:line="276" w:lineRule="auto"/>
            </w:pPr>
            <w:r>
              <w:rPr>
                <w:rFonts w:ascii="宋体" w:hAnsi="宋体" w:eastAsia="宋体"/>
                <w:sz w:val="17"/>
              </w:rPr>
              <w:t>主控主机-板载网卡</w:t>
            </w:r>
          </w:p>
        </w:tc>
        <w:tc>
          <w:tcPr>
            <w:tcW w:w="6857" w:type="dxa"/>
            <w:tcMar>
              <w:top w:w="80" w:type="dxa"/>
              <w:left w:w="100" w:type="dxa"/>
              <w:bottom w:w="80" w:type="dxa"/>
              <w:right w:w="100" w:type="dxa"/>
            </w:tcMar>
            <w:vAlign w:val="center"/>
          </w:tcPr>
          <w:p w14:paraId="24DB388C">
            <w:pPr>
              <w:spacing w:line="276" w:lineRule="auto"/>
            </w:pPr>
            <w:r>
              <w:rPr>
                <w:rFonts w:ascii="宋体" w:hAnsi="宋体" w:eastAsia="宋体"/>
                <w:sz w:val="17"/>
              </w:rPr>
              <w:t>板载网卡为Realtek 8111E千兆网卡及以上。</w:t>
            </w:r>
          </w:p>
        </w:tc>
      </w:tr>
      <w:tr w14:paraId="29270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1096" w:type="dxa"/>
            <w:vMerge w:val="continue"/>
            <w:tcMar>
              <w:top w:w="80" w:type="dxa"/>
              <w:left w:w="100" w:type="dxa"/>
              <w:bottom w:w="80" w:type="dxa"/>
              <w:right w:w="100" w:type="dxa"/>
            </w:tcMar>
            <w:vAlign w:val="center"/>
          </w:tcPr>
          <w:p w14:paraId="325589C5">
            <w:pPr>
              <w:spacing w:line="276" w:lineRule="auto"/>
              <w:jc w:val="center"/>
            </w:pPr>
          </w:p>
        </w:tc>
        <w:tc>
          <w:tcPr>
            <w:tcW w:w="1827" w:type="dxa"/>
            <w:tcMar>
              <w:top w:w="80" w:type="dxa"/>
              <w:left w:w="100" w:type="dxa"/>
              <w:bottom w:w="80" w:type="dxa"/>
              <w:right w:w="100" w:type="dxa"/>
            </w:tcMar>
            <w:vAlign w:val="center"/>
          </w:tcPr>
          <w:p w14:paraId="16931EDD">
            <w:pPr>
              <w:spacing w:line="276" w:lineRule="auto"/>
            </w:pPr>
            <w:r>
              <w:rPr>
                <w:rFonts w:ascii="宋体" w:hAnsi="宋体" w:eastAsia="宋体"/>
                <w:sz w:val="17"/>
              </w:rPr>
              <w:t>主控主机-运行模式</w:t>
            </w:r>
          </w:p>
        </w:tc>
        <w:tc>
          <w:tcPr>
            <w:tcW w:w="6857" w:type="dxa"/>
            <w:tcMar>
              <w:top w:w="80" w:type="dxa"/>
              <w:left w:w="100" w:type="dxa"/>
              <w:bottom w:w="80" w:type="dxa"/>
              <w:right w:w="100" w:type="dxa"/>
            </w:tcMar>
            <w:vAlign w:val="center"/>
          </w:tcPr>
          <w:p w14:paraId="2513C506">
            <w:pPr>
              <w:spacing w:line="276" w:lineRule="auto"/>
            </w:pPr>
            <w:r>
              <w:rPr>
                <w:rFonts w:ascii="宋体" w:hAnsi="宋体" w:eastAsia="宋体"/>
                <w:sz w:val="17"/>
              </w:rPr>
              <w:t>支持上电开机、网络唤醒、定时开机、无人值守等模式。</w:t>
            </w:r>
          </w:p>
        </w:tc>
      </w:tr>
      <w:tr w14:paraId="2D660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096" w:type="dxa"/>
            <w:vMerge w:val="continue"/>
            <w:tcMar>
              <w:top w:w="80" w:type="dxa"/>
              <w:left w:w="100" w:type="dxa"/>
              <w:bottom w:w="80" w:type="dxa"/>
              <w:right w:w="100" w:type="dxa"/>
            </w:tcMar>
            <w:vAlign w:val="center"/>
          </w:tcPr>
          <w:p w14:paraId="0B71C937">
            <w:pPr>
              <w:spacing w:line="276" w:lineRule="auto"/>
              <w:jc w:val="center"/>
            </w:pPr>
          </w:p>
        </w:tc>
        <w:tc>
          <w:tcPr>
            <w:tcW w:w="1827" w:type="dxa"/>
            <w:tcMar>
              <w:top w:w="80" w:type="dxa"/>
              <w:left w:w="100" w:type="dxa"/>
              <w:bottom w:w="80" w:type="dxa"/>
              <w:right w:w="100" w:type="dxa"/>
            </w:tcMar>
            <w:vAlign w:val="center"/>
          </w:tcPr>
          <w:p w14:paraId="27410345">
            <w:pPr>
              <w:spacing w:line="276" w:lineRule="auto"/>
            </w:pPr>
            <w:r>
              <w:rPr>
                <w:rFonts w:ascii="宋体" w:hAnsi="宋体" w:eastAsia="宋体"/>
                <w:sz w:val="17"/>
              </w:rPr>
              <w:t>操作显示屏-尺寸</w:t>
            </w:r>
          </w:p>
        </w:tc>
        <w:tc>
          <w:tcPr>
            <w:tcW w:w="6857" w:type="dxa"/>
            <w:tcMar>
              <w:top w:w="80" w:type="dxa"/>
              <w:left w:w="100" w:type="dxa"/>
              <w:bottom w:w="80" w:type="dxa"/>
              <w:right w:w="100" w:type="dxa"/>
            </w:tcMar>
            <w:vAlign w:val="center"/>
          </w:tcPr>
          <w:p w14:paraId="04274211">
            <w:pPr>
              <w:spacing w:line="276" w:lineRule="auto"/>
            </w:pPr>
            <w:r>
              <w:rPr>
                <w:rFonts w:ascii="宋体" w:hAnsi="宋体" w:eastAsia="宋体"/>
                <w:sz w:val="17"/>
              </w:rPr>
              <w:t>显示规格不低于21.5英寸。</w:t>
            </w:r>
          </w:p>
        </w:tc>
      </w:tr>
      <w:tr w14:paraId="11716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096" w:type="dxa"/>
            <w:vMerge w:val="continue"/>
            <w:tcMar>
              <w:top w:w="80" w:type="dxa"/>
              <w:left w:w="100" w:type="dxa"/>
              <w:bottom w:w="80" w:type="dxa"/>
              <w:right w:w="100" w:type="dxa"/>
            </w:tcMar>
            <w:vAlign w:val="center"/>
          </w:tcPr>
          <w:p w14:paraId="7E559C31">
            <w:pPr>
              <w:spacing w:line="276" w:lineRule="auto"/>
              <w:jc w:val="center"/>
            </w:pPr>
          </w:p>
        </w:tc>
        <w:tc>
          <w:tcPr>
            <w:tcW w:w="1827" w:type="dxa"/>
            <w:tcMar>
              <w:top w:w="80" w:type="dxa"/>
              <w:left w:w="100" w:type="dxa"/>
              <w:bottom w:w="80" w:type="dxa"/>
              <w:right w:w="100" w:type="dxa"/>
            </w:tcMar>
            <w:vAlign w:val="center"/>
          </w:tcPr>
          <w:p w14:paraId="3555EDFA">
            <w:pPr>
              <w:spacing w:line="276" w:lineRule="auto"/>
            </w:pPr>
            <w:r>
              <w:rPr>
                <w:rFonts w:ascii="宋体" w:hAnsi="宋体" w:eastAsia="宋体"/>
                <w:sz w:val="17"/>
              </w:rPr>
              <w:t>操作显示屏-比例</w:t>
            </w:r>
          </w:p>
        </w:tc>
        <w:tc>
          <w:tcPr>
            <w:tcW w:w="6857" w:type="dxa"/>
            <w:tcMar>
              <w:top w:w="80" w:type="dxa"/>
              <w:left w:w="100" w:type="dxa"/>
              <w:bottom w:w="80" w:type="dxa"/>
              <w:right w:w="100" w:type="dxa"/>
            </w:tcMar>
            <w:vAlign w:val="center"/>
          </w:tcPr>
          <w:p w14:paraId="3C975222">
            <w:pPr>
              <w:spacing w:line="276" w:lineRule="auto"/>
            </w:pPr>
            <w:r>
              <w:rPr>
                <w:rFonts w:ascii="宋体" w:hAnsi="宋体" w:eastAsia="宋体"/>
                <w:sz w:val="17"/>
              </w:rPr>
              <w:t>显示比例为16:9。</w:t>
            </w:r>
          </w:p>
        </w:tc>
      </w:tr>
      <w:tr w14:paraId="1B39F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1096" w:type="dxa"/>
            <w:vMerge w:val="continue"/>
            <w:tcMar>
              <w:top w:w="80" w:type="dxa"/>
              <w:left w:w="100" w:type="dxa"/>
              <w:bottom w:w="80" w:type="dxa"/>
              <w:right w:w="100" w:type="dxa"/>
            </w:tcMar>
            <w:vAlign w:val="center"/>
          </w:tcPr>
          <w:p w14:paraId="43CC66CE">
            <w:pPr>
              <w:spacing w:line="276" w:lineRule="auto"/>
              <w:jc w:val="center"/>
            </w:pPr>
          </w:p>
        </w:tc>
        <w:tc>
          <w:tcPr>
            <w:tcW w:w="1827" w:type="dxa"/>
            <w:tcMar>
              <w:top w:w="80" w:type="dxa"/>
              <w:left w:w="100" w:type="dxa"/>
              <w:bottom w:w="80" w:type="dxa"/>
              <w:right w:w="100" w:type="dxa"/>
            </w:tcMar>
            <w:vAlign w:val="center"/>
          </w:tcPr>
          <w:p w14:paraId="1390D1D8">
            <w:pPr>
              <w:spacing w:line="276" w:lineRule="auto"/>
            </w:pPr>
            <w:r>
              <w:rPr>
                <w:rFonts w:ascii="宋体" w:hAnsi="宋体" w:eastAsia="宋体"/>
                <w:sz w:val="17"/>
              </w:rPr>
              <w:t>操作显示屏-设计</w:t>
            </w:r>
          </w:p>
        </w:tc>
        <w:tc>
          <w:tcPr>
            <w:tcW w:w="6857" w:type="dxa"/>
            <w:tcMar>
              <w:top w:w="80" w:type="dxa"/>
              <w:left w:w="100" w:type="dxa"/>
              <w:bottom w:w="80" w:type="dxa"/>
              <w:right w:w="100" w:type="dxa"/>
            </w:tcMar>
            <w:vAlign w:val="center"/>
          </w:tcPr>
          <w:p w14:paraId="35CEF940">
            <w:pPr>
              <w:spacing w:line="276" w:lineRule="auto"/>
            </w:pPr>
            <w:r>
              <w:rPr>
                <w:rFonts w:ascii="宋体" w:hAnsi="宋体" w:eastAsia="宋体"/>
                <w:sz w:val="17"/>
              </w:rPr>
              <w:t>采用电容触摸贴合设计、全面屏概念设计，整体美观，集成度高。</w:t>
            </w:r>
          </w:p>
        </w:tc>
      </w:tr>
      <w:tr w14:paraId="20E5F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096" w:type="dxa"/>
            <w:vMerge w:val="continue"/>
            <w:tcMar>
              <w:top w:w="80" w:type="dxa"/>
              <w:left w:w="100" w:type="dxa"/>
              <w:bottom w:w="80" w:type="dxa"/>
              <w:right w:w="100" w:type="dxa"/>
            </w:tcMar>
            <w:vAlign w:val="center"/>
          </w:tcPr>
          <w:p w14:paraId="6665E039">
            <w:pPr>
              <w:spacing w:line="276" w:lineRule="auto"/>
              <w:jc w:val="center"/>
            </w:pPr>
          </w:p>
        </w:tc>
        <w:tc>
          <w:tcPr>
            <w:tcW w:w="1827" w:type="dxa"/>
            <w:tcMar>
              <w:top w:w="80" w:type="dxa"/>
              <w:left w:w="100" w:type="dxa"/>
              <w:bottom w:w="80" w:type="dxa"/>
              <w:right w:w="100" w:type="dxa"/>
            </w:tcMar>
            <w:vAlign w:val="center"/>
          </w:tcPr>
          <w:p w14:paraId="6D57D627">
            <w:pPr>
              <w:spacing w:line="276" w:lineRule="auto"/>
            </w:pPr>
            <w:r>
              <w:rPr>
                <w:rFonts w:ascii="宋体" w:hAnsi="宋体" w:eastAsia="宋体"/>
                <w:sz w:val="17"/>
              </w:rPr>
              <w:t>操作显示屏-分辨率</w:t>
            </w:r>
          </w:p>
        </w:tc>
        <w:tc>
          <w:tcPr>
            <w:tcW w:w="6857" w:type="dxa"/>
            <w:tcMar>
              <w:top w:w="80" w:type="dxa"/>
              <w:left w:w="100" w:type="dxa"/>
              <w:bottom w:w="80" w:type="dxa"/>
              <w:right w:w="100" w:type="dxa"/>
            </w:tcMar>
            <w:vAlign w:val="center"/>
          </w:tcPr>
          <w:p w14:paraId="5DBF8223">
            <w:pPr>
              <w:spacing w:line="276" w:lineRule="auto"/>
            </w:pPr>
            <w:r>
              <w:rPr>
                <w:rFonts w:ascii="宋体" w:hAnsi="宋体" w:eastAsia="宋体"/>
                <w:sz w:val="17"/>
              </w:rPr>
              <w:t>分辨率为1920(H)×1080(V)。</w:t>
            </w:r>
          </w:p>
        </w:tc>
      </w:tr>
      <w:tr w14:paraId="6B84C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1096" w:type="dxa"/>
            <w:vMerge w:val="continue"/>
            <w:tcMar>
              <w:top w:w="80" w:type="dxa"/>
              <w:left w:w="100" w:type="dxa"/>
              <w:bottom w:w="80" w:type="dxa"/>
              <w:right w:w="100" w:type="dxa"/>
            </w:tcMar>
            <w:vAlign w:val="center"/>
          </w:tcPr>
          <w:p w14:paraId="284775D5">
            <w:pPr>
              <w:spacing w:line="276" w:lineRule="auto"/>
              <w:jc w:val="center"/>
            </w:pPr>
          </w:p>
        </w:tc>
        <w:tc>
          <w:tcPr>
            <w:tcW w:w="1827" w:type="dxa"/>
            <w:tcMar>
              <w:top w:w="80" w:type="dxa"/>
              <w:left w:w="100" w:type="dxa"/>
              <w:bottom w:w="80" w:type="dxa"/>
              <w:right w:w="100" w:type="dxa"/>
            </w:tcMar>
            <w:vAlign w:val="center"/>
          </w:tcPr>
          <w:p w14:paraId="58803595">
            <w:pPr>
              <w:spacing w:line="276" w:lineRule="auto"/>
            </w:pPr>
            <w:r>
              <w:rPr>
                <w:rFonts w:ascii="宋体" w:hAnsi="宋体" w:eastAsia="宋体"/>
                <w:sz w:val="17"/>
              </w:rPr>
              <w:t>身份证读卡器-技术标准</w:t>
            </w:r>
          </w:p>
        </w:tc>
        <w:tc>
          <w:tcPr>
            <w:tcW w:w="6857" w:type="dxa"/>
            <w:tcMar>
              <w:top w:w="80" w:type="dxa"/>
              <w:left w:w="100" w:type="dxa"/>
              <w:bottom w:w="80" w:type="dxa"/>
              <w:right w:w="100" w:type="dxa"/>
            </w:tcMar>
            <w:vAlign w:val="center"/>
          </w:tcPr>
          <w:p w14:paraId="499480BA">
            <w:pPr>
              <w:spacing w:line="276" w:lineRule="auto"/>
            </w:pPr>
            <w:r>
              <w:rPr>
                <w:rFonts w:ascii="宋体" w:hAnsi="宋体" w:eastAsia="宋体"/>
                <w:sz w:val="17"/>
              </w:rPr>
              <w:t>符合居民身份证阅读器通用技术要求，兼容ISO14443(TypeB)标准；采用非接触式IC卡技术，与计算机或其他设备连接后可读取居民身份证专用芯片内相关信息。</w:t>
            </w:r>
          </w:p>
        </w:tc>
      </w:tr>
      <w:tr w14:paraId="22DF6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1096" w:type="dxa"/>
            <w:vMerge w:val="continue"/>
            <w:tcMar>
              <w:top w:w="80" w:type="dxa"/>
              <w:left w:w="100" w:type="dxa"/>
              <w:bottom w:w="80" w:type="dxa"/>
              <w:right w:w="100" w:type="dxa"/>
            </w:tcMar>
            <w:vAlign w:val="center"/>
          </w:tcPr>
          <w:p w14:paraId="291011B2">
            <w:pPr>
              <w:spacing w:line="276" w:lineRule="auto"/>
              <w:jc w:val="center"/>
            </w:pPr>
          </w:p>
        </w:tc>
        <w:tc>
          <w:tcPr>
            <w:tcW w:w="1827" w:type="dxa"/>
            <w:tcMar>
              <w:top w:w="80" w:type="dxa"/>
              <w:left w:w="100" w:type="dxa"/>
              <w:bottom w:w="80" w:type="dxa"/>
              <w:right w:w="100" w:type="dxa"/>
            </w:tcMar>
            <w:vAlign w:val="center"/>
          </w:tcPr>
          <w:p w14:paraId="6883A14B">
            <w:pPr>
              <w:spacing w:line="276" w:lineRule="auto"/>
            </w:pPr>
            <w:r>
              <w:rPr>
                <w:rFonts w:ascii="宋体" w:hAnsi="宋体" w:eastAsia="宋体"/>
                <w:sz w:val="17"/>
              </w:rPr>
              <w:t>身份证读卡器-天线能量输出</w:t>
            </w:r>
          </w:p>
        </w:tc>
        <w:tc>
          <w:tcPr>
            <w:tcW w:w="6857" w:type="dxa"/>
            <w:tcMar>
              <w:top w:w="80" w:type="dxa"/>
              <w:left w:w="100" w:type="dxa"/>
              <w:bottom w:w="80" w:type="dxa"/>
              <w:right w:w="100" w:type="dxa"/>
            </w:tcMar>
            <w:vAlign w:val="center"/>
          </w:tcPr>
          <w:p w14:paraId="1CCFACF7">
            <w:pPr>
              <w:spacing w:line="276" w:lineRule="auto"/>
            </w:pPr>
            <w:r>
              <w:rPr>
                <w:rFonts w:ascii="宋体" w:hAnsi="宋体" w:eastAsia="宋体"/>
                <w:sz w:val="17"/>
              </w:rPr>
              <w:t>天线表面磁场强度(Hmax)≤7.5A/m rms；天线表面法线方向5cm处电磁场强度(Hmin)≥1.5A/m rms。</w:t>
            </w:r>
          </w:p>
        </w:tc>
      </w:tr>
      <w:tr w14:paraId="72F5C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1096" w:type="dxa"/>
            <w:vMerge w:val="continue"/>
            <w:tcMar>
              <w:top w:w="80" w:type="dxa"/>
              <w:left w:w="100" w:type="dxa"/>
              <w:bottom w:w="80" w:type="dxa"/>
              <w:right w:w="100" w:type="dxa"/>
            </w:tcMar>
            <w:vAlign w:val="center"/>
          </w:tcPr>
          <w:p w14:paraId="60B85D2A">
            <w:pPr>
              <w:spacing w:line="276" w:lineRule="auto"/>
              <w:jc w:val="center"/>
            </w:pPr>
          </w:p>
        </w:tc>
        <w:tc>
          <w:tcPr>
            <w:tcW w:w="1827" w:type="dxa"/>
            <w:tcMar>
              <w:top w:w="80" w:type="dxa"/>
              <w:left w:w="100" w:type="dxa"/>
              <w:bottom w:w="80" w:type="dxa"/>
              <w:right w:w="100" w:type="dxa"/>
            </w:tcMar>
            <w:vAlign w:val="center"/>
          </w:tcPr>
          <w:p w14:paraId="1BDAFA63">
            <w:pPr>
              <w:spacing w:line="276" w:lineRule="auto"/>
            </w:pPr>
            <w:r>
              <w:rPr>
                <w:rFonts w:ascii="宋体" w:hAnsi="宋体" w:eastAsia="宋体"/>
                <w:sz w:val="17"/>
              </w:rPr>
              <w:t>身份证读卡器-接口</w:t>
            </w:r>
          </w:p>
        </w:tc>
        <w:tc>
          <w:tcPr>
            <w:tcW w:w="6857" w:type="dxa"/>
            <w:tcMar>
              <w:top w:w="80" w:type="dxa"/>
              <w:left w:w="100" w:type="dxa"/>
              <w:bottom w:w="80" w:type="dxa"/>
              <w:right w:w="100" w:type="dxa"/>
            </w:tcMar>
            <w:vAlign w:val="center"/>
          </w:tcPr>
          <w:p w14:paraId="3AC4718C">
            <w:pPr>
              <w:spacing w:line="276" w:lineRule="auto"/>
            </w:pPr>
            <w:r>
              <w:rPr>
                <w:rFonts w:ascii="宋体" w:hAnsi="宋体" w:eastAsia="宋体"/>
                <w:sz w:val="17"/>
              </w:rPr>
              <w:t>接口支持RS-232C或USB接口。</w:t>
            </w:r>
          </w:p>
        </w:tc>
      </w:tr>
      <w:tr w14:paraId="00331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096" w:type="dxa"/>
            <w:vMerge w:val="continue"/>
            <w:tcMar>
              <w:top w:w="80" w:type="dxa"/>
              <w:left w:w="100" w:type="dxa"/>
              <w:bottom w:w="80" w:type="dxa"/>
              <w:right w:w="100" w:type="dxa"/>
            </w:tcMar>
            <w:vAlign w:val="center"/>
          </w:tcPr>
          <w:p w14:paraId="7D659AE0">
            <w:pPr>
              <w:spacing w:line="276" w:lineRule="auto"/>
              <w:jc w:val="center"/>
            </w:pPr>
          </w:p>
        </w:tc>
        <w:tc>
          <w:tcPr>
            <w:tcW w:w="1827" w:type="dxa"/>
            <w:tcMar>
              <w:top w:w="80" w:type="dxa"/>
              <w:left w:w="100" w:type="dxa"/>
              <w:bottom w:w="80" w:type="dxa"/>
              <w:right w:w="100" w:type="dxa"/>
            </w:tcMar>
            <w:vAlign w:val="center"/>
          </w:tcPr>
          <w:p w14:paraId="3DF391E4">
            <w:pPr>
              <w:spacing w:line="276" w:lineRule="auto"/>
            </w:pPr>
            <w:r>
              <w:rPr>
                <w:rFonts w:ascii="宋体" w:hAnsi="宋体" w:eastAsia="宋体"/>
                <w:sz w:val="17"/>
              </w:rPr>
              <w:t>身份证读卡器-阅读距离</w:t>
            </w:r>
          </w:p>
        </w:tc>
        <w:tc>
          <w:tcPr>
            <w:tcW w:w="6857" w:type="dxa"/>
            <w:tcMar>
              <w:top w:w="80" w:type="dxa"/>
              <w:left w:w="100" w:type="dxa"/>
              <w:bottom w:w="80" w:type="dxa"/>
              <w:right w:w="100" w:type="dxa"/>
            </w:tcMar>
            <w:vAlign w:val="center"/>
          </w:tcPr>
          <w:p w14:paraId="44309DE3">
            <w:pPr>
              <w:spacing w:line="276" w:lineRule="auto"/>
            </w:pPr>
            <w:r>
              <w:rPr>
                <w:rFonts w:ascii="宋体" w:hAnsi="宋体" w:eastAsia="宋体"/>
                <w:sz w:val="17"/>
              </w:rPr>
              <w:t>阅读距离为0-3cm。</w:t>
            </w:r>
          </w:p>
        </w:tc>
      </w:tr>
      <w:tr w14:paraId="3974F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1096" w:type="dxa"/>
            <w:vMerge w:val="continue"/>
            <w:tcMar>
              <w:top w:w="80" w:type="dxa"/>
              <w:left w:w="100" w:type="dxa"/>
              <w:bottom w:w="80" w:type="dxa"/>
              <w:right w:w="100" w:type="dxa"/>
            </w:tcMar>
            <w:vAlign w:val="center"/>
          </w:tcPr>
          <w:p w14:paraId="20930EE4">
            <w:pPr>
              <w:spacing w:line="276" w:lineRule="auto"/>
              <w:jc w:val="center"/>
            </w:pPr>
          </w:p>
        </w:tc>
        <w:tc>
          <w:tcPr>
            <w:tcW w:w="1827" w:type="dxa"/>
            <w:tcMar>
              <w:top w:w="80" w:type="dxa"/>
              <w:left w:w="100" w:type="dxa"/>
              <w:bottom w:w="80" w:type="dxa"/>
              <w:right w:w="100" w:type="dxa"/>
            </w:tcMar>
            <w:vAlign w:val="center"/>
          </w:tcPr>
          <w:p w14:paraId="44AF1366">
            <w:pPr>
              <w:spacing w:line="276" w:lineRule="auto"/>
            </w:pPr>
            <w:r>
              <w:rPr>
                <w:rFonts w:ascii="宋体" w:hAnsi="宋体" w:eastAsia="宋体"/>
                <w:sz w:val="17"/>
              </w:rPr>
              <w:t>身份证读卡器-阅读时间</w:t>
            </w:r>
          </w:p>
        </w:tc>
        <w:tc>
          <w:tcPr>
            <w:tcW w:w="6857" w:type="dxa"/>
            <w:tcMar>
              <w:top w:w="80" w:type="dxa"/>
              <w:left w:w="100" w:type="dxa"/>
              <w:bottom w:w="80" w:type="dxa"/>
              <w:right w:w="100" w:type="dxa"/>
            </w:tcMar>
            <w:vAlign w:val="center"/>
          </w:tcPr>
          <w:p w14:paraId="0B881057">
            <w:pPr>
              <w:spacing w:line="276" w:lineRule="auto"/>
            </w:pPr>
            <w:r>
              <w:rPr>
                <w:rFonts w:ascii="宋体" w:hAnsi="宋体" w:eastAsia="宋体"/>
                <w:sz w:val="17"/>
              </w:rPr>
              <w:t>阅读时间小于1s。</w:t>
            </w:r>
          </w:p>
        </w:tc>
      </w:tr>
      <w:tr w14:paraId="1A2AA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096" w:type="dxa"/>
            <w:vMerge w:val="continue"/>
            <w:tcMar>
              <w:top w:w="80" w:type="dxa"/>
              <w:left w:w="100" w:type="dxa"/>
              <w:bottom w:w="80" w:type="dxa"/>
              <w:right w:w="100" w:type="dxa"/>
            </w:tcMar>
            <w:vAlign w:val="center"/>
          </w:tcPr>
          <w:p w14:paraId="278ABF43">
            <w:pPr>
              <w:spacing w:line="276" w:lineRule="auto"/>
              <w:jc w:val="center"/>
            </w:pPr>
          </w:p>
        </w:tc>
        <w:tc>
          <w:tcPr>
            <w:tcW w:w="1827" w:type="dxa"/>
            <w:tcMar>
              <w:top w:w="80" w:type="dxa"/>
              <w:left w:w="100" w:type="dxa"/>
              <w:bottom w:w="80" w:type="dxa"/>
              <w:right w:w="100" w:type="dxa"/>
            </w:tcMar>
            <w:vAlign w:val="center"/>
          </w:tcPr>
          <w:p w14:paraId="10D82DDB">
            <w:pPr>
              <w:spacing w:line="276" w:lineRule="auto"/>
            </w:pPr>
            <w:r>
              <w:rPr>
                <w:rFonts w:ascii="宋体" w:hAnsi="宋体" w:eastAsia="宋体"/>
                <w:sz w:val="17"/>
              </w:rPr>
              <w:t>身份证读卡器-安装方式</w:t>
            </w:r>
          </w:p>
        </w:tc>
        <w:tc>
          <w:tcPr>
            <w:tcW w:w="6857" w:type="dxa"/>
            <w:tcMar>
              <w:top w:w="80" w:type="dxa"/>
              <w:left w:w="100" w:type="dxa"/>
              <w:bottom w:w="80" w:type="dxa"/>
              <w:right w:w="100" w:type="dxa"/>
            </w:tcMar>
            <w:vAlign w:val="center"/>
          </w:tcPr>
          <w:p w14:paraId="5063ED18">
            <w:pPr>
              <w:spacing w:line="276" w:lineRule="auto"/>
            </w:pPr>
            <w:r>
              <w:rPr>
                <w:rFonts w:ascii="宋体" w:hAnsi="宋体" w:eastAsia="宋体"/>
                <w:sz w:val="17"/>
              </w:rPr>
              <w:t>采用内置隐藏式设计。</w:t>
            </w:r>
          </w:p>
        </w:tc>
      </w:tr>
      <w:tr w14:paraId="29426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096" w:type="dxa"/>
            <w:vMerge w:val="continue"/>
            <w:tcMar>
              <w:top w:w="80" w:type="dxa"/>
              <w:left w:w="100" w:type="dxa"/>
              <w:bottom w:w="80" w:type="dxa"/>
              <w:right w:w="100" w:type="dxa"/>
            </w:tcMar>
            <w:vAlign w:val="center"/>
          </w:tcPr>
          <w:p w14:paraId="421B4C37">
            <w:pPr>
              <w:spacing w:line="276" w:lineRule="auto"/>
              <w:jc w:val="center"/>
            </w:pPr>
          </w:p>
        </w:tc>
        <w:tc>
          <w:tcPr>
            <w:tcW w:w="1827" w:type="dxa"/>
            <w:tcMar>
              <w:top w:w="80" w:type="dxa"/>
              <w:left w:w="100" w:type="dxa"/>
              <w:bottom w:w="80" w:type="dxa"/>
              <w:right w:w="100" w:type="dxa"/>
            </w:tcMar>
            <w:vAlign w:val="center"/>
          </w:tcPr>
          <w:p w14:paraId="2C47A788">
            <w:pPr>
              <w:spacing w:line="276" w:lineRule="auto"/>
            </w:pPr>
            <w:r>
              <w:rPr>
                <w:rFonts w:ascii="宋体" w:hAnsi="宋体" w:eastAsia="宋体"/>
                <w:sz w:val="17"/>
              </w:rPr>
              <w:t>身份证读卡器-离线使用</w:t>
            </w:r>
          </w:p>
        </w:tc>
        <w:tc>
          <w:tcPr>
            <w:tcW w:w="6857" w:type="dxa"/>
            <w:tcMar>
              <w:top w:w="80" w:type="dxa"/>
              <w:left w:w="100" w:type="dxa"/>
              <w:bottom w:w="80" w:type="dxa"/>
              <w:right w:w="100" w:type="dxa"/>
            </w:tcMar>
            <w:vAlign w:val="center"/>
          </w:tcPr>
          <w:p w14:paraId="53F2E62B">
            <w:pPr>
              <w:spacing w:line="276" w:lineRule="auto"/>
            </w:pPr>
            <w:r>
              <w:rPr>
                <w:rFonts w:ascii="宋体" w:hAnsi="宋体" w:eastAsia="宋体"/>
                <w:sz w:val="17"/>
              </w:rPr>
              <w:t>支持离线版身份证刷卡，无需联网即可使用。</w:t>
            </w:r>
          </w:p>
        </w:tc>
      </w:tr>
      <w:tr w14:paraId="47357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1096" w:type="dxa"/>
            <w:vMerge w:val="continue"/>
            <w:tcMar>
              <w:top w:w="80" w:type="dxa"/>
              <w:left w:w="100" w:type="dxa"/>
              <w:bottom w:w="80" w:type="dxa"/>
              <w:right w:w="100" w:type="dxa"/>
            </w:tcMar>
            <w:vAlign w:val="center"/>
          </w:tcPr>
          <w:p w14:paraId="2D04C9C4">
            <w:pPr>
              <w:spacing w:line="276" w:lineRule="auto"/>
              <w:jc w:val="center"/>
            </w:pPr>
          </w:p>
        </w:tc>
        <w:tc>
          <w:tcPr>
            <w:tcW w:w="1827" w:type="dxa"/>
            <w:tcMar>
              <w:top w:w="80" w:type="dxa"/>
              <w:left w:w="100" w:type="dxa"/>
              <w:bottom w:w="80" w:type="dxa"/>
              <w:right w:w="100" w:type="dxa"/>
            </w:tcMar>
            <w:vAlign w:val="center"/>
          </w:tcPr>
          <w:p w14:paraId="2BBD1E93">
            <w:pPr>
              <w:spacing w:line="276" w:lineRule="auto"/>
            </w:pPr>
            <w:r>
              <w:rPr>
                <w:rFonts w:ascii="宋体" w:hAnsi="宋体" w:eastAsia="宋体"/>
                <w:sz w:val="17"/>
              </w:rPr>
              <w:t>身份证读卡器-认证证书</w:t>
            </w:r>
          </w:p>
        </w:tc>
        <w:tc>
          <w:tcPr>
            <w:tcW w:w="6857" w:type="dxa"/>
            <w:tcMar>
              <w:top w:w="80" w:type="dxa"/>
              <w:left w:w="100" w:type="dxa"/>
              <w:bottom w:w="80" w:type="dxa"/>
              <w:right w:w="100" w:type="dxa"/>
            </w:tcMar>
            <w:vAlign w:val="center"/>
          </w:tcPr>
          <w:p w14:paraId="114AB3FD">
            <w:pPr>
              <w:spacing w:line="276" w:lineRule="auto"/>
            </w:pPr>
            <w:r>
              <w:rPr>
                <w:rFonts w:hint="eastAsia" w:ascii="微软雅黑" w:hAnsi="微软雅黑" w:eastAsia="微软雅黑" w:cs="微软雅黑"/>
              </w:rPr>
              <w:t>▲</w:t>
            </w:r>
            <w:r>
              <w:rPr>
                <w:rFonts w:ascii="宋体" w:hAnsi="宋体" w:eastAsia="宋体"/>
                <w:sz w:val="17"/>
              </w:rPr>
              <w:t>器具具备中国公共安全产品认证证书。</w:t>
            </w:r>
          </w:p>
        </w:tc>
      </w:tr>
      <w:tr w14:paraId="3779B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1096" w:type="dxa"/>
            <w:vMerge w:val="continue"/>
            <w:tcMar>
              <w:top w:w="80" w:type="dxa"/>
              <w:left w:w="100" w:type="dxa"/>
              <w:bottom w:w="80" w:type="dxa"/>
              <w:right w:w="100" w:type="dxa"/>
            </w:tcMar>
            <w:vAlign w:val="center"/>
          </w:tcPr>
          <w:p w14:paraId="03D2B47D">
            <w:pPr>
              <w:spacing w:line="276" w:lineRule="auto"/>
              <w:jc w:val="center"/>
            </w:pPr>
          </w:p>
        </w:tc>
        <w:tc>
          <w:tcPr>
            <w:tcW w:w="1827" w:type="dxa"/>
            <w:tcMar>
              <w:top w:w="80" w:type="dxa"/>
              <w:left w:w="100" w:type="dxa"/>
              <w:bottom w:w="80" w:type="dxa"/>
              <w:right w:w="100" w:type="dxa"/>
            </w:tcMar>
            <w:vAlign w:val="center"/>
          </w:tcPr>
          <w:p w14:paraId="4562C673">
            <w:pPr>
              <w:spacing w:line="276" w:lineRule="auto"/>
            </w:pPr>
            <w:r>
              <w:rPr>
                <w:rFonts w:ascii="宋体" w:hAnsi="宋体" w:eastAsia="宋体"/>
                <w:sz w:val="17"/>
              </w:rPr>
              <w:t>工作站主体设计-一体式设计</w:t>
            </w:r>
          </w:p>
        </w:tc>
        <w:tc>
          <w:tcPr>
            <w:tcW w:w="6857" w:type="dxa"/>
            <w:tcMar>
              <w:top w:w="80" w:type="dxa"/>
              <w:left w:w="100" w:type="dxa"/>
              <w:bottom w:w="80" w:type="dxa"/>
              <w:right w:w="100" w:type="dxa"/>
            </w:tcMar>
            <w:vAlign w:val="center"/>
          </w:tcPr>
          <w:p w14:paraId="7963F59A">
            <w:pPr>
              <w:spacing w:line="276" w:lineRule="auto"/>
            </w:pPr>
            <w:r>
              <w:rPr>
                <w:rFonts w:ascii="宋体" w:hAnsi="宋体" w:eastAsia="宋体"/>
                <w:sz w:val="17"/>
              </w:rPr>
              <w:t>采用一体式设计，刷卡模块、摄像头、触摸屏等全部为嵌入式设计。</w:t>
            </w:r>
          </w:p>
        </w:tc>
      </w:tr>
      <w:tr w14:paraId="3C253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1096" w:type="dxa"/>
            <w:vMerge w:val="continue"/>
            <w:tcMar>
              <w:top w:w="80" w:type="dxa"/>
              <w:left w:w="100" w:type="dxa"/>
              <w:bottom w:w="80" w:type="dxa"/>
              <w:right w:w="100" w:type="dxa"/>
            </w:tcMar>
            <w:vAlign w:val="center"/>
          </w:tcPr>
          <w:p w14:paraId="21F8EC95">
            <w:pPr>
              <w:spacing w:line="276" w:lineRule="auto"/>
              <w:jc w:val="center"/>
            </w:pPr>
          </w:p>
        </w:tc>
        <w:tc>
          <w:tcPr>
            <w:tcW w:w="1827" w:type="dxa"/>
            <w:tcMar>
              <w:top w:w="80" w:type="dxa"/>
              <w:left w:w="100" w:type="dxa"/>
              <w:bottom w:w="80" w:type="dxa"/>
              <w:right w:w="100" w:type="dxa"/>
            </w:tcMar>
            <w:vAlign w:val="center"/>
          </w:tcPr>
          <w:p w14:paraId="6598C6F9">
            <w:pPr>
              <w:spacing w:line="276" w:lineRule="auto"/>
            </w:pPr>
            <w:r>
              <w:rPr>
                <w:rFonts w:ascii="宋体" w:hAnsi="宋体" w:eastAsia="宋体"/>
                <w:sz w:val="17"/>
              </w:rPr>
              <w:t>工作站主体设计-移动能力</w:t>
            </w:r>
          </w:p>
        </w:tc>
        <w:tc>
          <w:tcPr>
            <w:tcW w:w="6857" w:type="dxa"/>
            <w:tcMar>
              <w:top w:w="80" w:type="dxa"/>
              <w:left w:w="100" w:type="dxa"/>
              <w:bottom w:w="80" w:type="dxa"/>
              <w:right w:w="100" w:type="dxa"/>
            </w:tcMar>
            <w:vAlign w:val="center"/>
          </w:tcPr>
          <w:p w14:paraId="31163D29">
            <w:pPr>
              <w:spacing w:line="276" w:lineRule="auto"/>
            </w:pPr>
            <w:r>
              <w:rPr>
                <w:rFonts w:ascii="宋体" w:hAnsi="宋体" w:eastAsia="宋体"/>
                <w:sz w:val="17"/>
              </w:rPr>
              <w:t>安装移动轮，可方便移动。</w:t>
            </w:r>
          </w:p>
        </w:tc>
      </w:tr>
      <w:tr w14:paraId="6DB7E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096" w:type="dxa"/>
            <w:vMerge w:val="continue"/>
            <w:tcMar>
              <w:top w:w="80" w:type="dxa"/>
              <w:left w:w="100" w:type="dxa"/>
              <w:bottom w:w="80" w:type="dxa"/>
              <w:right w:w="100" w:type="dxa"/>
            </w:tcMar>
            <w:vAlign w:val="center"/>
          </w:tcPr>
          <w:p w14:paraId="23C2A24B">
            <w:pPr>
              <w:spacing w:line="276" w:lineRule="auto"/>
              <w:jc w:val="center"/>
            </w:pPr>
          </w:p>
        </w:tc>
        <w:tc>
          <w:tcPr>
            <w:tcW w:w="1827" w:type="dxa"/>
            <w:tcMar>
              <w:top w:w="80" w:type="dxa"/>
              <w:left w:w="100" w:type="dxa"/>
              <w:bottom w:w="80" w:type="dxa"/>
              <w:right w:w="100" w:type="dxa"/>
            </w:tcMar>
            <w:vAlign w:val="center"/>
          </w:tcPr>
          <w:p w14:paraId="7CD8D968">
            <w:pPr>
              <w:spacing w:line="276" w:lineRule="auto"/>
            </w:pPr>
            <w:r>
              <w:rPr>
                <w:rFonts w:ascii="宋体" w:hAnsi="宋体" w:eastAsia="宋体"/>
                <w:sz w:val="17"/>
              </w:rPr>
              <w:t>工作站主体设计-现场使用</w:t>
            </w:r>
          </w:p>
        </w:tc>
        <w:tc>
          <w:tcPr>
            <w:tcW w:w="6857" w:type="dxa"/>
            <w:tcMar>
              <w:top w:w="80" w:type="dxa"/>
              <w:left w:w="100" w:type="dxa"/>
              <w:bottom w:w="80" w:type="dxa"/>
              <w:right w:w="100" w:type="dxa"/>
            </w:tcMar>
            <w:vAlign w:val="center"/>
          </w:tcPr>
          <w:p w14:paraId="26195388">
            <w:pPr>
              <w:spacing w:line="276" w:lineRule="auto"/>
            </w:pPr>
            <w:r>
              <w:rPr>
                <w:rFonts w:ascii="宋体" w:hAnsi="宋体" w:eastAsia="宋体"/>
                <w:sz w:val="17"/>
              </w:rPr>
              <w:t>设备到达现场后只需接入电源和网络即可检测使用。</w:t>
            </w:r>
          </w:p>
        </w:tc>
      </w:tr>
      <w:tr w14:paraId="5F12E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1096" w:type="dxa"/>
            <w:vMerge w:val="continue"/>
            <w:tcMar>
              <w:top w:w="80" w:type="dxa"/>
              <w:left w:w="100" w:type="dxa"/>
              <w:bottom w:w="80" w:type="dxa"/>
              <w:right w:w="100" w:type="dxa"/>
            </w:tcMar>
            <w:vAlign w:val="center"/>
          </w:tcPr>
          <w:p w14:paraId="5E91586A">
            <w:pPr>
              <w:spacing w:line="276" w:lineRule="auto"/>
              <w:jc w:val="center"/>
            </w:pPr>
          </w:p>
        </w:tc>
        <w:tc>
          <w:tcPr>
            <w:tcW w:w="1827" w:type="dxa"/>
            <w:tcMar>
              <w:top w:w="80" w:type="dxa"/>
              <w:left w:w="100" w:type="dxa"/>
              <w:bottom w:w="80" w:type="dxa"/>
              <w:right w:w="100" w:type="dxa"/>
            </w:tcMar>
            <w:vAlign w:val="center"/>
          </w:tcPr>
          <w:p w14:paraId="08F9D133">
            <w:pPr>
              <w:spacing w:line="276" w:lineRule="auto"/>
            </w:pPr>
            <w:r>
              <w:rPr>
                <w:rFonts w:ascii="宋体" w:hAnsi="宋体" w:eastAsia="宋体"/>
                <w:sz w:val="17"/>
              </w:rPr>
              <w:t>打印机-连接方式</w:t>
            </w:r>
          </w:p>
        </w:tc>
        <w:tc>
          <w:tcPr>
            <w:tcW w:w="6857" w:type="dxa"/>
            <w:tcMar>
              <w:top w:w="80" w:type="dxa"/>
              <w:left w:w="100" w:type="dxa"/>
              <w:bottom w:w="80" w:type="dxa"/>
              <w:right w:w="100" w:type="dxa"/>
            </w:tcMar>
            <w:vAlign w:val="center"/>
          </w:tcPr>
          <w:p w14:paraId="72DB3A36">
            <w:pPr>
              <w:spacing w:line="276" w:lineRule="auto"/>
            </w:pPr>
            <w:r>
              <w:rPr>
                <w:rFonts w:ascii="宋体" w:hAnsi="宋体" w:eastAsia="宋体"/>
                <w:sz w:val="17"/>
              </w:rPr>
              <w:t>连接方式为USB。</w:t>
            </w:r>
          </w:p>
        </w:tc>
      </w:tr>
      <w:tr w14:paraId="7BFDF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096" w:type="dxa"/>
            <w:vMerge w:val="continue"/>
            <w:tcMar>
              <w:top w:w="80" w:type="dxa"/>
              <w:left w:w="100" w:type="dxa"/>
              <w:bottom w:w="80" w:type="dxa"/>
              <w:right w:w="100" w:type="dxa"/>
            </w:tcMar>
            <w:vAlign w:val="center"/>
          </w:tcPr>
          <w:p w14:paraId="78CEBA28">
            <w:pPr>
              <w:spacing w:line="276" w:lineRule="auto"/>
              <w:jc w:val="center"/>
            </w:pPr>
          </w:p>
        </w:tc>
        <w:tc>
          <w:tcPr>
            <w:tcW w:w="1827" w:type="dxa"/>
            <w:tcMar>
              <w:top w:w="80" w:type="dxa"/>
              <w:left w:w="100" w:type="dxa"/>
              <w:bottom w:w="80" w:type="dxa"/>
              <w:right w:w="100" w:type="dxa"/>
            </w:tcMar>
            <w:vAlign w:val="center"/>
          </w:tcPr>
          <w:p w14:paraId="2DC890E3">
            <w:pPr>
              <w:spacing w:line="276" w:lineRule="auto"/>
            </w:pPr>
            <w:r>
              <w:rPr>
                <w:rFonts w:ascii="宋体" w:hAnsi="宋体" w:eastAsia="宋体"/>
                <w:sz w:val="17"/>
              </w:rPr>
              <w:t>打印机-耗材类型</w:t>
            </w:r>
          </w:p>
        </w:tc>
        <w:tc>
          <w:tcPr>
            <w:tcW w:w="6857" w:type="dxa"/>
            <w:tcMar>
              <w:top w:w="80" w:type="dxa"/>
              <w:left w:w="100" w:type="dxa"/>
              <w:bottom w:w="80" w:type="dxa"/>
              <w:right w:w="100" w:type="dxa"/>
            </w:tcMar>
            <w:vAlign w:val="center"/>
          </w:tcPr>
          <w:p w14:paraId="026B0DCA">
            <w:pPr>
              <w:spacing w:line="276" w:lineRule="auto"/>
            </w:pPr>
            <w:r>
              <w:rPr>
                <w:rFonts w:ascii="宋体" w:hAnsi="宋体" w:eastAsia="宋体"/>
                <w:sz w:val="17"/>
              </w:rPr>
              <w:t>耗材类型为一体式硒鼓。</w:t>
            </w:r>
          </w:p>
        </w:tc>
      </w:tr>
      <w:tr w14:paraId="79683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1096" w:type="dxa"/>
            <w:vMerge w:val="continue"/>
            <w:tcMar>
              <w:top w:w="80" w:type="dxa"/>
              <w:left w:w="100" w:type="dxa"/>
              <w:bottom w:w="80" w:type="dxa"/>
              <w:right w:w="100" w:type="dxa"/>
            </w:tcMar>
            <w:vAlign w:val="center"/>
          </w:tcPr>
          <w:p w14:paraId="40FBD89B">
            <w:pPr>
              <w:spacing w:line="276" w:lineRule="auto"/>
              <w:jc w:val="center"/>
            </w:pPr>
          </w:p>
        </w:tc>
        <w:tc>
          <w:tcPr>
            <w:tcW w:w="1827" w:type="dxa"/>
            <w:tcMar>
              <w:top w:w="80" w:type="dxa"/>
              <w:left w:w="100" w:type="dxa"/>
              <w:bottom w:w="80" w:type="dxa"/>
              <w:right w:w="100" w:type="dxa"/>
            </w:tcMar>
            <w:vAlign w:val="center"/>
          </w:tcPr>
          <w:p w14:paraId="18B18A21">
            <w:pPr>
              <w:spacing w:line="276" w:lineRule="auto"/>
            </w:pPr>
            <w:r>
              <w:rPr>
                <w:rFonts w:ascii="宋体" w:hAnsi="宋体" w:eastAsia="宋体"/>
                <w:sz w:val="17"/>
              </w:rPr>
              <w:t>打印机-幅面</w:t>
            </w:r>
          </w:p>
        </w:tc>
        <w:tc>
          <w:tcPr>
            <w:tcW w:w="6857" w:type="dxa"/>
            <w:tcMar>
              <w:top w:w="80" w:type="dxa"/>
              <w:left w:w="100" w:type="dxa"/>
              <w:bottom w:w="80" w:type="dxa"/>
              <w:right w:w="100" w:type="dxa"/>
            </w:tcMar>
            <w:vAlign w:val="center"/>
          </w:tcPr>
          <w:p w14:paraId="6E0CC2F7">
            <w:pPr>
              <w:spacing w:line="276" w:lineRule="auto"/>
            </w:pPr>
            <w:r>
              <w:rPr>
                <w:rFonts w:ascii="宋体" w:hAnsi="宋体" w:eastAsia="宋体"/>
                <w:sz w:val="17"/>
              </w:rPr>
              <w:t>打印幅面为A4。</w:t>
            </w:r>
          </w:p>
        </w:tc>
      </w:tr>
      <w:tr w14:paraId="3D2A5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1096" w:type="dxa"/>
            <w:vMerge w:val="restart"/>
            <w:tcMar>
              <w:top w:w="80" w:type="dxa"/>
              <w:left w:w="100" w:type="dxa"/>
              <w:bottom w:w="80" w:type="dxa"/>
              <w:right w:w="100" w:type="dxa"/>
            </w:tcMar>
            <w:vAlign w:val="center"/>
          </w:tcPr>
          <w:p w14:paraId="516BCB1D">
            <w:pPr>
              <w:spacing w:line="276" w:lineRule="auto"/>
              <w:jc w:val="center"/>
            </w:pPr>
            <w:r>
              <w:rPr>
                <w:rFonts w:ascii="宋体" w:hAnsi="宋体" w:eastAsia="宋体"/>
                <w:sz w:val="17"/>
              </w:rPr>
              <w:t>资质要求</w:t>
            </w:r>
          </w:p>
          <w:p w14:paraId="3E414170">
            <w:pPr>
              <w:spacing w:line="276" w:lineRule="auto"/>
              <w:jc w:val="center"/>
            </w:pPr>
          </w:p>
        </w:tc>
        <w:tc>
          <w:tcPr>
            <w:tcW w:w="1827" w:type="dxa"/>
            <w:tcMar>
              <w:top w:w="80" w:type="dxa"/>
              <w:left w:w="100" w:type="dxa"/>
              <w:bottom w:w="80" w:type="dxa"/>
              <w:right w:w="100" w:type="dxa"/>
            </w:tcMar>
            <w:vAlign w:val="center"/>
          </w:tcPr>
          <w:p w14:paraId="68783DF3">
            <w:pPr>
              <w:spacing w:line="276" w:lineRule="auto"/>
            </w:pPr>
            <w:r>
              <w:rPr>
                <w:rFonts w:ascii="宋体" w:hAnsi="宋体" w:eastAsia="宋体"/>
                <w:sz w:val="17"/>
              </w:rPr>
              <w:t>医疗器械质量管理体系</w:t>
            </w:r>
          </w:p>
        </w:tc>
        <w:tc>
          <w:tcPr>
            <w:tcW w:w="6857" w:type="dxa"/>
            <w:tcMar>
              <w:top w:w="80" w:type="dxa"/>
              <w:left w:w="100" w:type="dxa"/>
              <w:bottom w:w="80" w:type="dxa"/>
              <w:right w:w="100" w:type="dxa"/>
            </w:tcMar>
            <w:vAlign w:val="center"/>
          </w:tcPr>
          <w:p w14:paraId="67ED926E">
            <w:pPr>
              <w:spacing w:line="276" w:lineRule="auto"/>
            </w:pPr>
            <w:r>
              <w:rPr>
                <w:rFonts w:hint="eastAsia" w:ascii="微软雅黑" w:hAnsi="微软雅黑" w:eastAsia="微软雅黑" w:cs="微软雅黑"/>
              </w:rPr>
              <w:t>▲</w:t>
            </w:r>
            <w:r>
              <w:rPr>
                <w:rFonts w:ascii="宋体" w:hAnsi="宋体" w:eastAsia="宋体"/>
                <w:sz w:val="17"/>
              </w:rPr>
              <w:t>所投产品及所投产品制造商应具有医疗器械质量管理体系认证证书。</w:t>
            </w:r>
          </w:p>
        </w:tc>
      </w:tr>
      <w:tr w14:paraId="1492B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1096" w:type="dxa"/>
            <w:vMerge w:val="continue"/>
            <w:tcMar>
              <w:top w:w="80" w:type="dxa"/>
              <w:left w:w="100" w:type="dxa"/>
              <w:bottom w:w="80" w:type="dxa"/>
              <w:right w:w="100" w:type="dxa"/>
            </w:tcMar>
            <w:vAlign w:val="center"/>
          </w:tcPr>
          <w:p w14:paraId="67B46BF3">
            <w:pPr>
              <w:spacing w:line="276" w:lineRule="auto"/>
              <w:jc w:val="center"/>
            </w:pPr>
          </w:p>
        </w:tc>
        <w:tc>
          <w:tcPr>
            <w:tcW w:w="1827" w:type="dxa"/>
            <w:tcMar>
              <w:top w:w="80" w:type="dxa"/>
              <w:left w:w="100" w:type="dxa"/>
              <w:bottom w:w="80" w:type="dxa"/>
              <w:right w:w="100" w:type="dxa"/>
            </w:tcMar>
            <w:vAlign w:val="center"/>
          </w:tcPr>
          <w:p w14:paraId="0F9E2930">
            <w:pPr>
              <w:spacing w:line="276" w:lineRule="auto"/>
            </w:pPr>
            <w:r>
              <w:rPr>
                <w:rFonts w:ascii="宋体" w:hAnsi="宋体" w:eastAsia="宋体"/>
                <w:sz w:val="17"/>
              </w:rPr>
              <w:t>ISO9001质量管理体系</w:t>
            </w:r>
          </w:p>
        </w:tc>
        <w:tc>
          <w:tcPr>
            <w:tcW w:w="6857" w:type="dxa"/>
            <w:tcMar>
              <w:top w:w="80" w:type="dxa"/>
              <w:left w:w="100" w:type="dxa"/>
              <w:bottom w:w="80" w:type="dxa"/>
              <w:right w:w="100" w:type="dxa"/>
            </w:tcMar>
            <w:vAlign w:val="center"/>
          </w:tcPr>
          <w:p w14:paraId="419EDD18">
            <w:pPr>
              <w:spacing w:line="276" w:lineRule="auto"/>
            </w:pPr>
            <w:r>
              <w:rPr>
                <w:rFonts w:hint="eastAsia" w:ascii="微软雅黑" w:hAnsi="微软雅黑" w:eastAsia="微软雅黑" w:cs="微软雅黑"/>
              </w:rPr>
              <w:t>▲</w:t>
            </w:r>
            <w:r>
              <w:rPr>
                <w:rFonts w:ascii="宋体" w:hAnsi="宋体" w:eastAsia="宋体"/>
                <w:sz w:val="17"/>
              </w:rPr>
              <w:t>所投产品及所投产品制造商应通过ISO9001质量管理体系认证。</w:t>
            </w:r>
          </w:p>
        </w:tc>
      </w:tr>
      <w:tr w14:paraId="1284F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1096" w:type="dxa"/>
            <w:vMerge w:val="continue"/>
            <w:tcMar>
              <w:top w:w="80" w:type="dxa"/>
              <w:left w:w="100" w:type="dxa"/>
              <w:bottom w:w="80" w:type="dxa"/>
              <w:right w:w="100" w:type="dxa"/>
            </w:tcMar>
            <w:vAlign w:val="center"/>
          </w:tcPr>
          <w:p w14:paraId="594BAB33">
            <w:pPr>
              <w:spacing w:line="276" w:lineRule="auto"/>
              <w:jc w:val="center"/>
            </w:pPr>
          </w:p>
        </w:tc>
        <w:tc>
          <w:tcPr>
            <w:tcW w:w="1827" w:type="dxa"/>
            <w:tcMar>
              <w:top w:w="80" w:type="dxa"/>
              <w:left w:w="100" w:type="dxa"/>
              <w:bottom w:w="80" w:type="dxa"/>
              <w:right w:w="100" w:type="dxa"/>
            </w:tcMar>
            <w:vAlign w:val="center"/>
          </w:tcPr>
          <w:p w14:paraId="46F3A2B0">
            <w:pPr>
              <w:spacing w:line="276" w:lineRule="auto"/>
            </w:pPr>
            <w:r>
              <w:rPr>
                <w:rFonts w:ascii="宋体" w:hAnsi="宋体" w:eastAsia="宋体"/>
                <w:sz w:val="17"/>
              </w:rPr>
              <w:t>信息安全管理体系</w:t>
            </w:r>
          </w:p>
        </w:tc>
        <w:tc>
          <w:tcPr>
            <w:tcW w:w="6857" w:type="dxa"/>
            <w:tcMar>
              <w:top w:w="80" w:type="dxa"/>
              <w:left w:w="100" w:type="dxa"/>
              <w:bottom w:w="80" w:type="dxa"/>
              <w:right w:w="100" w:type="dxa"/>
            </w:tcMar>
            <w:vAlign w:val="center"/>
          </w:tcPr>
          <w:p w14:paraId="0BB507A4">
            <w:pPr>
              <w:spacing w:line="276" w:lineRule="auto"/>
            </w:pPr>
            <w:r>
              <w:rPr>
                <w:rFonts w:hint="eastAsia" w:ascii="微软雅黑" w:hAnsi="微软雅黑" w:eastAsia="微软雅黑" w:cs="微软雅黑"/>
              </w:rPr>
              <w:t>▲</w:t>
            </w:r>
            <w:r>
              <w:rPr>
                <w:rFonts w:ascii="宋体" w:hAnsi="宋体" w:eastAsia="宋体"/>
                <w:sz w:val="17"/>
              </w:rPr>
              <w:t>为保证数据安全性，所投产品及所投产品制造商应通过信息安全管理体系认证。</w:t>
            </w:r>
          </w:p>
        </w:tc>
      </w:tr>
    </w:tbl>
    <w:p w14:paraId="275E20BF">
      <w:pPr>
        <w:rPr>
          <w:rFonts w:ascii="微软雅黑" w:hAnsi="微软雅黑" w:eastAsia="微软雅黑" w:cs="微软雅黑"/>
        </w:rPr>
      </w:pPr>
    </w:p>
    <w:sectPr>
      <w:pgSz w:w="11906" w:h="16838"/>
      <w:pgMar w:top="1440" w:right="1286"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FangSong_GB2312">
    <w:altName w:val="仿宋_GB2312"/>
    <w:panose1 w:val="02010609060101010101"/>
    <w:charset w:val="86"/>
    <w:family w:val="modern"/>
    <w:pitch w:val="default"/>
    <w:sig w:usb0="00000000" w:usb1="00000000"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D6A1C2"/>
    <w:multiLevelType w:val="singleLevel"/>
    <w:tmpl w:val="5AD6A1C2"/>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doNotDisplayPageBoundaries w:val="1"/>
  <w:embedSystemFonts/>
  <w:documentProtection w:enforcement="0"/>
  <w:defaultTabStop w:val="24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NiMmJjMGUyMDNhMGI0MjllZTc4OTE3ODRjOTBjMWQifQ=="/>
  </w:docVars>
  <w:rsids>
    <w:rsidRoot w:val="549D400B"/>
    <w:rsid w:val="00071A62"/>
    <w:rsid w:val="00075761"/>
    <w:rsid w:val="001D632E"/>
    <w:rsid w:val="002A2DD3"/>
    <w:rsid w:val="00373C17"/>
    <w:rsid w:val="003865C9"/>
    <w:rsid w:val="0049382D"/>
    <w:rsid w:val="00532D6C"/>
    <w:rsid w:val="006A2A21"/>
    <w:rsid w:val="00721FE4"/>
    <w:rsid w:val="0072766F"/>
    <w:rsid w:val="00743B4B"/>
    <w:rsid w:val="008E1712"/>
    <w:rsid w:val="00945DD0"/>
    <w:rsid w:val="009D73C9"/>
    <w:rsid w:val="00A54730"/>
    <w:rsid w:val="00AC1BEB"/>
    <w:rsid w:val="00C34814"/>
    <w:rsid w:val="00CF7DEA"/>
    <w:rsid w:val="00D8083A"/>
    <w:rsid w:val="00EB17C0"/>
    <w:rsid w:val="00F6563F"/>
    <w:rsid w:val="01B36BD0"/>
    <w:rsid w:val="01F13AD2"/>
    <w:rsid w:val="03836B2B"/>
    <w:rsid w:val="03B67DDE"/>
    <w:rsid w:val="044B59B7"/>
    <w:rsid w:val="045B576B"/>
    <w:rsid w:val="046F4A22"/>
    <w:rsid w:val="04F512AE"/>
    <w:rsid w:val="053E080A"/>
    <w:rsid w:val="07151A8C"/>
    <w:rsid w:val="080C703A"/>
    <w:rsid w:val="083B6495"/>
    <w:rsid w:val="08EC5D7E"/>
    <w:rsid w:val="09941AF6"/>
    <w:rsid w:val="09E943DD"/>
    <w:rsid w:val="0A7B04A7"/>
    <w:rsid w:val="0B276013"/>
    <w:rsid w:val="0B7A075E"/>
    <w:rsid w:val="0BB04415"/>
    <w:rsid w:val="0C2A3F33"/>
    <w:rsid w:val="0C6117C9"/>
    <w:rsid w:val="0C8737A8"/>
    <w:rsid w:val="0CF566EF"/>
    <w:rsid w:val="0D0504FC"/>
    <w:rsid w:val="0DF57B6B"/>
    <w:rsid w:val="0E397EF4"/>
    <w:rsid w:val="0E733A33"/>
    <w:rsid w:val="0E9D358B"/>
    <w:rsid w:val="0EC503E2"/>
    <w:rsid w:val="0EE735C9"/>
    <w:rsid w:val="0EF45AA9"/>
    <w:rsid w:val="0F0678DE"/>
    <w:rsid w:val="0FB54F63"/>
    <w:rsid w:val="103312FE"/>
    <w:rsid w:val="10725EA8"/>
    <w:rsid w:val="10C1473A"/>
    <w:rsid w:val="10C20BDE"/>
    <w:rsid w:val="10E04419"/>
    <w:rsid w:val="10EF407A"/>
    <w:rsid w:val="116F0948"/>
    <w:rsid w:val="117D7EBE"/>
    <w:rsid w:val="119F6BCD"/>
    <w:rsid w:val="12DE49CD"/>
    <w:rsid w:val="13152533"/>
    <w:rsid w:val="13FD1257"/>
    <w:rsid w:val="14D90FCE"/>
    <w:rsid w:val="152757FB"/>
    <w:rsid w:val="152E1D7E"/>
    <w:rsid w:val="155B6F0B"/>
    <w:rsid w:val="16172C2A"/>
    <w:rsid w:val="17B726CB"/>
    <w:rsid w:val="19EA4D01"/>
    <w:rsid w:val="19F07238"/>
    <w:rsid w:val="1AAE25AF"/>
    <w:rsid w:val="1BB43819"/>
    <w:rsid w:val="1BF27E9D"/>
    <w:rsid w:val="1C4F366F"/>
    <w:rsid w:val="1C522C8F"/>
    <w:rsid w:val="1CA76E34"/>
    <w:rsid w:val="1CB045DA"/>
    <w:rsid w:val="1D41724E"/>
    <w:rsid w:val="1D9D1E37"/>
    <w:rsid w:val="1DA5062F"/>
    <w:rsid w:val="1DB42406"/>
    <w:rsid w:val="1DEA52D0"/>
    <w:rsid w:val="1ED72458"/>
    <w:rsid w:val="1F214BC3"/>
    <w:rsid w:val="1F4E1F80"/>
    <w:rsid w:val="1FA85442"/>
    <w:rsid w:val="1FC94089"/>
    <w:rsid w:val="208A4B48"/>
    <w:rsid w:val="21577120"/>
    <w:rsid w:val="21CC7436"/>
    <w:rsid w:val="222114DC"/>
    <w:rsid w:val="22A00653"/>
    <w:rsid w:val="230E09E5"/>
    <w:rsid w:val="24D976EF"/>
    <w:rsid w:val="24EA2059"/>
    <w:rsid w:val="2613738E"/>
    <w:rsid w:val="270371F0"/>
    <w:rsid w:val="27954B07"/>
    <w:rsid w:val="27BF418D"/>
    <w:rsid w:val="28072F22"/>
    <w:rsid w:val="28BF73DE"/>
    <w:rsid w:val="29A26578"/>
    <w:rsid w:val="29F31874"/>
    <w:rsid w:val="2A2C6C70"/>
    <w:rsid w:val="2A9F1DE4"/>
    <w:rsid w:val="2AD971A5"/>
    <w:rsid w:val="2B7D0A72"/>
    <w:rsid w:val="2B966A97"/>
    <w:rsid w:val="2BEC2B5B"/>
    <w:rsid w:val="2D64698B"/>
    <w:rsid w:val="2E2C723F"/>
    <w:rsid w:val="2E6764C9"/>
    <w:rsid w:val="2F432A92"/>
    <w:rsid w:val="2F57653D"/>
    <w:rsid w:val="2FBC4493"/>
    <w:rsid w:val="30401DAC"/>
    <w:rsid w:val="30CA6767"/>
    <w:rsid w:val="31E24E9B"/>
    <w:rsid w:val="31E97EAB"/>
    <w:rsid w:val="31EC5663"/>
    <w:rsid w:val="3240150B"/>
    <w:rsid w:val="325F5C66"/>
    <w:rsid w:val="326C6234"/>
    <w:rsid w:val="3381002D"/>
    <w:rsid w:val="34EB241D"/>
    <w:rsid w:val="34EE70AA"/>
    <w:rsid w:val="35325A82"/>
    <w:rsid w:val="35A63D7A"/>
    <w:rsid w:val="35BF2C75"/>
    <w:rsid w:val="36015455"/>
    <w:rsid w:val="36C33B7C"/>
    <w:rsid w:val="3A964616"/>
    <w:rsid w:val="3ABB02C8"/>
    <w:rsid w:val="3BA64AD4"/>
    <w:rsid w:val="3BB51932"/>
    <w:rsid w:val="3C02029C"/>
    <w:rsid w:val="3C4835C8"/>
    <w:rsid w:val="3C96791D"/>
    <w:rsid w:val="3DE25B6C"/>
    <w:rsid w:val="3E4837F9"/>
    <w:rsid w:val="3E6447D3"/>
    <w:rsid w:val="3EBF195F"/>
    <w:rsid w:val="3F540FB5"/>
    <w:rsid w:val="3F5F6F8D"/>
    <w:rsid w:val="3FB84DAA"/>
    <w:rsid w:val="3FF551D0"/>
    <w:rsid w:val="400022D9"/>
    <w:rsid w:val="400C0C7E"/>
    <w:rsid w:val="40152228"/>
    <w:rsid w:val="406934EC"/>
    <w:rsid w:val="40AB01F4"/>
    <w:rsid w:val="40F24318"/>
    <w:rsid w:val="41A80D98"/>
    <w:rsid w:val="42342973"/>
    <w:rsid w:val="42D230ED"/>
    <w:rsid w:val="43B96A8C"/>
    <w:rsid w:val="43CB718A"/>
    <w:rsid w:val="44F20D8A"/>
    <w:rsid w:val="452847AC"/>
    <w:rsid w:val="457C4AF8"/>
    <w:rsid w:val="45895546"/>
    <w:rsid w:val="459B3F4B"/>
    <w:rsid w:val="46753A21"/>
    <w:rsid w:val="46D5571A"/>
    <w:rsid w:val="46FC7C9E"/>
    <w:rsid w:val="46FF4337"/>
    <w:rsid w:val="47794E4B"/>
    <w:rsid w:val="47970EA5"/>
    <w:rsid w:val="49667651"/>
    <w:rsid w:val="4977185E"/>
    <w:rsid w:val="4A2A2D74"/>
    <w:rsid w:val="4B3A341D"/>
    <w:rsid w:val="4B9B49D9"/>
    <w:rsid w:val="4C4A1990"/>
    <w:rsid w:val="4C4F6AC2"/>
    <w:rsid w:val="4D7DA088"/>
    <w:rsid w:val="4E824F2D"/>
    <w:rsid w:val="4ED015EF"/>
    <w:rsid w:val="4F131283"/>
    <w:rsid w:val="52C11D9C"/>
    <w:rsid w:val="53C44BC8"/>
    <w:rsid w:val="549D400B"/>
    <w:rsid w:val="5579204D"/>
    <w:rsid w:val="558502B2"/>
    <w:rsid w:val="572B1EDA"/>
    <w:rsid w:val="58823D7B"/>
    <w:rsid w:val="58F6760C"/>
    <w:rsid w:val="5919648E"/>
    <w:rsid w:val="593A71CB"/>
    <w:rsid w:val="59A83861"/>
    <w:rsid w:val="5A41415D"/>
    <w:rsid w:val="5A6C4CE3"/>
    <w:rsid w:val="5A871B1D"/>
    <w:rsid w:val="5A875679"/>
    <w:rsid w:val="5B0D2022"/>
    <w:rsid w:val="5BBBCE0E"/>
    <w:rsid w:val="5BF73926"/>
    <w:rsid w:val="5C1D0CE7"/>
    <w:rsid w:val="5C905BB6"/>
    <w:rsid w:val="5DD43BD6"/>
    <w:rsid w:val="5E6C4E0B"/>
    <w:rsid w:val="5EA20CD3"/>
    <w:rsid w:val="5EF62DCD"/>
    <w:rsid w:val="5F7E1EED"/>
    <w:rsid w:val="5FDB0087"/>
    <w:rsid w:val="5FE5A4BB"/>
    <w:rsid w:val="601479AF"/>
    <w:rsid w:val="60996106"/>
    <w:rsid w:val="60EC26DA"/>
    <w:rsid w:val="61712BA3"/>
    <w:rsid w:val="61FC5CF1"/>
    <w:rsid w:val="62801D3F"/>
    <w:rsid w:val="62FC0076"/>
    <w:rsid w:val="64B751B6"/>
    <w:rsid w:val="65915975"/>
    <w:rsid w:val="669B74E8"/>
    <w:rsid w:val="67D70DEC"/>
    <w:rsid w:val="688B0A2A"/>
    <w:rsid w:val="689C23B4"/>
    <w:rsid w:val="6BB1D11E"/>
    <w:rsid w:val="6C482AED"/>
    <w:rsid w:val="6CAA0E2F"/>
    <w:rsid w:val="6CD81664"/>
    <w:rsid w:val="6DCC012B"/>
    <w:rsid w:val="6DD766DF"/>
    <w:rsid w:val="6F4B510B"/>
    <w:rsid w:val="70C96594"/>
    <w:rsid w:val="71233893"/>
    <w:rsid w:val="713368C2"/>
    <w:rsid w:val="71900F09"/>
    <w:rsid w:val="722F6585"/>
    <w:rsid w:val="7249432E"/>
    <w:rsid w:val="72CA692F"/>
    <w:rsid w:val="72FB66E0"/>
    <w:rsid w:val="733D0FC6"/>
    <w:rsid w:val="73BA08EF"/>
    <w:rsid w:val="74CA1A60"/>
    <w:rsid w:val="75110A5A"/>
    <w:rsid w:val="755E7DA7"/>
    <w:rsid w:val="757A1C0A"/>
    <w:rsid w:val="75E35A02"/>
    <w:rsid w:val="760B65B7"/>
    <w:rsid w:val="76B06D9B"/>
    <w:rsid w:val="76B52A9F"/>
    <w:rsid w:val="76F47985"/>
    <w:rsid w:val="771A20C2"/>
    <w:rsid w:val="772C7156"/>
    <w:rsid w:val="77BA33D5"/>
    <w:rsid w:val="77BEF9F5"/>
    <w:rsid w:val="78006B6C"/>
    <w:rsid w:val="787F4C68"/>
    <w:rsid w:val="78F9553C"/>
    <w:rsid w:val="79110AD8"/>
    <w:rsid w:val="7B17E09D"/>
    <w:rsid w:val="7B560A24"/>
    <w:rsid w:val="7C8E41ED"/>
    <w:rsid w:val="7D2C4132"/>
    <w:rsid w:val="7D7A09C9"/>
    <w:rsid w:val="7DF49EB3"/>
    <w:rsid w:val="7F1BC5BA"/>
    <w:rsid w:val="7FB6B931"/>
    <w:rsid w:val="7FC44AF6"/>
    <w:rsid w:val="7FDBB289"/>
    <w:rsid w:val="7FDDD11A"/>
    <w:rsid w:val="7FF8118C"/>
    <w:rsid w:val="7FFF0F47"/>
    <w:rsid w:val="BCE50CF8"/>
    <w:rsid w:val="BEBB2FE6"/>
    <w:rsid w:val="BFF58460"/>
    <w:rsid w:val="BFFF900E"/>
    <w:rsid w:val="CADF687C"/>
    <w:rsid w:val="CE7B033C"/>
    <w:rsid w:val="CFFA02CC"/>
    <w:rsid w:val="DD36EA5A"/>
    <w:rsid w:val="DF4F9D05"/>
    <w:rsid w:val="DFAFBBD9"/>
    <w:rsid w:val="EF7FE158"/>
    <w:rsid w:val="F74DA93C"/>
    <w:rsid w:val="F7FCBD24"/>
    <w:rsid w:val="F7FD1D11"/>
    <w:rsid w:val="F9FFE88A"/>
    <w:rsid w:val="FE7FCFB9"/>
    <w:rsid w:val="FEFBB0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ody Text"/>
    <w:basedOn w:val="1"/>
    <w:next w:val="1"/>
    <w:qFormat/>
    <w:uiPriority w:val="0"/>
    <w:rPr>
      <w:rFonts w:ascii="FangSong_GB2312" w:eastAsia="FangSong_GB2312"/>
      <w:sz w:val="32"/>
    </w:rPr>
  </w:style>
  <w:style w:type="paragraph" w:styleId="3">
    <w:name w:val="footer"/>
    <w:basedOn w:val="1"/>
    <w:link w:val="11"/>
    <w:qFormat/>
    <w:uiPriority w:val="0"/>
    <w:pPr>
      <w:tabs>
        <w:tab w:val="center" w:pos="4680"/>
        <w:tab w:val="right" w:pos="9360"/>
      </w:tabs>
    </w:pPr>
  </w:style>
  <w:style w:type="paragraph" w:styleId="4">
    <w:name w:val="header"/>
    <w:basedOn w:val="1"/>
    <w:link w:val="10"/>
    <w:qFormat/>
    <w:uiPriority w:val="0"/>
    <w:pPr>
      <w:tabs>
        <w:tab w:val="center" w:pos="4680"/>
        <w:tab w:val="right" w:pos="9360"/>
      </w:tabs>
    </w:pPr>
  </w:style>
  <w:style w:type="table" w:styleId="6">
    <w:name w:val="Table Grid"/>
    <w:basedOn w:val="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List Paragraph1"/>
    <w:basedOn w:val="1"/>
    <w:qFormat/>
    <w:uiPriority w:val="34"/>
    <w:pPr>
      <w:ind w:firstLine="420" w:firstLineChars="200"/>
    </w:pPr>
  </w:style>
  <w:style w:type="paragraph" w:styleId="9">
    <w:name w:val="No Spacing"/>
    <w:qFormat/>
    <w:uiPriority w:val="1"/>
    <w:pPr>
      <w:adjustRightInd w:val="0"/>
      <w:snapToGrid w:val="0"/>
    </w:pPr>
    <w:rPr>
      <w:rFonts w:ascii="Tahoma" w:hAnsi="Tahoma" w:eastAsia="宋体" w:cs="Times New Roman"/>
      <w:sz w:val="22"/>
      <w:szCs w:val="22"/>
      <w:lang w:val="en-US" w:eastAsia="zh-CN" w:bidi="ar-SA"/>
    </w:rPr>
  </w:style>
  <w:style w:type="character" w:customStyle="1" w:styleId="10">
    <w:name w:val="Header Char"/>
    <w:basedOn w:val="7"/>
    <w:link w:val="4"/>
    <w:qFormat/>
    <w:uiPriority w:val="0"/>
    <w:rPr>
      <w:rFonts w:asciiTheme="minorHAnsi" w:hAnsiTheme="minorHAnsi" w:eastAsiaTheme="minorEastAsia" w:cstheme="minorBidi"/>
      <w:kern w:val="2"/>
      <w:sz w:val="21"/>
      <w:szCs w:val="24"/>
    </w:rPr>
  </w:style>
  <w:style w:type="character" w:customStyle="1" w:styleId="11">
    <w:name w:val="Footer Char"/>
    <w:basedOn w:val="7"/>
    <w:link w:val="3"/>
    <w:qFormat/>
    <w:uiPriority w:val="0"/>
    <w:rPr>
      <w:rFonts w:asciiTheme="minorHAnsi" w:hAnsiTheme="minorHAnsi" w:eastAsiaTheme="minorEastAsia" w:cstheme="minorBidi"/>
      <w:kern w:val="2"/>
      <w:sz w:val="21"/>
      <w:szCs w:val="24"/>
    </w:rPr>
  </w:style>
  <w:style w:type="paragraph" w:styleId="12">
    <w:name w:val="List Paragraph"/>
    <w:basedOn w:val="1"/>
    <w:unhideWhenUsed/>
    <w:qFormat/>
    <w:uiPriority w:val="99"/>
    <w:pPr>
      <w:ind w:left="720"/>
      <w:contextualSpacing/>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2695</Words>
  <Characters>2959</Characters>
  <Lines>22</Lines>
  <Paragraphs>6</Paragraphs>
  <TotalTime>13</TotalTime>
  <ScaleCrop>false</ScaleCrop>
  <LinksUpToDate>false</LinksUpToDate>
  <CharactersWithSpaces>2966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2026-06-30T02:53:00Z</dcterms:created>
  <dc:creator>Data</dc:creator>
  <cp:lastModifiedBy>Crooked.</cp:lastModifiedBy>
  <dcterms:modified xsi:type="dcterms:W3CDTF">2026-07-02T01:44:07Z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3325CB976A5740A18DE8B6CCBA858468_13</vt:lpwstr>
  </property>
  <property fmtid="{D5CDD505-2E9C-101B-9397-08002B2CF9AE}" pid="4" name="GrammarlyDocumentId">
    <vt:lpwstr>6404913c-c693-444d-9b58-7d0b2575d64a</vt:lpwstr>
  </property>
  <property fmtid="{D5CDD505-2E9C-101B-9397-08002B2CF9AE}" pid="5" name="KSOTemplateDocerSaveRecord">
    <vt:lpwstr>eyJoZGlkIjoiY2U5MjkzMDViOTQyOWE3NDM5ZDU0MDIyYjliMmJjMDAiLCJ1c2VySWQiOiI0NTU3NjQ5NTMifQ==</vt:lpwstr>
  </property>
</Properties>
</file>