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F28B87">
      <w:pPr>
        <w:spacing w:line="560" w:lineRule="exact"/>
        <w:jc w:val="center"/>
        <w:rPr>
          <w:rFonts w:asciiTheme="majorEastAsia" w:hAnsiTheme="majorEastAsia" w:eastAsiaTheme="majorEastAsia"/>
          <w:b/>
        </w:rPr>
      </w:pPr>
      <w:r>
        <w:rPr>
          <w:rFonts w:hint="eastAsia" w:asciiTheme="majorEastAsia" w:hAnsiTheme="majorEastAsia" w:eastAsiaTheme="majorEastAsia"/>
          <w:b/>
          <w:sz w:val="44"/>
          <w:szCs w:val="44"/>
        </w:rPr>
        <w:t>中山大学附属第八医院（深圳福田）货物类</w:t>
      </w:r>
    </w:p>
    <w:p w14:paraId="6072A590">
      <w:pPr>
        <w:spacing w:line="640" w:lineRule="exact"/>
        <w:jc w:val="center"/>
        <w:rPr>
          <w:rFonts w:asciiTheme="majorEastAsia" w:hAnsiTheme="majorEastAsia" w:eastAsiaTheme="majorEastAsia"/>
          <w:b/>
          <w:sz w:val="44"/>
          <w:szCs w:val="44"/>
        </w:rPr>
      </w:pPr>
      <w:r>
        <w:rPr>
          <w:rFonts w:hint="eastAsia" w:asciiTheme="majorEastAsia" w:hAnsiTheme="majorEastAsia" w:eastAsiaTheme="majorEastAsia"/>
          <w:b/>
          <w:sz w:val="44"/>
          <w:szCs w:val="44"/>
        </w:rPr>
        <w:t>采购需求书（紧急）</w:t>
      </w:r>
    </w:p>
    <w:p w14:paraId="199ABC2C">
      <w:pPr>
        <w:spacing w:line="540" w:lineRule="exact"/>
        <w:ind w:firstLine="240" w:firstLineChars="100"/>
        <w:rPr>
          <w:rFonts w:cs="方正小标宋简体" w:asciiTheme="majorEastAsia" w:hAnsiTheme="majorEastAsia" w:eastAsiaTheme="majorEastAsia"/>
          <w:sz w:val="36"/>
          <w:szCs w:val="36"/>
        </w:rPr>
      </w:pPr>
      <w:r>
        <w:rPr>
          <w:rFonts w:hint="eastAsia" w:cs="宋体" w:asciiTheme="majorEastAsia" w:hAnsiTheme="majorEastAsia" w:eastAsiaTheme="majorEastAsia"/>
          <w:sz w:val="24"/>
        </w:rPr>
        <w:t>说明：“★”号条款为实质性条款，必须完全满足，不满足则不予采购</w:t>
      </w:r>
    </w:p>
    <w:p w14:paraId="3ED18238">
      <w:pPr>
        <w:spacing w:line="540" w:lineRule="exact"/>
        <w:ind w:firstLine="361" w:firstLineChars="100"/>
        <w:jc w:val="center"/>
        <w:rPr>
          <w:rFonts w:cs="方正小标宋简体" w:asciiTheme="majorEastAsia" w:hAnsiTheme="majorEastAsia" w:eastAsiaTheme="majorEastAsia"/>
          <w:b/>
          <w:sz w:val="36"/>
          <w:szCs w:val="36"/>
        </w:rPr>
      </w:pPr>
      <w:r>
        <w:rPr>
          <w:rFonts w:hint="eastAsia" w:cs="方正小标宋简体" w:asciiTheme="majorEastAsia" w:hAnsiTheme="majorEastAsia" w:eastAsiaTheme="majorEastAsia"/>
          <w:b/>
          <w:sz w:val="36"/>
          <w:szCs w:val="36"/>
        </w:rPr>
        <w:t>第一部分 项目基本要求</w:t>
      </w:r>
    </w:p>
    <w:p w14:paraId="2DB16868">
      <w:pPr>
        <w:spacing w:before="100" w:beforeAutospacing="1" w:line="276" w:lineRule="auto"/>
        <w:rPr>
          <w:rFonts w:cs="方正小标宋简体" w:asciiTheme="majorEastAsia" w:hAnsiTheme="majorEastAsia" w:eastAsiaTheme="majorEastAsia"/>
          <w:sz w:val="32"/>
          <w:szCs w:val="32"/>
        </w:rPr>
      </w:pPr>
      <w:r>
        <w:rPr>
          <w:rFonts w:hint="eastAsia" w:cs="方正小标宋简体" w:asciiTheme="majorEastAsia" w:hAnsiTheme="majorEastAsia" w:eastAsiaTheme="majorEastAsia"/>
          <w:sz w:val="32"/>
          <w:szCs w:val="32"/>
        </w:rPr>
        <w:t xml:space="preserve"> 一、项目基本信息</w:t>
      </w:r>
    </w:p>
    <w:p w14:paraId="37B00846">
      <w:pPr>
        <w:spacing w:before="100" w:beforeAutospacing="1" w:line="276" w:lineRule="auto"/>
        <w:ind w:firstLine="482" w:firstLineChars="200"/>
        <w:rPr>
          <w:rFonts w:cs="方正小标宋简体" w:asciiTheme="majorEastAsia" w:hAnsiTheme="majorEastAsia" w:eastAsiaTheme="majorEastAsia"/>
          <w:sz w:val="24"/>
          <w:shd w:val="clear" w:color="auto" w:fill="FFFFFF"/>
        </w:rPr>
      </w:pPr>
      <w:r>
        <w:rPr>
          <w:rFonts w:hint="eastAsia" w:asciiTheme="majorEastAsia" w:hAnsiTheme="majorEastAsia" w:eastAsiaTheme="majorEastAsia"/>
          <w:b/>
          <w:color w:val="000000"/>
          <w:sz w:val="24"/>
          <w:szCs w:val="21"/>
        </w:rPr>
        <w:t>申请科室：</w:t>
      </w:r>
      <w:r>
        <w:rPr>
          <w:rFonts w:hint="eastAsia" w:asciiTheme="majorEastAsia" w:hAnsiTheme="majorEastAsia" w:eastAsiaTheme="majorEastAsia"/>
          <w:b/>
          <w:color w:val="000000"/>
          <w:sz w:val="24"/>
          <w:szCs w:val="21"/>
          <w:lang w:val="en-US" w:eastAsia="zh-CN"/>
        </w:rPr>
        <w:t>临床</w:t>
      </w:r>
      <w:r>
        <w:rPr>
          <w:rFonts w:hint="eastAsia" w:asciiTheme="majorEastAsia" w:hAnsiTheme="majorEastAsia" w:eastAsiaTheme="majorEastAsia"/>
          <w:b/>
          <w:color w:val="000000"/>
          <w:sz w:val="24"/>
          <w:szCs w:val="21"/>
        </w:rPr>
        <w:t xml:space="preserve">心理科        </w:t>
      </w:r>
      <w:r>
        <w:rPr>
          <w:rFonts w:hint="eastAsia" w:cs="宋体" w:asciiTheme="majorEastAsia" w:hAnsiTheme="majorEastAsia" w:eastAsiaTheme="majorEastAsia"/>
          <w:b/>
          <w:color w:val="000000"/>
          <w:sz w:val="24"/>
          <w:szCs w:val="21"/>
        </w:rPr>
        <w:t>负责人姓名：</w:t>
      </w:r>
      <w:r>
        <w:rPr>
          <w:rFonts w:hint="eastAsia" w:asciiTheme="majorEastAsia" w:hAnsiTheme="majorEastAsia" w:eastAsiaTheme="majorEastAsia"/>
          <w:b/>
          <w:color w:val="000000"/>
          <w:sz w:val="24"/>
          <w:szCs w:val="21"/>
        </w:rPr>
        <w:t xml:space="preserve">           </w:t>
      </w:r>
      <w:r>
        <w:rPr>
          <w:rFonts w:hint="eastAsia" w:cs="宋体" w:asciiTheme="majorEastAsia" w:hAnsiTheme="majorEastAsia" w:eastAsiaTheme="majorEastAsia"/>
          <w:b/>
          <w:color w:val="000000"/>
          <w:sz w:val="24"/>
          <w:szCs w:val="21"/>
        </w:rPr>
        <w:t>负责人电话：</w:t>
      </w:r>
    </w:p>
    <w:tbl>
      <w:tblPr>
        <w:tblStyle w:val="9"/>
        <w:tblW w:w="101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3"/>
        <w:gridCol w:w="942"/>
        <w:gridCol w:w="850"/>
        <w:gridCol w:w="1276"/>
        <w:gridCol w:w="1134"/>
        <w:gridCol w:w="1276"/>
        <w:gridCol w:w="1275"/>
        <w:gridCol w:w="1560"/>
      </w:tblGrid>
      <w:tr w14:paraId="08A69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2795" w:type="dxa"/>
            <w:gridSpan w:val="2"/>
            <w:vAlign w:val="center"/>
          </w:tcPr>
          <w:p w14:paraId="794820CA">
            <w:pPr>
              <w:spacing w:line="276" w:lineRule="auto"/>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申请设备名称</w:t>
            </w:r>
          </w:p>
        </w:tc>
        <w:tc>
          <w:tcPr>
            <w:tcW w:w="850" w:type="dxa"/>
            <w:vAlign w:val="center"/>
          </w:tcPr>
          <w:p w14:paraId="6AEC0A69">
            <w:pPr>
              <w:spacing w:line="276" w:lineRule="auto"/>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进口/国产</w:t>
            </w:r>
          </w:p>
        </w:tc>
        <w:tc>
          <w:tcPr>
            <w:tcW w:w="1276" w:type="dxa"/>
            <w:vAlign w:val="center"/>
          </w:tcPr>
          <w:p w14:paraId="70A4F5B7">
            <w:pPr>
              <w:spacing w:line="276" w:lineRule="auto"/>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数量</w:t>
            </w:r>
          </w:p>
        </w:tc>
        <w:tc>
          <w:tcPr>
            <w:tcW w:w="1134" w:type="dxa"/>
            <w:vAlign w:val="center"/>
          </w:tcPr>
          <w:p w14:paraId="72585E89">
            <w:pPr>
              <w:spacing w:line="276" w:lineRule="auto"/>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单位</w:t>
            </w:r>
          </w:p>
        </w:tc>
        <w:tc>
          <w:tcPr>
            <w:tcW w:w="1276" w:type="dxa"/>
            <w:vAlign w:val="center"/>
          </w:tcPr>
          <w:p w14:paraId="429E3F4D">
            <w:pPr>
              <w:spacing w:line="276" w:lineRule="auto"/>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预算单价（万元）</w:t>
            </w:r>
          </w:p>
        </w:tc>
        <w:tc>
          <w:tcPr>
            <w:tcW w:w="1275" w:type="dxa"/>
            <w:vAlign w:val="center"/>
          </w:tcPr>
          <w:p w14:paraId="09989F85">
            <w:pPr>
              <w:spacing w:line="276" w:lineRule="auto"/>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预算总价（万元）</w:t>
            </w:r>
          </w:p>
        </w:tc>
        <w:tc>
          <w:tcPr>
            <w:tcW w:w="1560" w:type="dxa"/>
          </w:tcPr>
          <w:p w14:paraId="06B43513">
            <w:pPr>
              <w:spacing w:line="276" w:lineRule="auto"/>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是否需要注册证/备案证</w:t>
            </w:r>
          </w:p>
        </w:tc>
      </w:tr>
      <w:tr w14:paraId="54804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2795" w:type="dxa"/>
            <w:gridSpan w:val="2"/>
            <w:vAlign w:val="center"/>
          </w:tcPr>
          <w:p w14:paraId="4E61CD6F">
            <w:pPr>
              <w:spacing w:line="276" w:lineRule="auto"/>
              <w:jc w:val="center"/>
              <w:rPr>
                <w:rFonts w:hint="default" w:asciiTheme="majorEastAsia" w:hAnsiTheme="majorEastAsia" w:eastAsiaTheme="majorEastAsia"/>
                <w:b/>
                <w:sz w:val="24"/>
                <w:szCs w:val="21"/>
                <w:lang w:val="en-US" w:eastAsia="zh-CN"/>
              </w:rPr>
            </w:pPr>
            <w:r>
              <w:rPr>
                <w:rFonts w:hint="eastAsia" w:asciiTheme="majorEastAsia" w:hAnsiTheme="majorEastAsia" w:eastAsiaTheme="majorEastAsia"/>
                <w:b/>
                <w:sz w:val="24"/>
                <w:szCs w:val="21"/>
                <w:lang w:val="en-US" w:eastAsia="zh-CN"/>
              </w:rPr>
              <w:t>心率变异分析系统</w:t>
            </w:r>
          </w:p>
        </w:tc>
        <w:tc>
          <w:tcPr>
            <w:tcW w:w="850" w:type="dxa"/>
            <w:vAlign w:val="center"/>
          </w:tcPr>
          <w:p w14:paraId="17C32BA5">
            <w:pPr>
              <w:spacing w:line="276" w:lineRule="auto"/>
              <w:jc w:val="center"/>
              <w:rPr>
                <w:rFonts w:hint="eastAsia" w:asciiTheme="majorEastAsia" w:hAnsiTheme="majorEastAsia" w:eastAsiaTheme="majorEastAsia"/>
                <w:b/>
                <w:sz w:val="24"/>
                <w:szCs w:val="21"/>
                <w:lang w:val="en-US" w:eastAsia="zh-CN"/>
              </w:rPr>
            </w:pPr>
            <w:r>
              <w:rPr>
                <w:rFonts w:hint="eastAsia" w:asciiTheme="majorEastAsia" w:hAnsiTheme="majorEastAsia" w:eastAsiaTheme="majorEastAsia"/>
                <w:b/>
                <w:sz w:val="24"/>
                <w:szCs w:val="21"/>
                <w:lang w:val="en-US" w:eastAsia="zh-CN"/>
              </w:rPr>
              <w:t>国产</w:t>
            </w:r>
          </w:p>
        </w:tc>
        <w:tc>
          <w:tcPr>
            <w:tcW w:w="1276" w:type="dxa"/>
            <w:vAlign w:val="center"/>
          </w:tcPr>
          <w:p w14:paraId="158F0380">
            <w:pPr>
              <w:spacing w:line="276" w:lineRule="auto"/>
              <w:jc w:val="center"/>
              <w:rPr>
                <w:rFonts w:hint="eastAsia" w:asciiTheme="majorEastAsia" w:hAnsiTheme="majorEastAsia" w:eastAsiaTheme="majorEastAsia"/>
                <w:b/>
                <w:sz w:val="24"/>
                <w:szCs w:val="21"/>
                <w:lang w:val="en-US" w:eastAsia="zh-CN"/>
              </w:rPr>
            </w:pPr>
            <w:r>
              <w:rPr>
                <w:rFonts w:hint="eastAsia" w:asciiTheme="majorEastAsia" w:hAnsiTheme="majorEastAsia" w:eastAsiaTheme="majorEastAsia"/>
                <w:b/>
                <w:sz w:val="24"/>
                <w:szCs w:val="21"/>
                <w:lang w:val="en-US" w:eastAsia="zh-CN"/>
              </w:rPr>
              <w:t>1</w:t>
            </w:r>
          </w:p>
        </w:tc>
        <w:tc>
          <w:tcPr>
            <w:tcW w:w="1134" w:type="dxa"/>
            <w:vAlign w:val="center"/>
          </w:tcPr>
          <w:p w14:paraId="0D6474A7">
            <w:pPr>
              <w:spacing w:line="276" w:lineRule="auto"/>
              <w:jc w:val="center"/>
              <w:rPr>
                <w:rFonts w:hint="eastAsia" w:asciiTheme="majorEastAsia" w:hAnsiTheme="majorEastAsia" w:eastAsiaTheme="majorEastAsia"/>
                <w:b/>
                <w:sz w:val="24"/>
                <w:szCs w:val="21"/>
                <w:lang w:val="en-US" w:eastAsia="zh-CN"/>
              </w:rPr>
            </w:pPr>
            <w:r>
              <w:rPr>
                <w:rFonts w:hint="eastAsia" w:asciiTheme="majorEastAsia" w:hAnsiTheme="majorEastAsia" w:eastAsiaTheme="majorEastAsia"/>
                <w:b/>
                <w:sz w:val="24"/>
                <w:szCs w:val="21"/>
                <w:lang w:val="en-US" w:eastAsia="zh-CN"/>
              </w:rPr>
              <w:t>套</w:t>
            </w:r>
          </w:p>
        </w:tc>
        <w:tc>
          <w:tcPr>
            <w:tcW w:w="1276" w:type="dxa"/>
            <w:vAlign w:val="center"/>
          </w:tcPr>
          <w:p w14:paraId="414E6D75">
            <w:pPr>
              <w:spacing w:line="276" w:lineRule="auto"/>
              <w:jc w:val="center"/>
              <w:rPr>
                <w:rFonts w:hint="default" w:asciiTheme="majorEastAsia" w:hAnsiTheme="majorEastAsia" w:eastAsiaTheme="majorEastAsia"/>
                <w:b/>
                <w:sz w:val="24"/>
                <w:szCs w:val="21"/>
                <w:lang w:val="en-US" w:eastAsia="zh-CN"/>
              </w:rPr>
            </w:pPr>
            <w:r>
              <w:rPr>
                <w:rFonts w:hint="eastAsia" w:asciiTheme="majorEastAsia" w:hAnsiTheme="majorEastAsia" w:eastAsiaTheme="majorEastAsia"/>
                <w:b/>
                <w:sz w:val="24"/>
                <w:szCs w:val="21"/>
                <w:lang w:val="en-US" w:eastAsia="zh-CN"/>
              </w:rPr>
              <w:t>19.7</w:t>
            </w:r>
          </w:p>
        </w:tc>
        <w:tc>
          <w:tcPr>
            <w:tcW w:w="1275" w:type="dxa"/>
            <w:vAlign w:val="center"/>
          </w:tcPr>
          <w:p w14:paraId="21F09BFE">
            <w:pPr>
              <w:spacing w:line="276" w:lineRule="auto"/>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lang w:val="en-US" w:eastAsia="zh-CN"/>
              </w:rPr>
              <w:t>19.7</w:t>
            </w:r>
          </w:p>
        </w:tc>
        <w:tc>
          <w:tcPr>
            <w:tcW w:w="1560" w:type="dxa"/>
          </w:tcPr>
          <w:p w14:paraId="2361F5A6">
            <w:pPr>
              <w:spacing w:line="276" w:lineRule="auto"/>
              <w:jc w:val="center"/>
              <w:rPr>
                <w:rFonts w:hint="eastAsia" w:asciiTheme="majorEastAsia" w:hAnsiTheme="majorEastAsia" w:eastAsiaTheme="majorEastAsia"/>
                <w:b/>
                <w:sz w:val="24"/>
                <w:szCs w:val="21"/>
                <w:lang w:val="en-US" w:eastAsia="zh-CN"/>
              </w:rPr>
            </w:pPr>
            <w:r>
              <w:rPr>
                <w:rFonts w:hint="eastAsia" w:asciiTheme="majorEastAsia" w:hAnsiTheme="majorEastAsia" w:eastAsiaTheme="majorEastAsia"/>
                <w:b/>
                <w:sz w:val="24"/>
                <w:szCs w:val="21"/>
                <w:lang w:val="en-US" w:eastAsia="zh-CN"/>
              </w:rPr>
              <w:t>是</w:t>
            </w:r>
          </w:p>
        </w:tc>
      </w:tr>
      <w:tr w14:paraId="79592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1853" w:type="dxa"/>
            <w:vAlign w:val="center"/>
          </w:tcPr>
          <w:p w14:paraId="4F5B3B48">
            <w:pPr>
              <w:spacing w:line="276" w:lineRule="auto"/>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项目背景</w:t>
            </w:r>
          </w:p>
        </w:tc>
        <w:tc>
          <w:tcPr>
            <w:tcW w:w="8313" w:type="dxa"/>
            <w:gridSpan w:val="7"/>
            <w:vAlign w:val="center"/>
          </w:tcPr>
          <w:p w14:paraId="49EFCD93">
            <w:pPr>
              <w:pStyle w:val="16"/>
              <w:spacing w:line="276" w:lineRule="auto"/>
              <w:ind w:left="0" w:leftChars="0" w:firstLine="0" w:firstLineChars="0"/>
              <w:rPr>
                <w:rFonts w:asciiTheme="majorEastAsia" w:hAnsiTheme="majorEastAsia" w:eastAsiaTheme="majorEastAsia"/>
                <w:b/>
                <w:sz w:val="24"/>
                <w:szCs w:val="21"/>
              </w:rPr>
            </w:pPr>
            <w:r>
              <w:rPr>
                <w:rFonts w:hint="eastAsia" w:cs="宋体" w:asciiTheme="majorEastAsia" w:hAnsiTheme="majorEastAsia" w:eastAsiaTheme="majorEastAsia"/>
                <w:color w:val="000000"/>
                <w:szCs w:val="21"/>
              </w:rPr>
              <w:t>全球精神心理疾病的发病率，过去几十年一</w:t>
            </w:r>
            <w:bookmarkStart w:id="0" w:name="_GoBack"/>
            <w:bookmarkEnd w:id="0"/>
            <w:r>
              <w:rPr>
                <w:rFonts w:hint="eastAsia" w:cs="宋体" w:asciiTheme="majorEastAsia" w:hAnsiTheme="majorEastAsia" w:eastAsiaTheme="majorEastAsia"/>
                <w:color w:val="000000"/>
                <w:szCs w:val="21"/>
              </w:rPr>
              <w:t>直在增加。到今年，全球精神疾病（覆盖面）已经超过了10亿人。世界卫生组织发布的《2022年世界精神卫生报告》显示，在新冠疫情暴发的这几年，全球抑郁和焦虑患者增加了25%。联合国秘书长古特雷斯表示说：“我们正在经历一场全球性精神卫生危机。”他表示，有精神问题的人更容易遭受身体和情感方面的虐待，更容易被剥夺教育和就业的机会。目前每8个人中就有1人患有精神类疾病；冲突地区情况更糟，大概每5个人中就有1人存在精神健康问题。报告警告，患严重精神健康疾病者比一般人早亡10年到20年。据统计我国抑郁症患病率达2.1%，焦虑障碍患病率达4.98%。作为一种常见病，目前抑郁症在我国已经有超过4000万抑郁患者 , 与高发病率形成强烈反差的是临床诊断率低下, 据《中国城市非精神科病人抑郁、焦虑及抑郁合并焦虑症状患病率研究》结果表明，这些医院的病人中有近25%以上的人有抑郁/焦虑症状，可是确诊病例诊断率不足10% , 因诊断率低，相应地治疗率也很低, 导致90%以上患者没有接受到专业的治疗。</w:t>
            </w:r>
          </w:p>
        </w:tc>
      </w:tr>
      <w:tr w14:paraId="317DE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10166" w:type="dxa"/>
            <w:gridSpan w:val="8"/>
            <w:vAlign w:val="center"/>
          </w:tcPr>
          <w:p w14:paraId="7B1DF8BC">
            <w:pPr>
              <w:spacing w:line="276" w:lineRule="auto"/>
              <w:rPr>
                <w:rFonts w:cs="宋体" w:asciiTheme="majorEastAsia" w:hAnsiTheme="majorEastAsia" w:eastAsiaTheme="majorEastAsia"/>
                <w:b/>
                <w:sz w:val="24"/>
              </w:rPr>
            </w:pPr>
            <w:r>
              <w:rPr>
                <w:rFonts w:hint="eastAsia" w:cs="宋体" w:asciiTheme="majorEastAsia" w:hAnsiTheme="majorEastAsia" w:eastAsiaTheme="majorEastAsia"/>
                <w:b/>
                <w:sz w:val="24"/>
              </w:rPr>
              <w:t>★</w:t>
            </w:r>
            <w:r>
              <w:rPr>
                <w:rFonts w:hint="eastAsia" w:cs="宋体" w:asciiTheme="majorEastAsia" w:hAnsiTheme="majorEastAsia" w:eastAsiaTheme="majorEastAsia"/>
                <w:b/>
                <w:bCs/>
                <w:sz w:val="24"/>
              </w:rPr>
              <w:t>设备配置总清单（包括主机和各种配件或附件、试剂耗材及软件等，写明规格和数量）</w:t>
            </w:r>
          </w:p>
        </w:tc>
      </w:tr>
      <w:tr w14:paraId="1FADD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10166" w:type="dxa"/>
            <w:gridSpan w:val="8"/>
            <w:vAlign w:val="center"/>
          </w:tcPr>
          <w:p w14:paraId="5A053A2D">
            <w:pPr>
              <w:spacing w:line="276" w:lineRule="auto"/>
              <w:rPr>
                <w:rFonts w:hint="eastAsia" w:asciiTheme="majorEastAsia" w:hAnsiTheme="majorEastAsia" w:eastAsiaTheme="majorEastAsia"/>
                <w:b/>
                <w:sz w:val="24"/>
                <w:szCs w:val="21"/>
                <w:highlight w:val="yellow"/>
              </w:rPr>
            </w:pPr>
            <w:r>
              <w:rPr>
                <w:rFonts w:hint="eastAsia" w:asciiTheme="majorEastAsia" w:hAnsiTheme="majorEastAsia" w:eastAsiaTheme="majorEastAsia"/>
                <w:b/>
                <w:sz w:val="24"/>
                <w:szCs w:val="21"/>
                <w:highlight w:val="yellow"/>
              </w:rPr>
              <w:t>以议价/招标现场专家组确定的供应商提供的具体配置为准</w:t>
            </w:r>
          </w:p>
          <w:p w14:paraId="44ECCCC2">
            <w:pPr>
              <w:spacing w:line="276" w:lineRule="auto"/>
              <w:rPr>
                <w:rFonts w:hint="eastAsia" w:asciiTheme="majorEastAsia" w:hAnsiTheme="majorEastAsia" w:eastAsiaTheme="majorEastAsia"/>
                <w:b/>
                <w:sz w:val="24"/>
                <w:szCs w:val="21"/>
                <w:highlight w:val="none"/>
                <w:lang w:val="en-US" w:eastAsia="zh-CN"/>
              </w:rPr>
            </w:pPr>
            <w:r>
              <w:rPr>
                <w:rFonts w:hint="eastAsia" w:asciiTheme="majorEastAsia" w:hAnsiTheme="majorEastAsia" w:eastAsiaTheme="majorEastAsia"/>
                <w:b/>
                <w:sz w:val="24"/>
                <w:szCs w:val="21"/>
                <w:highlight w:val="none"/>
                <w:lang w:val="en-US" w:eastAsia="zh-CN"/>
              </w:rPr>
              <w:t>1、心率变异性生理信号采集处理主机 1台</w:t>
            </w:r>
          </w:p>
          <w:p w14:paraId="5F6F8EDD">
            <w:pPr>
              <w:spacing w:line="276" w:lineRule="auto"/>
              <w:rPr>
                <w:rFonts w:hint="eastAsia" w:asciiTheme="majorEastAsia" w:hAnsiTheme="majorEastAsia" w:eastAsiaTheme="majorEastAsia"/>
                <w:b/>
                <w:sz w:val="24"/>
                <w:szCs w:val="21"/>
                <w:highlight w:val="none"/>
                <w:lang w:val="en-US" w:eastAsia="zh-CN"/>
              </w:rPr>
            </w:pPr>
            <w:r>
              <w:rPr>
                <w:rFonts w:hint="eastAsia" w:asciiTheme="majorEastAsia" w:hAnsiTheme="majorEastAsia" w:eastAsiaTheme="majorEastAsia"/>
                <w:b/>
                <w:sz w:val="24"/>
                <w:szCs w:val="21"/>
                <w:highlight w:val="none"/>
                <w:lang w:val="en-US" w:eastAsia="zh-CN"/>
              </w:rPr>
              <w:t>2、心率变异性数据分析诊断软件1套</w:t>
            </w:r>
          </w:p>
          <w:p w14:paraId="2BEEEE2E">
            <w:pPr>
              <w:spacing w:line="276" w:lineRule="auto"/>
              <w:rPr>
                <w:rFonts w:hint="eastAsia" w:asciiTheme="majorEastAsia" w:hAnsiTheme="majorEastAsia" w:eastAsiaTheme="majorEastAsia"/>
                <w:b/>
                <w:sz w:val="24"/>
                <w:szCs w:val="21"/>
                <w:highlight w:val="none"/>
                <w:lang w:val="en-US" w:eastAsia="zh-CN"/>
              </w:rPr>
            </w:pPr>
            <w:r>
              <w:rPr>
                <w:rFonts w:hint="eastAsia" w:asciiTheme="majorEastAsia" w:hAnsiTheme="majorEastAsia" w:eastAsiaTheme="majorEastAsia"/>
                <w:b/>
                <w:sz w:val="24"/>
                <w:szCs w:val="21"/>
                <w:highlight w:val="none"/>
                <w:lang w:val="en-US" w:eastAsia="zh-CN"/>
              </w:rPr>
              <w:t>3、医用触控一体化终端主机 1台</w:t>
            </w:r>
          </w:p>
          <w:p w14:paraId="0555E95D">
            <w:pPr>
              <w:spacing w:line="276" w:lineRule="auto"/>
              <w:rPr>
                <w:rFonts w:hint="eastAsia" w:asciiTheme="majorEastAsia" w:hAnsiTheme="majorEastAsia" w:eastAsiaTheme="majorEastAsia"/>
                <w:b/>
                <w:sz w:val="24"/>
                <w:szCs w:val="21"/>
                <w:highlight w:val="none"/>
                <w:lang w:val="en-US" w:eastAsia="zh-CN"/>
              </w:rPr>
            </w:pPr>
            <w:r>
              <w:rPr>
                <w:rFonts w:hint="eastAsia" w:asciiTheme="majorEastAsia" w:hAnsiTheme="majorEastAsia" w:eastAsiaTheme="majorEastAsia"/>
                <w:b/>
                <w:sz w:val="24"/>
                <w:szCs w:val="21"/>
                <w:highlight w:val="none"/>
                <w:lang w:val="en-US" w:eastAsia="zh-CN"/>
              </w:rPr>
              <w:t>4、医用心电信号传输导联连接线 1条</w:t>
            </w:r>
          </w:p>
          <w:p w14:paraId="43D26CCE">
            <w:pPr>
              <w:spacing w:line="276" w:lineRule="auto"/>
              <w:rPr>
                <w:rFonts w:hint="eastAsia" w:asciiTheme="majorEastAsia" w:hAnsiTheme="majorEastAsia" w:eastAsiaTheme="majorEastAsia"/>
                <w:b/>
                <w:sz w:val="24"/>
                <w:szCs w:val="21"/>
                <w:highlight w:val="none"/>
                <w:lang w:val="en-US" w:eastAsia="zh-CN"/>
              </w:rPr>
            </w:pPr>
            <w:r>
              <w:rPr>
                <w:rFonts w:hint="eastAsia" w:asciiTheme="majorEastAsia" w:hAnsiTheme="majorEastAsia" w:eastAsiaTheme="majorEastAsia"/>
                <w:b/>
                <w:sz w:val="24"/>
                <w:szCs w:val="21"/>
                <w:highlight w:val="none"/>
                <w:lang w:val="en-US" w:eastAsia="zh-CN"/>
              </w:rPr>
              <w:t>5、医用无创肢体电极夹传感组件1套</w:t>
            </w:r>
          </w:p>
          <w:p w14:paraId="7867F3EF">
            <w:pPr>
              <w:spacing w:line="276" w:lineRule="auto"/>
              <w:rPr>
                <w:rFonts w:hint="eastAsia" w:asciiTheme="majorEastAsia" w:hAnsiTheme="majorEastAsia" w:eastAsiaTheme="majorEastAsia"/>
                <w:b/>
                <w:sz w:val="24"/>
                <w:szCs w:val="21"/>
                <w:highlight w:val="none"/>
                <w:lang w:val="en-US" w:eastAsia="zh-CN"/>
              </w:rPr>
            </w:pPr>
            <w:r>
              <w:rPr>
                <w:rFonts w:hint="eastAsia" w:asciiTheme="majorEastAsia" w:hAnsiTheme="majorEastAsia" w:eastAsiaTheme="majorEastAsia"/>
                <w:b/>
                <w:sz w:val="24"/>
                <w:szCs w:val="21"/>
                <w:highlight w:val="none"/>
                <w:lang w:val="en-US" w:eastAsia="zh-CN"/>
              </w:rPr>
              <w:t>6、多功能设备台车 1台</w:t>
            </w:r>
          </w:p>
          <w:p w14:paraId="012C7BB7">
            <w:pPr>
              <w:spacing w:line="276" w:lineRule="auto"/>
              <w:rPr>
                <w:rFonts w:hint="eastAsia" w:asciiTheme="majorEastAsia" w:hAnsiTheme="majorEastAsia" w:eastAsiaTheme="majorEastAsia"/>
                <w:b/>
                <w:sz w:val="24"/>
                <w:szCs w:val="21"/>
                <w:highlight w:val="none"/>
              </w:rPr>
            </w:pPr>
            <w:r>
              <w:rPr>
                <w:rFonts w:hint="eastAsia" w:asciiTheme="majorEastAsia" w:hAnsiTheme="majorEastAsia" w:eastAsiaTheme="majorEastAsia"/>
                <w:b/>
                <w:sz w:val="24"/>
                <w:szCs w:val="21"/>
                <w:highlight w:val="none"/>
                <w:lang w:val="en-US" w:eastAsia="zh-CN"/>
              </w:rPr>
              <w:t>7、彩色打印设备 1台</w:t>
            </w:r>
          </w:p>
        </w:tc>
      </w:tr>
    </w:tbl>
    <w:p w14:paraId="3C053EBD">
      <w:pPr>
        <w:spacing w:before="100" w:beforeAutospacing="1" w:after="240" w:line="276" w:lineRule="auto"/>
        <w:ind w:firstLine="480" w:firstLineChars="150"/>
        <w:rPr>
          <w:rFonts w:cs="方正小标宋简体" w:asciiTheme="majorEastAsia" w:hAnsiTheme="majorEastAsia" w:eastAsiaTheme="majorEastAsia"/>
          <w:sz w:val="32"/>
          <w:szCs w:val="32"/>
        </w:rPr>
      </w:pPr>
      <w:r>
        <w:rPr>
          <w:rFonts w:hint="eastAsia" w:cs="方正小标宋简体" w:asciiTheme="majorEastAsia" w:hAnsiTheme="majorEastAsia" w:eastAsiaTheme="majorEastAsia"/>
          <w:sz w:val="32"/>
          <w:szCs w:val="32"/>
        </w:rPr>
        <w:t>二、特殊资格要求说明</w:t>
      </w:r>
    </w:p>
    <w:p w14:paraId="3A89F0F0">
      <w:pPr>
        <w:pStyle w:val="16"/>
        <w:spacing w:line="276" w:lineRule="auto"/>
        <w:ind w:left="400" w:firstLine="0" w:firstLineChars="0"/>
        <w:rPr>
          <w:rFonts w:hint="default" w:asciiTheme="majorEastAsia" w:hAnsiTheme="majorEastAsia" w:eastAsiaTheme="majorEastAsia"/>
          <w:bCs/>
          <w:color w:val="FF0000"/>
          <w:szCs w:val="21"/>
          <w:lang w:val="en-US" w:eastAsia="zh-CN"/>
        </w:rPr>
      </w:pPr>
      <w:r>
        <w:rPr>
          <w:rFonts w:hint="eastAsia" w:cs="宋体" w:asciiTheme="majorEastAsia" w:hAnsiTheme="majorEastAsia" w:eastAsiaTheme="majorEastAsia"/>
          <w:sz w:val="24"/>
        </w:rPr>
        <w:t>本项目属于医疗器械目录管理,需提供：</w:t>
      </w:r>
      <w:r>
        <w:rPr>
          <w:rFonts w:hint="eastAsia" w:cs="宋体" w:asciiTheme="majorEastAsia" w:hAnsiTheme="majorEastAsia" w:eastAsiaTheme="majorEastAsia"/>
          <w:sz w:val="24"/>
          <w:lang w:val="en-US" w:eastAsia="zh-CN"/>
        </w:rPr>
        <w:t>产品注册证</w:t>
      </w:r>
    </w:p>
    <w:p w14:paraId="725132DB">
      <w:pPr>
        <w:pStyle w:val="16"/>
        <w:adjustRightInd w:val="0"/>
        <w:snapToGrid w:val="0"/>
        <w:ind w:firstLine="480"/>
        <w:rPr>
          <w:rFonts w:cs="宋体" w:asciiTheme="majorEastAsia" w:hAnsiTheme="majorEastAsia" w:eastAsiaTheme="majorEastAsia"/>
          <w:sz w:val="24"/>
        </w:rPr>
      </w:pPr>
      <w:r>
        <w:rPr>
          <w:rFonts w:hint="eastAsia" w:cs="宋体" w:asciiTheme="majorEastAsia" w:hAnsiTheme="majorEastAsia" w:eastAsiaTheme="majorEastAsia"/>
          <w:sz w:val="24"/>
        </w:rPr>
        <w:t>若投标供应商为所投产品的生产企业，必须提供《医疗器械生产企业许可（备案）证》且生产范围包含该产品，不在住所或者生产地址所在地销售的厂家还需提供医疗器械经营许可证/（第一类/二类）医疗器械经营备案凭证;若投标供应商为所投产品的代理商或授权供应商，必须提供《医疗器械经营企业许可(备案)证》 且经营范围包含该产品。</w:t>
      </w:r>
    </w:p>
    <w:p w14:paraId="2C2CC0BB">
      <w:pPr>
        <w:pStyle w:val="16"/>
        <w:adjustRightInd w:val="0"/>
        <w:snapToGrid w:val="0"/>
        <w:spacing w:line="520" w:lineRule="atLeast"/>
        <w:ind w:firstLine="480"/>
        <w:rPr>
          <w:rFonts w:cs="宋体" w:asciiTheme="majorEastAsia" w:hAnsiTheme="majorEastAsia" w:eastAsiaTheme="majorEastAsia"/>
          <w:sz w:val="24"/>
        </w:rPr>
      </w:pPr>
    </w:p>
    <w:p w14:paraId="3F984946">
      <w:pPr>
        <w:numPr>
          <w:ilvl w:val="0"/>
          <w:numId w:val="1"/>
        </w:numPr>
        <w:spacing w:line="540" w:lineRule="exact"/>
        <w:jc w:val="center"/>
        <w:rPr>
          <w:rFonts w:cs="方正小标宋简体" w:asciiTheme="majorEastAsia" w:hAnsiTheme="majorEastAsia" w:eastAsiaTheme="majorEastAsia"/>
          <w:b/>
          <w:sz w:val="36"/>
          <w:szCs w:val="36"/>
        </w:rPr>
      </w:pPr>
      <w:r>
        <w:rPr>
          <w:rFonts w:hint="eastAsia" w:cs="方正小标宋简体" w:asciiTheme="majorEastAsia" w:hAnsiTheme="majorEastAsia" w:eastAsiaTheme="majorEastAsia"/>
          <w:b/>
          <w:sz w:val="36"/>
          <w:szCs w:val="36"/>
        </w:rPr>
        <w:t>技术与商务需求</w:t>
      </w:r>
    </w:p>
    <w:p w14:paraId="17F1AB79">
      <w:pPr>
        <w:spacing w:before="240"/>
        <w:ind w:firstLine="241" w:firstLineChars="100"/>
        <w:rPr>
          <w:rFonts w:cs="方正小标宋简体" w:asciiTheme="majorEastAsia" w:hAnsiTheme="majorEastAsia" w:eastAsiaTheme="majorEastAsia"/>
          <w:sz w:val="24"/>
          <w:szCs w:val="36"/>
        </w:rPr>
      </w:pPr>
      <w:r>
        <w:rPr>
          <w:rFonts w:hint="eastAsia" w:cs="宋体" w:asciiTheme="majorEastAsia" w:hAnsiTheme="majorEastAsia" w:eastAsiaTheme="majorEastAsia"/>
          <w:b/>
          <w:bCs/>
          <w:sz w:val="24"/>
        </w:rPr>
        <w:t>说明：</w:t>
      </w:r>
      <w:r>
        <w:rPr>
          <w:rFonts w:hint="eastAsia" w:cs="宋体" w:asciiTheme="majorEastAsia" w:hAnsiTheme="majorEastAsia" w:eastAsiaTheme="majorEastAsia"/>
          <w:b/>
          <w:sz w:val="24"/>
        </w:rPr>
        <w:t>1.“★”号条款为实质性条款，必须完全满足，不满足则不予采购。</w:t>
      </w:r>
      <w:r>
        <w:rPr>
          <w:rFonts w:hint="eastAsia" w:cs="宋体" w:asciiTheme="majorEastAsia" w:hAnsiTheme="majorEastAsia" w:eastAsiaTheme="majorEastAsia"/>
          <w:sz w:val="20"/>
          <w:highlight w:val="yellow"/>
        </w:rPr>
        <w:t>（核心技术要求（以</w:t>
      </w:r>
      <w:r>
        <w:rPr>
          <w:rFonts w:hint="eastAsia" w:cs="宋体" w:asciiTheme="majorEastAsia" w:hAnsiTheme="majorEastAsia" w:eastAsiaTheme="majorEastAsia"/>
          <w:sz w:val="20"/>
          <w:szCs w:val="20"/>
          <w:highlight w:val="yellow"/>
        </w:rPr>
        <w:t>★</w:t>
      </w:r>
      <w:r>
        <w:rPr>
          <w:rFonts w:hint="eastAsia" w:cs="宋体" w:asciiTheme="majorEastAsia" w:hAnsiTheme="majorEastAsia" w:eastAsiaTheme="majorEastAsia"/>
          <w:sz w:val="20"/>
          <w:highlight w:val="yellow"/>
        </w:rPr>
        <w:t>号标注）为技术条款实质性要求不允许负偏离;否则将被否决。其数量≤5条，且必须有不少于3个品牌满足，并在第四部分作出承诺。）</w:t>
      </w:r>
    </w:p>
    <w:p w14:paraId="503CCC56">
      <w:pPr>
        <w:ind w:firstLine="360" w:firstLineChars="100"/>
        <w:rPr>
          <w:rFonts w:cs="宋体" w:asciiTheme="majorEastAsia" w:hAnsiTheme="majorEastAsia" w:eastAsiaTheme="majorEastAsia"/>
          <w:bCs/>
          <w:sz w:val="20"/>
          <w:szCs w:val="20"/>
        </w:rPr>
      </w:pPr>
      <w:r>
        <w:rPr>
          <w:rFonts w:hint="eastAsia" w:cs="方正小标宋简体" w:asciiTheme="majorEastAsia" w:hAnsiTheme="majorEastAsia" w:eastAsiaTheme="majorEastAsia"/>
          <w:sz w:val="36"/>
          <w:szCs w:val="36"/>
        </w:rPr>
        <w:t xml:space="preserve">   </w:t>
      </w:r>
      <w:r>
        <w:rPr>
          <w:rFonts w:hint="eastAsia" w:cs="宋体" w:asciiTheme="majorEastAsia" w:hAnsiTheme="majorEastAsia" w:eastAsiaTheme="majorEastAsia"/>
          <w:b/>
          <w:sz w:val="24"/>
        </w:rPr>
        <w:t xml:space="preserve"> 2.“▲”</w:t>
      </w:r>
      <w:r>
        <w:rPr>
          <w:rFonts w:hint="eastAsia" w:cs="宋体" w:asciiTheme="majorEastAsia" w:hAnsiTheme="majorEastAsia" w:eastAsiaTheme="majorEastAsia"/>
          <w:b/>
          <w:bCs/>
          <w:sz w:val="24"/>
        </w:rPr>
        <w:t>号条款为重要技术参数，需议价现场与供应商逐一确定是否满足。</w:t>
      </w:r>
      <w:r>
        <w:rPr>
          <w:rFonts w:hint="eastAsia" w:cs="宋体" w:asciiTheme="majorEastAsia" w:hAnsiTheme="majorEastAsia" w:eastAsiaTheme="majorEastAsia"/>
          <w:bCs/>
          <w:sz w:val="20"/>
          <w:szCs w:val="20"/>
        </w:rPr>
        <w:t>（</w:t>
      </w:r>
      <w:r>
        <w:rPr>
          <w:rFonts w:hint="eastAsia" w:cs="宋体" w:asciiTheme="majorEastAsia" w:hAnsiTheme="majorEastAsia" w:eastAsiaTheme="majorEastAsia"/>
          <w:sz w:val="20"/>
          <w:szCs w:val="20"/>
        </w:rPr>
        <w:t>重要技术要求（以▲号标注）数量≤全部技术要求的10%。</w:t>
      </w:r>
      <w:r>
        <w:rPr>
          <w:rFonts w:hint="eastAsia" w:cs="宋体" w:asciiTheme="majorEastAsia" w:hAnsiTheme="majorEastAsia" w:eastAsiaTheme="majorEastAsia"/>
          <w:bCs/>
          <w:sz w:val="20"/>
          <w:szCs w:val="20"/>
        </w:rPr>
        <w:t>）</w:t>
      </w:r>
    </w:p>
    <w:p w14:paraId="75038528">
      <w:pPr>
        <w:ind w:firstLine="201" w:firstLineChars="100"/>
        <w:rPr>
          <w:rFonts w:cs="方正小标宋简体" w:asciiTheme="majorEastAsia" w:hAnsiTheme="majorEastAsia" w:eastAsiaTheme="majorEastAsia"/>
          <w:b/>
          <w:sz w:val="20"/>
          <w:szCs w:val="20"/>
        </w:rPr>
      </w:pPr>
      <w:r>
        <w:rPr>
          <w:rFonts w:hint="eastAsia" w:cs="方正小标宋简体" w:asciiTheme="majorEastAsia" w:hAnsiTheme="majorEastAsia" w:eastAsiaTheme="majorEastAsia"/>
          <w:b/>
          <w:sz w:val="20"/>
          <w:szCs w:val="20"/>
        </w:rPr>
        <w:t>“★”号条款:所投产品如纳入医疗器械管理，投标供应商必须提供所投产品的《医疗器械注册(备案)证》的扫描件。(如有效期不足6个月的，需提供审批部门的回执。)</w:t>
      </w:r>
    </w:p>
    <w:tbl>
      <w:tblPr>
        <w:tblStyle w:val="9"/>
        <w:tblW w:w="100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935"/>
        <w:gridCol w:w="120"/>
        <w:gridCol w:w="7444"/>
        <w:gridCol w:w="817"/>
      </w:tblGrid>
      <w:tr w14:paraId="3E3AC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9209" w:type="dxa"/>
            <w:gridSpan w:val="4"/>
            <w:vAlign w:val="center"/>
          </w:tcPr>
          <w:p w14:paraId="1F04BD61">
            <w:pPr>
              <w:rPr>
                <w:rFonts w:asciiTheme="majorEastAsia" w:hAnsiTheme="majorEastAsia" w:eastAsiaTheme="majorEastAsia"/>
                <w:b/>
                <w:sz w:val="28"/>
                <w:szCs w:val="21"/>
              </w:rPr>
            </w:pPr>
            <w:r>
              <w:rPr>
                <w:rFonts w:hint="eastAsia" w:asciiTheme="majorEastAsia" w:hAnsiTheme="majorEastAsia" w:eastAsiaTheme="majorEastAsia"/>
                <w:b/>
                <w:sz w:val="28"/>
                <w:szCs w:val="21"/>
              </w:rPr>
              <w:t>一、技术部分</w:t>
            </w:r>
          </w:p>
        </w:tc>
        <w:tc>
          <w:tcPr>
            <w:tcW w:w="817" w:type="dxa"/>
            <w:vAlign w:val="center"/>
          </w:tcPr>
          <w:p w14:paraId="00DA41DE">
            <w:pPr>
              <w:jc w:val="center"/>
              <w:rPr>
                <w:rFonts w:asciiTheme="majorEastAsia" w:hAnsiTheme="majorEastAsia" w:eastAsiaTheme="majorEastAsia"/>
                <w:b/>
                <w:sz w:val="24"/>
                <w:szCs w:val="21"/>
              </w:rPr>
            </w:pPr>
          </w:p>
        </w:tc>
      </w:tr>
      <w:tr w14:paraId="466DC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710" w:type="dxa"/>
            <w:vAlign w:val="center"/>
          </w:tcPr>
          <w:p w14:paraId="0E2B8D7B">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序号</w:t>
            </w:r>
          </w:p>
        </w:tc>
        <w:tc>
          <w:tcPr>
            <w:tcW w:w="935" w:type="dxa"/>
            <w:vAlign w:val="center"/>
          </w:tcPr>
          <w:p w14:paraId="0D6B2EE2">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货物名称</w:t>
            </w:r>
          </w:p>
        </w:tc>
        <w:tc>
          <w:tcPr>
            <w:tcW w:w="7564" w:type="dxa"/>
            <w:gridSpan w:val="2"/>
            <w:vAlign w:val="center"/>
          </w:tcPr>
          <w:p w14:paraId="685D88A6">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技术要求</w:t>
            </w:r>
          </w:p>
        </w:tc>
        <w:tc>
          <w:tcPr>
            <w:tcW w:w="817" w:type="dxa"/>
            <w:vAlign w:val="center"/>
          </w:tcPr>
          <w:p w14:paraId="0680FF1C">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标注</w:t>
            </w:r>
          </w:p>
        </w:tc>
      </w:tr>
      <w:tr w14:paraId="4BD5F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710" w:type="dxa"/>
            <w:vAlign w:val="center"/>
          </w:tcPr>
          <w:p w14:paraId="1A371914">
            <w:pPr>
              <w:jc w:val="center"/>
              <w:rPr>
                <w:rFonts w:hint="eastAsia" w:asciiTheme="majorEastAsia" w:hAnsiTheme="majorEastAsia" w:eastAsiaTheme="majorEastAsia"/>
                <w:b/>
                <w:sz w:val="24"/>
                <w:szCs w:val="21"/>
              </w:rPr>
            </w:pPr>
          </w:p>
        </w:tc>
        <w:tc>
          <w:tcPr>
            <w:tcW w:w="935" w:type="dxa"/>
            <w:vAlign w:val="center"/>
          </w:tcPr>
          <w:p w14:paraId="36880E8B">
            <w:pPr>
              <w:jc w:val="center"/>
              <w:rPr>
                <w:rFonts w:hint="eastAsia" w:asciiTheme="majorEastAsia" w:hAnsiTheme="majorEastAsia" w:eastAsiaTheme="majorEastAsia"/>
                <w:b/>
                <w:sz w:val="24"/>
                <w:szCs w:val="21"/>
              </w:rPr>
            </w:pPr>
          </w:p>
        </w:tc>
        <w:tc>
          <w:tcPr>
            <w:tcW w:w="7564" w:type="dxa"/>
            <w:gridSpan w:val="2"/>
            <w:vAlign w:val="center"/>
          </w:tcPr>
          <w:p w14:paraId="1FFB9A5D">
            <w:pPr>
              <w:jc w:val="center"/>
              <w:rPr>
                <w:rFonts w:hint="eastAsia" w:asciiTheme="majorEastAsia" w:hAnsiTheme="majorEastAsia" w:eastAsiaTheme="majorEastAsia"/>
                <w:b/>
                <w:sz w:val="24"/>
                <w:szCs w:val="21"/>
              </w:rPr>
            </w:pPr>
            <w:r>
              <w:rPr>
                <w:rFonts w:hint="eastAsia" w:asciiTheme="majorEastAsia" w:hAnsiTheme="majorEastAsia" w:eastAsiaTheme="majorEastAsia"/>
                <w:b/>
                <w:sz w:val="24"/>
                <w:szCs w:val="21"/>
                <w:highlight w:val="yellow"/>
              </w:rPr>
              <w:t>以议价/招标现场专家组确定的供应商提供的具体参数为准</w:t>
            </w:r>
          </w:p>
        </w:tc>
        <w:tc>
          <w:tcPr>
            <w:tcW w:w="817" w:type="dxa"/>
            <w:vAlign w:val="center"/>
          </w:tcPr>
          <w:p w14:paraId="6866175C">
            <w:pPr>
              <w:jc w:val="center"/>
              <w:rPr>
                <w:rFonts w:hint="eastAsia" w:asciiTheme="majorEastAsia" w:hAnsiTheme="majorEastAsia" w:eastAsiaTheme="majorEastAsia"/>
                <w:b/>
                <w:sz w:val="24"/>
                <w:szCs w:val="21"/>
              </w:rPr>
            </w:pPr>
          </w:p>
        </w:tc>
      </w:tr>
      <w:tr w14:paraId="470A6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710" w:type="dxa"/>
          </w:tcPr>
          <w:p w14:paraId="7A7800F9">
            <w:pPr>
              <w:spacing w:line="276" w:lineRule="auto"/>
              <w:jc w:val="center"/>
              <w:rPr>
                <w:rFonts w:asciiTheme="majorEastAsia" w:hAnsiTheme="majorEastAsia" w:eastAsiaTheme="majorEastAsia"/>
                <w:b w:val="0"/>
                <w:bCs/>
                <w:sz w:val="24"/>
                <w:szCs w:val="21"/>
              </w:rPr>
            </w:pPr>
            <w:r>
              <w:rPr>
                <w:rFonts w:hint="eastAsia" w:asciiTheme="majorEastAsia" w:hAnsiTheme="majorEastAsia" w:eastAsiaTheme="majorEastAsia"/>
                <w:b w:val="0"/>
                <w:bCs/>
                <w:sz w:val="24"/>
                <w:szCs w:val="21"/>
              </w:rPr>
              <w:t>1</w:t>
            </w:r>
          </w:p>
        </w:tc>
        <w:tc>
          <w:tcPr>
            <w:tcW w:w="935" w:type="dxa"/>
            <w:vMerge w:val="restart"/>
          </w:tcPr>
          <w:p w14:paraId="463F7FC2">
            <w:pPr>
              <w:spacing w:line="276" w:lineRule="auto"/>
              <w:rPr>
                <w:rFonts w:asciiTheme="majorEastAsia" w:hAnsiTheme="majorEastAsia" w:eastAsiaTheme="majorEastAsia"/>
                <w:b/>
                <w:sz w:val="24"/>
                <w:szCs w:val="21"/>
              </w:rPr>
            </w:pPr>
            <w:r>
              <w:rPr>
                <w:rFonts w:hint="eastAsia" w:asciiTheme="majorEastAsia" w:hAnsiTheme="majorEastAsia" w:eastAsiaTheme="majorEastAsia"/>
                <w:b/>
                <w:sz w:val="24"/>
                <w:szCs w:val="21"/>
                <w:lang w:val="en-US" w:eastAsia="zh-CN"/>
              </w:rPr>
              <w:t>心率变异分析系统</w:t>
            </w:r>
          </w:p>
        </w:tc>
        <w:tc>
          <w:tcPr>
            <w:tcW w:w="7564" w:type="dxa"/>
            <w:gridSpan w:val="2"/>
          </w:tcPr>
          <w:p w14:paraId="1BB8E02F">
            <w:pPr>
              <w:spacing w:line="360" w:lineRule="auto"/>
              <w:rPr>
                <w:rFonts w:hint="eastAsia" w:ascii="宋体" w:hAnsi="宋体"/>
                <w:color w:val="auto"/>
                <w:sz w:val="24"/>
                <w:lang w:eastAsia="zh-TW"/>
              </w:rPr>
            </w:pPr>
            <w:r>
              <w:rPr>
                <w:rFonts w:hint="eastAsia" w:ascii="宋体" w:hAnsi="宋体"/>
                <w:color w:val="auto"/>
                <w:sz w:val="24"/>
                <w:lang w:eastAsia="zh-TW"/>
              </w:rPr>
              <w:t>产品适用</w:t>
            </w:r>
            <w:r>
              <w:rPr>
                <w:rFonts w:hint="eastAsia" w:ascii="宋体" w:hAnsi="宋体"/>
                <w:color w:val="auto"/>
                <w:sz w:val="24"/>
                <w:lang w:val="en-US" w:eastAsia="zh-CN"/>
              </w:rPr>
              <w:t>范围：</w:t>
            </w:r>
            <w:r>
              <w:rPr>
                <w:rFonts w:hint="eastAsia" w:ascii="宋体" w:hAnsi="宋体"/>
                <w:color w:val="auto"/>
                <w:sz w:val="24"/>
                <w:lang w:eastAsia="zh-TW"/>
              </w:rPr>
              <w:t>本设备依托体表心电信号采集，用于采集受检者安静静息状态下的心电搏动节律，完成心率数值监测与心率变异性（HRV）定量分析，产品具备医疗器械注册备案资质。</w:t>
            </w:r>
          </w:p>
        </w:tc>
        <w:tc>
          <w:tcPr>
            <w:tcW w:w="817" w:type="dxa"/>
          </w:tcPr>
          <w:p w14:paraId="517DC719">
            <w:pPr>
              <w:spacing w:line="276" w:lineRule="auto"/>
              <w:rPr>
                <w:rFonts w:asciiTheme="majorEastAsia" w:hAnsiTheme="majorEastAsia" w:eastAsiaTheme="majorEastAsia"/>
                <w:b/>
                <w:sz w:val="24"/>
                <w:szCs w:val="21"/>
              </w:rPr>
            </w:pPr>
          </w:p>
        </w:tc>
      </w:tr>
      <w:tr w14:paraId="40C5A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710" w:type="dxa"/>
          </w:tcPr>
          <w:p w14:paraId="6332E1AA">
            <w:pPr>
              <w:spacing w:line="276" w:lineRule="auto"/>
              <w:jc w:val="center"/>
              <w:rPr>
                <w:rFonts w:hint="eastAsia" w:asciiTheme="majorEastAsia" w:hAnsiTheme="majorEastAsia" w:eastAsiaTheme="majorEastAsia"/>
                <w:b w:val="0"/>
                <w:bCs/>
                <w:sz w:val="24"/>
                <w:szCs w:val="21"/>
                <w:lang w:val="en-US" w:eastAsia="zh-CN"/>
              </w:rPr>
            </w:pPr>
            <w:r>
              <w:rPr>
                <w:rFonts w:hint="eastAsia" w:asciiTheme="majorEastAsia" w:hAnsiTheme="majorEastAsia" w:eastAsiaTheme="majorEastAsia"/>
                <w:b w:val="0"/>
                <w:bCs/>
                <w:sz w:val="24"/>
                <w:szCs w:val="21"/>
                <w:lang w:val="en-US" w:eastAsia="zh-CN"/>
              </w:rPr>
              <w:t>2</w:t>
            </w:r>
            <w:r>
              <w:rPr>
                <w:rFonts w:hint="eastAsia" w:ascii="宋体" w:hAnsi="宋体"/>
                <w:color w:val="auto"/>
                <w:sz w:val="24"/>
                <w:lang w:eastAsia="zh-TW"/>
              </w:rPr>
              <w:t>▲</w:t>
            </w:r>
          </w:p>
        </w:tc>
        <w:tc>
          <w:tcPr>
            <w:tcW w:w="935" w:type="dxa"/>
            <w:vMerge w:val="continue"/>
          </w:tcPr>
          <w:p w14:paraId="31CBDDD4">
            <w:pPr>
              <w:spacing w:line="276" w:lineRule="auto"/>
              <w:rPr>
                <w:rFonts w:asciiTheme="majorEastAsia" w:hAnsiTheme="majorEastAsia" w:eastAsiaTheme="majorEastAsia"/>
                <w:b/>
                <w:sz w:val="24"/>
                <w:szCs w:val="21"/>
              </w:rPr>
            </w:pPr>
          </w:p>
        </w:tc>
        <w:tc>
          <w:tcPr>
            <w:tcW w:w="7564" w:type="dxa"/>
            <w:gridSpan w:val="2"/>
          </w:tcPr>
          <w:p w14:paraId="1EC14A6F">
            <w:pPr>
              <w:spacing w:line="360" w:lineRule="auto"/>
              <w:rPr>
                <w:rFonts w:hint="eastAsia" w:eastAsia="宋体" w:asciiTheme="majorEastAsia" w:hAnsiTheme="majorEastAsia"/>
                <w:b/>
                <w:sz w:val="24"/>
                <w:szCs w:val="21"/>
                <w:highlight w:val="yellow"/>
                <w:lang w:eastAsia="zh-CN"/>
              </w:rPr>
            </w:pPr>
            <w:r>
              <w:rPr>
                <w:rFonts w:hint="eastAsia" w:ascii="宋体" w:hAnsi="宋体"/>
                <w:color w:val="auto"/>
                <w:sz w:val="24"/>
                <w:lang w:eastAsia="zh-TW"/>
              </w:rPr>
              <w:t>▲系统</w:t>
            </w:r>
            <w:r>
              <w:rPr>
                <w:rFonts w:hint="eastAsia" w:ascii="宋体" w:hAnsi="宋体"/>
                <w:color w:val="auto"/>
                <w:sz w:val="24"/>
                <w:lang w:val="en-US" w:eastAsia="zh-CN"/>
              </w:rPr>
              <w:t>具备</w:t>
            </w:r>
            <w:r>
              <w:rPr>
                <w:rFonts w:hint="eastAsia" w:ascii="宋体" w:hAnsi="宋体"/>
                <w:color w:val="auto"/>
                <w:sz w:val="24"/>
                <w:lang w:eastAsia="zh-TW"/>
              </w:rPr>
              <w:t>自动运算得出平均心率、SDNN、pNN50、RMSSD、SDSD</w:t>
            </w:r>
            <w:r>
              <w:rPr>
                <w:rFonts w:hint="eastAsia" w:ascii="宋体" w:hAnsi="宋体"/>
                <w:color w:val="auto"/>
                <w:sz w:val="24"/>
                <w:lang w:val="en-US" w:eastAsia="zh-CN"/>
              </w:rPr>
              <w:t>时域参数</w:t>
            </w:r>
            <w:r>
              <w:rPr>
                <w:rFonts w:hint="eastAsia" w:ascii="宋体" w:hAnsi="宋体"/>
                <w:color w:val="auto"/>
                <w:sz w:val="24"/>
                <w:lang w:eastAsia="zh-CN"/>
              </w:rPr>
              <w:t>、</w:t>
            </w:r>
            <w:r>
              <w:rPr>
                <w:rFonts w:hint="eastAsia" w:ascii="宋体" w:hAnsi="宋体"/>
                <w:color w:val="auto"/>
                <w:sz w:val="24"/>
                <w:lang w:eastAsia="zh-TW"/>
              </w:rPr>
              <w:t>VLF、LF、HF、TP以及LF/HF频域参数</w:t>
            </w:r>
            <w:r>
              <w:rPr>
                <w:rFonts w:hint="eastAsia" w:ascii="宋体" w:hAnsi="宋体"/>
                <w:color w:val="auto"/>
                <w:sz w:val="24"/>
                <w:lang w:eastAsia="zh-CN"/>
              </w:rPr>
              <w:t>、</w:t>
            </w:r>
            <w:r>
              <w:rPr>
                <w:rFonts w:hint="eastAsia" w:ascii="宋体" w:hAnsi="宋体"/>
                <w:color w:val="auto"/>
                <w:sz w:val="24"/>
                <w:lang w:eastAsia="zh-TW"/>
              </w:rPr>
              <w:t>SD1、SD2以及SD1/SD2非线性分析指标，全方位解析自主神经节律特征。</w:t>
            </w:r>
            <w:r>
              <w:rPr>
                <w:rFonts w:hint="eastAsia" w:ascii="宋体" w:hAnsi="宋体"/>
                <w:b w:val="0"/>
                <w:bCs w:val="0"/>
                <w:color w:val="auto"/>
                <w:sz w:val="24"/>
                <w:lang w:eastAsia="zh-TW"/>
              </w:rPr>
              <w:t>（提供软件功能截图</w:t>
            </w:r>
            <w:r>
              <w:rPr>
                <w:rFonts w:hint="eastAsia" w:ascii="宋体" w:hAnsi="宋体"/>
                <w:b w:val="0"/>
                <w:bCs w:val="0"/>
                <w:color w:val="auto"/>
                <w:sz w:val="24"/>
                <w:lang w:val="en-US" w:eastAsia="zh-CN"/>
              </w:rPr>
              <w:t>佐证</w:t>
            </w:r>
            <w:r>
              <w:rPr>
                <w:rFonts w:hint="eastAsia" w:ascii="宋体" w:hAnsi="宋体"/>
                <w:b w:val="0"/>
                <w:bCs w:val="0"/>
                <w:color w:val="auto"/>
                <w:sz w:val="24"/>
                <w:lang w:eastAsia="zh-TW"/>
              </w:rPr>
              <w:t>）</w:t>
            </w:r>
            <w:r>
              <w:rPr>
                <w:rFonts w:hint="eastAsia" w:ascii="宋体" w:hAnsi="宋体"/>
                <w:b w:val="0"/>
                <w:bCs w:val="0"/>
                <w:color w:val="auto"/>
                <w:sz w:val="24"/>
                <w:lang w:eastAsia="zh-CN"/>
              </w:rPr>
              <w:t>。</w:t>
            </w:r>
          </w:p>
        </w:tc>
        <w:tc>
          <w:tcPr>
            <w:tcW w:w="817" w:type="dxa"/>
          </w:tcPr>
          <w:p w14:paraId="521A0FE8">
            <w:pPr>
              <w:spacing w:line="276" w:lineRule="auto"/>
              <w:rPr>
                <w:rFonts w:asciiTheme="majorEastAsia" w:hAnsiTheme="majorEastAsia" w:eastAsiaTheme="majorEastAsia"/>
                <w:b/>
                <w:sz w:val="24"/>
                <w:szCs w:val="21"/>
              </w:rPr>
            </w:pPr>
          </w:p>
        </w:tc>
      </w:tr>
      <w:tr w14:paraId="3F899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0" w:type="dxa"/>
          </w:tcPr>
          <w:p w14:paraId="740D5C56">
            <w:pPr>
              <w:spacing w:line="276" w:lineRule="auto"/>
              <w:jc w:val="center"/>
              <w:rPr>
                <w:rFonts w:hint="eastAsia" w:asciiTheme="majorEastAsia" w:hAnsiTheme="majorEastAsia" w:eastAsiaTheme="majorEastAsia"/>
                <w:b w:val="0"/>
                <w:bCs/>
                <w:sz w:val="24"/>
                <w:szCs w:val="21"/>
                <w:lang w:val="en-US" w:eastAsia="zh-CN"/>
              </w:rPr>
            </w:pPr>
            <w:r>
              <w:rPr>
                <w:rFonts w:hint="eastAsia" w:asciiTheme="majorEastAsia" w:hAnsiTheme="majorEastAsia" w:eastAsiaTheme="majorEastAsia"/>
                <w:b w:val="0"/>
                <w:bCs/>
                <w:sz w:val="24"/>
                <w:szCs w:val="21"/>
                <w:lang w:val="en-US" w:eastAsia="zh-CN"/>
              </w:rPr>
              <w:t>3</w:t>
            </w:r>
          </w:p>
        </w:tc>
        <w:tc>
          <w:tcPr>
            <w:tcW w:w="935" w:type="dxa"/>
            <w:vMerge w:val="continue"/>
          </w:tcPr>
          <w:p w14:paraId="77C60537">
            <w:pPr>
              <w:spacing w:line="276" w:lineRule="auto"/>
              <w:rPr>
                <w:rFonts w:asciiTheme="majorEastAsia" w:hAnsiTheme="majorEastAsia" w:eastAsiaTheme="majorEastAsia"/>
                <w:b/>
                <w:sz w:val="24"/>
                <w:szCs w:val="21"/>
              </w:rPr>
            </w:pPr>
          </w:p>
        </w:tc>
        <w:tc>
          <w:tcPr>
            <w:tcW w:w="7564" w:type="dxa"/>
            <w:gridSpan w:val="2"/>
          </w:tcPr>
          <w:p w14:paraId="79F16483">
            <w:pPr>
              <w:spacing w:line="360" w:lineRule="auto"/>
              <w:rPr>
                <w:rFonts w:hint="eastAsia" w:asciiTheme="majorEastAsia" w:hAnsiTheme="majorEastAsia" w:eastAsiaTheme="majorEastAsia"/>
                <w:b/>
                <w:sz w:val="24"/>
                <w:szCs w:val="21"/>
                <w:highlight w:val="yellow"/>
              </w:rPr>
            </w:pPr>
            <w:r>
              <w:rPr>
                <w:rFonts w:hint="eastAsia" w:ascii="宋体" w:hAnsi="宋体"/>
                <w:color w:val="auto"/>
                <w:sz w:val="24"/>
                <w:lang w:val="en-US" w:eastAsia="zh-CN"/>
              </w:rPr>
              <w:t>具备</w:t>
            </w:r>
            <w:r>
              <w:rPr>
                <w:rFonts w:hint="eastAsia" w:ascii="宋体" w:hAnsi="宋体"/>
                <w:color w:val="auto"/>
                <w:sz w:val="24"/>
              </w:rPr>
              <w:t>系统分析图谱，包含心率趋势</w:t>
            </w:r>
            <w:r>
              <w:rPr>
                <w:rFonts w:hint="eastAsia" w:ascii="宋体" w:hAnsi="宋体"/>
                <w:color w:val="auto"/>
                <w:sz w:val="24"/>
                <w:lang w:val="en-US" w:eastAsia="zh-CN"/>
              </w:rPr>
              <w:t>图</w:t>
            </w:r>
            <w:r>
              <w:rPr>
                <w:rFonts w:hint="eastAsia" w:ascii="宋体" w:hAnsi="宋体"/>
                <w:color w:val="auto"/>
                <w:sz w:val="24"/>
              </w:rPr>
              <w:t>、频谱分析图、心率分布直方图、散点图、心电ECG占比饼图、自主神经功能七大分型判定图谱</w:t>
            </w:r>
            <w:r>
              <w:rPr>
                <w:rFonts w:ascii="宋体" w:hAnsi="宋体"/>
                <w:color w:val="auto"/>
                <w:sz w:val="24"/>
              </w:rPr>
              <w:t>（提供软件功能截图）</w:t>
            </w:r>
          </w:p>
        </w:tc>
        <w:tc>
          <w:tcPr>
            <w:tcW w:w="817" w:type="dxa"/>
          </w:tcPr>
          <w:p w14:paraId="4ED6927F">
            <w:pPr>
              <w:spacing w:line="276" w:lineRule="auto"/>
              <w:rPr>
                <w:rFonts w:asciiTheme="majorEastAsia" w:hAnsiTheme="majorEastAsia" w:eastAsiaTheme="majorEastAsia"/>
                <w:b/>
                <w:sz w:val="24"/>
                <w:szCs w:val="21"/>
              </w:rPr>
            </w:pPr>
          </w:p>
        </w:tc>
      </w:tr>
      <w:tr w14:paraId="59785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710" w:type="dxa"/>
          </w:tcPr>
          <w:p w14:paraId="01CE7101">
            <w:pPr>
              <w:spacing w:line="276" w:lineRule="auto"/>
              <w:jc w:val="center"/>
              <w:rPr>
                <w:rFonts w:hint="eastAsia" w:asciiTheme="majorEastAsia" w:hAnsiTheme="majorEastAsia" w:eastAsiaTheme="majorEastAsia"/>
                <w:b w:val="0"/>
                <w:bCs/>
                <w:sz w:val="24"/>
                <w:szCs w:val="21"/>
                <w:lang w:val="en-US" w:eastAsia="zh-CN"/>
              </w:rPr>
            </w:pPr>
            <w:r>
              <w:rPr>
                <w:rFonts w:hint="eastAsia" w:asciiTheme="majorEastAsia" w:hAnsiTheme="majorEastAsia" w:eastAsiaTheme="majorEastAsia"/>
                <w:b w:val="0"/>
                <w:bCs/>
                <w:sz w:val="24"/>
                <w:szCs w:val="21"/>
                <w:lang w:val="en-US" w:eastAsia="zh-CN"/>
              </w:rPr>
              <w:t>4</w:t>
            </w:r>
            <w:r>
              <w:rPr>
                <w:rFonts w:hint="eastAsia" w:ascii="宋体" w:hAnsi="宋体"/>
                <w:color w:val="auto"/>
                <w:sz w:val="24"/>
                <w:lang w:eastAsia="zh-TW"/>
              </w:rPr>
              <w:t>▲</w:t>
            </w:r>
          </w:p>
        </w:tc>
        <w:tc>
          <w:tcPr>
            <w:tcW w:w="935" w:type="dxa"/>
            <w:vMerge w:val="continue"/>
          </w:tcPr>
          <w:p w14:paraId="02CE1491">
            <w:pPr>
              <w:spacing w:line="276" w:lineRule="auto"/>
              <w:rPr>
                <w:rFonts w:asciiTheme="majorEastAsia" w:hAnsiTheme="majorEastAsia" w:eastAsiaTheme="majorEastAsia"/>
                <w:b/>
                <w:sz w:val="24"/>
                <w:szCs w:val="21"/>
              </w:rPr>
            </w:pPr>
          </w:p>
        </w:tc>
        <w:tc>
          <w:tcPr>
            <w:tcW w:w="7564" w:type="dxa"/>
            <w:gridSpan w:val="2"/>
          </w:tcPr>
          <w:p w14:paraId="2B2F210A">
            <w:pPr>
              <w:spacing w:line="360" w:lineRule="auto"/>
              <w:rPr>
                <w:rFonts w:hint="eastAsia" w:ascii="宋体" w:hAnsi="宋体"/>
                <w:color w:val="auto"/>
                <w:sz w:val="24"/>
                <w:lang w:eastAsia="zh-TW"/>
              </w:rPr>
            </w:pPr>
            <w:r>
              <w:rPr>
                <w:rFonts w:hint="eastAsia" w:ascii="宋体" w:hAnsi="宋体"/>
                <w:color w:val="auto"/>
                <w:sz w:val="24"/>
                <w:lang w:eastAsia="zh-TW"/>
              </w:rPr>
              <w:t>▲信号采集终端</w:t>
            </w:r>
          </w:p>
          <w:p w14:paraId="4FF16A4A">
            <w:pPr>
              <w:spacing w:line="360" w:lineRule="auto"/>
              <w:rPr>
                <w:rFonts w:hint="eastAsia" w:ascii="宋体" w:hAnsi="宋体"/>
                <w:b w:val="0"/>
                <w:bCs w:val="0"/>
                <w:color w:val="auto"/>
                <w:sz w:val="24"/>
                <w:lang w:eastAsia="zh-CN"/>
              </w:rPr>
            </w:pPr>
            <w:r>
              <w:rPr>
                <w:rFonts w:hint="eastAsia" w:ascii="宋体" w:hAnsi="宋体"/>
                <w:color w:val="auto"/>
                <w:sz w:val="24"/>
                <w:lang w:val="en-US" w:eastAsia="zh-CN"/>
              </w:rPr>
              <w:t>具备</w:t>
            </w:r>
            <w:r>
              <w:rPr>
                <w:rFonts w:hint="eastAsia" w:ascii="宋体" w:hAnsi="宋体"/>
                <w:color w:val="auto"/>
                <w:sz w:val="24"/>
                <w:lang w:eastAsia="zh-TW"/>
              </w:rPr>
              <w:t>独立硬件采集主机，配置</w:t>
            </w:r>
            <w:r>
              <w:rPr>
                <w:rFonts w:hint="eastAsia" w:ascii="宋体" w:hAnsi="宋体"/>
                <w:color w:val="auto"/>
                <w:sz w:val="24"/>
                <w:lang w:val="en-US" w:eastAsia="zh-CN"/>
              </w:rPr>
              <w:t>≥</w:t>
            </w:r>
            <w:r>
              <w:rPr>
                <w:rFonts w:hint="eastAsia" w:ascii="宋体" w:hAnsi="宋体"/>
                <w:color w:val="auto"/>
                <w:sz w:val="24"/>
                <w:lang w:eastAsia="zh-TW"/>
              </w:rPr>
              <w:t>10英寸LCD液晶</w:t>
            </w:r>
            <w:r>
              <w:rPr>
                <w:rFonts w:hint="eastAsia" w:ascii="宋体" w:hAnsi="宋体"/>
                <w:color w:val="auto"/>
                <w:sz w:val="24"/>
                <w:lang w:val="en-US" w:eastAsia="zh-CN"/>
              </w:rPr>
              <w:t>触摸</w:t>
            </w:r>
            <w:r>
              <w:rPr>
                <w:rFonts w:hint="eastAsia" w:ascii="宋体" w:hAnsi="宋体"/>
                <w:color w:val="auto"/>
                <w:sz w:val="24"/>
                <w:lang w:eastAsia="zh-TW"/>
              </w:rPr>
              <w:t>显示屏，内置可充电锂电池支持脱离市电移动续航；屏幕可实时同步展示就诊人员基础信息、设备通讯连接状态、实时心率数值等关键信息，设备蜂鸣提示音量支持自定义档位调节</w:t>
            </w:r>
            <w:r>
              <w:rPr>
                <w:rFonts w:hint="eastAsia" w:ascii="宋体" w:hAnsi="宋体"/>
                <w:color w:val="auto"/>
                <w:sz w:val="24"/>
                <w:lang w:eastAsia="zh-CN"/>
              </w:rPr>
              <w:t>（</w:t>
            </w:r>
            <w:r>
              <w:rPr>
                <w:rFonts w:hint="eastAsia" w:ascii="宋体" w:hAnsi="宋体"/>
                <w:color w:val="auto"/>
                <w:sz w:val="24"/>
                <w:lang w:eastAsia="zh-TW"/>
              </w:rPr>
              <w:t>提供整机实物外观照片佐证</w:t>
            </w:r>
            <w:r>
              <w:rPr>
                <w:rFonts w:hint="eastAsia" w:ascii="宋体" w:hAnsi="宋体"/>
                <w:color w:val="auto"/>
                <w:sz w:val="24"/>
                <w:lang w:eastAsia="zh-CN"/>
              </w:rPr>
              <w:t>）</w:t>
            </w:r>
            <w:r>
              <w:rPr>
                <w:rFonts w:hint="eastAsia" w:ascii="宋体" w:hAnsi="宋体"/>
                <w:color w:val="auto"/>
                <w:sz w:val="24"/>
                <w:lang w:eastAsia="zh-TW"/>
              </w:rPr>
              <w:t>。</w:t>
            </w:r>
          </w:p>
        </w:tc>
        <w:tc>
          <w:tcPr>
            <w:tcW w:w="817" w:type="dxa"/>
          </w:tcPr>
          <w:p w14:paraId="1472BA43">
            <w:pPr>
              <w:spacing w:line="276" w:lineRule="auto"/>
              <w:rPr>
                <w:rFonts w:asciiTheme="majorEastAsia" w:hAnsiTheme="majorEastAsia" w:eastAsiaTheme="majorEastAsia"/>
                <w:b/>
                <w:sz w:val="24"/>
                <w:szCs w:val="21"/>
              </w:rPr>
            </w:pPr>
          </w:p>
        </w:tc>
      </w:tr>
      <w:tr w14:paraId="66F62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710" w:type="dxa"/>
          </w:tcPr>
          <w:p w14:paraId="3E91F394">
            <w:pPr>
              <w:spacing w:line="276" w:lineRule="auto"/>
              <w:jc w:val="center"/>
              <w:rPr>
                <w:rFonts w:hint="eastAsia" w:asciiTheme="majorEastAsia" w:hAnsiTheme="majorEastAsia" w:eastAsiaTheme="majorEastAsia"/>
                <w:b w:val="0"/>
                <w:bCs/>
                <w:sz w:val="24"/>
                <w:szCs w:val="21"/>
                <w:lang w:val="en-US" w:eastAsia="zh-CN"/>
              </w:rPr>
            </w:pPr>
            <w:r>
              <w:rPr>
                <w:rFonts w:hint="eastAsia" w:asciiTheme="majorEastAsia" w:hAnsiTheme="majorEastAsia" w:eastAsiaTheme="majorEastAsia"/>
                <w:b w:val="0"/>
                <w:bCs/>
                <w:sz w:val="24"/>
                <w:szCs w:val="21"/>
                <w:lang w:val="en-US" w:eastAsia="zh-CN"/>
              </w:rPr>
              <w:t>5</w:t>
            </w:r>
            <w:r>
              <w:rPr>
                <w:rFonts w:hint="eastAsia" w:ascii="宋体" w:hAnsi="宋体"/>
                <w:color w:val="auto"/>
                <w:sz w:val="24"/>
                <w:lang w:eastAsia="zh-TW"/>
              </w:rPr>
              <w:t>▲</w:t>
            </w:r>
          </w:p>
        </w:tc>
        <w:tc>
          <w:tcPr>
            <w:tcW w:w="935" w:type="dxa"/>
            <w:vMerge w:val="continue"/>
          </w:tcPr>
          <w:p w14:paraId="21B80875">
            <w:pPr>
              <w:spacing w:line="276" w:lineRule="auto"/>
              <w:rPr>
                <w:rFonts w:asciiTheme="majorEastAsia" w:hAnsiTheme="majorEastAsia" w:eastAsiaTheme="majorEastAsia"/>
                <w:b/>
                <w:sz w:val="24"/>
                <w:szCs w:val="21"/>
              </w:rPr>
            </w:pPr>
          </w:p>
        </w:tc>
        <w:tc>
          <w:tcPr>
            <w:tcW w:w="7564" w:type="dxa"/>
            <w:gridSpan w:val="2"/>
          </w:tcPr>
          <w:p w14:paraId="1D1A36F9">
            <w:pPr>
              <w:spacing w:line="360" w:lineRule="auto"/>
              <w:rPr>
                <w:rFonts w:hint="eastAsia" w:ascii="宋体" w:hAnsi="宋体"/>
                <w:color w:val="auto"/>
                <w:sz w:val="24"/>
                <w:lang w:eastAsia="zh-TW"/>
              </w:rPr>
            </w:pPr>
            <w:r>
              <w:rPr>
                <w:rFonts w:hint="eastAsia" w:ascii="宋体" w:hAnsi="宋体"/>
                <w:color w:val="auto"/>
                <w:sz w:val="24"/>
                <w:lang w:eastAsia="zh-TW"/>
              </w:rPr>
              <w:t>▲心电信号采集硬件技术指标</w:t>
            </w:r>
          </w:p>
          <w:p w14:paraId="3B0EF3F7">
            <w:pPr>
              <w:spacing w:line="360" w:lineRule="auto"/>
              <w:rPr>
                <w:rFonts w:hint="eastAsia" w:ascii="宋体" w:hAnsi="宋体"/>
                <w:b/>
                <w:bCs/>
                <w:color w:val="auto"/>
                <w:sz w:val="24"/>
                <w:lang w:eastAsia="zh-TW"/>
              </w:rPr>
            </w:pPr>
            <w:r>
              <w:rPr>
                <w:rFonts w:hint="eastAsia" w:ascii="宋体" w:hAnsi="宋体"/>
                <w:color w:val="auto"/>
                <w:sz w:val="24"/>
                <w:lang w:val="en-US" w:eastAsia="zh-CN"/>
              </w:rPr>
              <w:t>具备</w:t>
            </w:r>
            <w:r>
              <w:rPr>
                <w:rFonts w:hint="eastAsia" w:ascii="宋体" w:hAnsi="宋体"/>
                <w:color w:val="auto"/>
                <w:sz w:val="24"/>
                <w:lang w:eastAsia="zh-TW"/>
              </w:rPr>
              <w:t>硬件采集单元ECG心电波形信号，QRS复合波可识别幅值区间0.5mV~5mV，QRS波间期识别区间70ms~120ms；心率检测区间覆盖30bpm~250bpm，</w:t>
            </w:r>
            <w:r>
              <w:rPr>
                <w:rFonts w:hint="eastAsia" w:ascii="宋体" w:hAnsi="宋体"/>
                <w:color w:val="auto"/>
                <w:sz w:val="24"/>
                <w:lang w:eastAsia="zh-CN"/>
              </w:rPr>
              <w:t>（</w:t>
            </w:r>
            <w:r>
              <w:rPr>
                <w:rFonts w:hint="eastAsia" w:ascii="宋体" w:hAnsi="宋体"/>
                <w:color w:val="auto"/>
                <w:sz w:val="24"/>
                <w:lang w:val="en-US" w:eastAsia="zh-CN"/>
              </w:rPr>
              <w:t>提供</w:t>
            </w:r>
            <w:r>
              <w:rPr>
                <w:rFonts w:hint="eastAsia" w:ascii="宋体" w:hAnsi="宋体"/>
                <w:color w:val="auto"/>
                <w:sz w:val="24"/>
                <w:lang w:eastAsia="zh-TW"/>
              </w:rPr>
              <w:t>检测检验报告</w:t>
            </w:r>
            <w:r>
              <w:rPr>
                <w:rFonts w:hint="eastAsia" w:ascii="宋体" w:hAnsi="宋体"/>
                <w:color w:val="auto"/>
                <w:sz w:val="24"/>
                <w:lang w:val="en-US" w:eastAsia="zh-CN"/>
              </w:rPr>
              <w:t>佐证）</w:t>
            </w:r>
            <w:r>
              <w:rPr>
                <w:rFonts w:hint="eastAsia" w:ascii="宋体" w:hAnsi="宋体"/>
                <w:color w:val="auto"/>
                <w:sz w:val="24"/>
                <w:lang w:eastAsia="zh-TW"/>
              </w:rPr>
              <w:t>。</w:t>
            </w:r>
          </w:p>
        </w:tc>
        <w:tc>
          <w:tcPr>
            <w:tcW w:w="817" w:type="dxa"/>
          </w:tcPr>
          <w:p w14:paraId="1093E34A">
            <w:pPr>
              <w:spacing w:line="276" w:lineRule="auto"/>
              <w:rPr>
                <w:rFonts w:asciiTheme="majorEastAsia" w:hAnsiTheme="majorEastAsia" w:eastAsiaTheme="majorEastAsia"/>
                <w:b/>
                <w:sz w:val="24"/>
                <w:szCs w:val="21"/>
              </w:rPr>
            </w:pPr>
          </w:p>
        </w:tc>
      </w:tr>
      <w:tr w14:paraId="47B0C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710" w:type="dxa"/>
          </w:tcPr>
          <w:p w14:paraId="6419D535">
            <w:pPr>
              <w:spacing w:line="276" w:lineRule="auto"/>
              <w:jc w:val="center"/>
              <w:rPr>
                <w:rFonts w:hint="default" w:asciiTheme="majorEastAsia" w:hAnsiTheme="majorEastAsia" w:eastAsiaTheme="majorEastAsia"/>
                <w:b w:val="0"/>
                <w:bCs/>
                <w:sz w:val="24"/>
                <w:szCs w:val="21"/>
                <w:lang w:val="en-US" w:eastAsia="zh-CN"/>
              </w:rPr>
            </w:pPr>
            <w:r>
              <w:rPr>
                <w:rFonts w:hint="eastAsia" w:asciiTheme="majorEastAsia" w:hAnsiTheme="majorEastAsia" w:eastAsiaTheme="majorEastAsia"/>
                <w:b w:val="0"/>
                <w:bCs/>
                <w:sz w:val="24"/>
                <w:szCs w:val="21"/>
                <w:lang w:val="en-US" w:eastAsia="zh-CN"/>
              </w:rPr>
              <w:t>6</w:t>
            </w:r>
          </w:p>
        </w:tc>
        <w:tc>
          <w:tcPr>
            <w:tcW w:w="935" w:type="dxa"/>
            <w:vMerge w:val="continue"/>
          </w:tcPr>
          <w:p w14:paraId="39DC6000">
            <w:pPr>
              <w:spacing w:line="276" w:lineRule="auto"/>
              <w:rPr>
                <w:rFonts w:asciiTheme="majorEastAsia" w:hAnsiTheme="majorEastAsia" w:eastAsiaTheme="majorEastAsia"/>
                <w:b/>
                <w:sz w:val="24"/>
                <w:szCs w:val="21"/>
              </w:rPr>
            </w:pPr>
          </w:p>
        </w:tc>
        <w:tc>
          <w:tcPr>
            <w:tcW w:w="7564" w:type="dxa"/>
            <w:gridSpan w:val="2"/>
          </w:tcPr>
          <w:p w14:paraId="17629727">
            <w:pPr>
              <w:spacing w:line="360" w:lineRule="auto"/>
              <w:rPr>
                <w:rFonts w:hint="eastAsia" w:ascii="宋体" w:hAnsi="宋体"/>
                <w:color w:val="auto"/>
                <w:sz w:val="24"/>
                <w:lang w:eastAsia="zh-TW"/>
              </w:rPr>
            </w:pPr>
            <w:r>
              <w:rPr>
                <w:rFonts w:hint="eastAsia" w:ascii="宋体" w:hAnsi="宋体"/>
                <w:color w:val="auto"/>
                <w:sz w:val="24"/>
                <w:lang w:val="en-US" w:eastAsia="zh-CN"/>
              </w:rPr>
              <w:t>具备</w:t>
            </w:r>
            <w:r>
              <w:rPr>
                <w:rFonts w:hint="eastAsia" w:ascii="宋体" w:hAnsi="宋体"/>
                <w:color w:val="auto"/>
                <w:sz w:val="24"/>
                <w:lang w:eastAsia="zh-TW"/>
              </w:rPr>
              <w:t>多模式检测工作方式</w:t>
            </w:r>
          </w:p>
          <w:p w14:paraId="3669D3EB">
            <w:pPr>
              <w:spacing w:line="360" w:lineRule="auto"/>
              <w:rPr>
                <w:rFonts w:hint="eastAsia" w:ascii="宋体" w:hAnsi="宋体"/>
                <w:color w:val="auto"/>
                <w:sz w:val="24"/>
                <w:lang w:eastAsia="zh-TW"/>
              </w:rPr>
            </w:pPr>
            <w:r>
              <w:rPr>
                <w:rFonts w:hint="eastAsia" w:ascii="宋体" w:hAnsi="宋体"/>
                <w:color w:val="auto"/>
                <w:sz w:val="24"/>
                <w:lang w:eastAsia="zh-TW"/>
              </w:rPr>
              <w:t>设备预设</w:t>
            </w:r>
            <w:r>
              <w:rPr>
                <w:rFonts w:hint="eastAsia" w:ascii="宋体" w:hAnsi="宋体"/>
                <w:color w:val="auto"/>
                <w:sz w:val="24"/>
                <w:lang w:val="en-US" w:eastAsia="zh-CN"/>
              </w:rPr>
              <w:t>≥</w:t>
            </w:r>
            <w:r>
              <w:rPr>
                <w:rFonts w:hint="eastAsia" w:ascii="宋体" w:hAnsi="宋体"/>
                <w:color w:val="auto"/>
                <w:sz w:val="24"/>
                <w:lang w:eastAsia="zh-TW"/>
              </w:rPr>
              <w:t>三种检测工作模式，分别为HRV自主神经健康测评模式、心理生理量表测评模式、心电波形ECG专项分析模式</w:t>
            </w:r>
            <w:r>
              <w:rPr>
                <w:rFonts w:hint="eastAsia" w:ascii="宋体" w:hAnsi="宋体"/>
                <w:color w:val="auto"/>
                <w:sz w:val="24"/>
                <w:lang w:eastAsia="zh-CN"/>
              </w:rPr>
              <w:t>（</w:t>
            </w:r>
            <w:r>
              <w:rPr>
                <w:rFonts w:hint="eastAsia" w:ascii="宋体" w:hAnsi="宋体"/>
                <w:color w:val="auto"/>
                <w:sz w:val="24"/>
                <w:lang w:val="en-US" w:eastAsia="zh-CN"/>
              </w:rPr>
              <w:t>提供</w:t>
            </w:r>
            <w:r>
              <w:rPr>
                <w:rFonts w:hint="eastAsia" w:ascii="宋体" w:hAnsi="宋体"/>
                <w:color w:val="auto"/>
                <w:sz w:val="24"/>
                <w:lang w:eastAsia="zh-TW"/>
              </w:rPr>
              <w:t>软件操作界面截图可佐证</w:t>
            </w:r>
            <w:r>
              <w:rPr>
                <w:rFonts w:hint="eastAsia" w:ascii="宋体" w:hAnsi="宋体"/>
                <w:color w:val="auto"/>
                <w:sz w:val="24"/>
                <w:lang w:eastAsia="zh-CN"/>
              </w:rPr>
              <w:t>）</w:t>
            </w:r>
            <w:r>
              <w:rPr>
                <w:rFonts w:hint="eastAsia" w:ascii="宋体" w:hAnsi="宋体"/>
                <w:color w:val="auto"/>
                <w:sz w:val="24"/>
                <w:lang w:eastAsia="zh-TW"/>
              </w:rPr>
              <w:t>。</w:t>
            </w:r>
          </w:p>
        </w:tc>
        <w:tc>
          <w:tcPr>
            <w:tcW w:w="817" w:type="dxa"/>
          </w:tcPr>
          <w:p w14:paraId="591363C4">
            <w:pPr>
              <w:spacing w:line="276" w:lineRule="auto"/>
              <w:rPr>
                <w:rFonts w:asciiTheme="majorEastAsia" w:hAnsiTheme="majorEastAsia" w:eastAsiaTheme="majorEastAsia"/>
                <w:b/>
                <w:sz w:val="24"/>
                <w:szCs w:val="21"/>
              </w:rPr>
            </w:pPr>
          </w:p>
        </w:tc>
      </w:tr>
      <w:tr w14:paraId="70D8C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710" w:type="dxa"/>
          </w:tcPr>
          <w:p w14:paraId="77E4545F">
            <w:pPr>
              <w:spacing w:line="276" w:lineRule="auto"/>
              <w:jc w:val="center"/>
              <w:rPr>
                <w:rFonts w:hint="eastAsia" w:asciiTheme="majorEastAsia" w:hAnsiTheme="majorEastAsia" w:eastAsiaTheme="majorEastAsia"/>
                <w:b w:val="0"/>
                <w:bCs/>
                <w:sz w:val="24"/>
                <w:szCs w:val="21"/>
                <w:lang w:val="en-US" w:eastAsia="zh-CN"/>
              </w:rPr>
            </w:pPr>
            <w:r>
              <w:rPr>
                <w:rFonts w:hint="eastAsia" w:asciiTheme="majorEastAsia" w:hAnsiTheme="majorEastAsia" w:eastAsiaTheme="majorEastAsia"/>
                <w:b w:val="0"/>
                <w:bCs/>
                <w:sz w:val="24"/>
                <w:szCs w:val="21"/>
                <w:lang w:val="en-US" w:eastAsia="zh-CN"/>
              </w:rPr>
              <w:t>7</w:t>
            </w:r>
          </w:p>
        </w:tc>
        <w:tc>
          <w:tcPr>
            <w:tcW w:w="935" w:type="dxa"/>
            <w:vMerge w:val="continue"/>
          </w:tcPr>
          <w:p w14:paraId="5EE33B0B">
            <w:pPr>
              <w:spacing w:line="276" w:lineRule="auto"/>
              <w:rPr>
                <w:rFonts w:asciiTheme="majorEastAsia" w:hAnsiTheme="majorEastAsia" w:eastAsiaTheme="majorEastAsia"/>
                <w:b/>
                <w:sz w:val="24"/>
                <w:szCs w:val="21"/>
              </w:rPr>
            </w:pPr>
          </w:p>
        </w:tc>
        <w:tc>
          <w:tcPr>
            <w:tcW w:w="7564" w:type="dxa"/>
            <w:gridSpan w:val="2"/>
          </w:tcPr>
          <w:p w14:paraId="5E59A0D6">
            <w:pPr>
              <w:spacing w:line="360" w:lineRule="auto"/>
              <w:rPr>
                <w:rFonts w:hint="eastAsia" w:ascii="宋体" w:hAnsi="宋体"/>
                <w:b w:val="0"/>
                <w:bCs w:val="0"/>
                <w:color w:val="auto"/>
                <w:sz w:val="24"/>
                <w:lang w:eastAsia="zh-TW"/>
              </w:rPr>
            </w:pPr>
            <w:r>
              <w:rPr>
                <w:rFonts w:hint="eastAsia" w:ascii="宋体" w:hAnsi="宋体"/>
                <w:b w:val="0"/>
                <w:bCs w:val="0"/>
                <w:color w:val="auto"/>
                <w:sz w:val="24"/>
                <w:lang w:eastAsia="zh-TW"/>
              </w:rPr>
              <w:t>系统可自动生成至少三类标准化检测报告：心率变异性综合健康评估报告书、配套量表测评分析报告、心电节律ECG专项分析报告，</w:t>
            </w:r>
            <w:r>
              <w:rPr>
                <w:rFonts w:hint="eastAsia" w:ascii="宋体" w:hAnsi="宋体"/>
                <w:b w:val="0"/>
                <w:bCs w:val="0"/>
                <w:color w:val="auto"/>
                <w:sz w:val="24"/>
                <w:lang w:eastAsia="zh-CN"/>
              </w:rPr>
              <w:t>（</w:t>
            </w:r>
            <w:r>
              <w:rPr>
                <w:rFonts w:hint="eastAsia" w:ascii="宋体" w:hAnsi="宋体"/>
                <w:b w:val="0"/>
                <w:bCs w:val="0"/>
                <w:color w:val="auto"/>
                <w:sz w:val="24"/>
                <w:lang w:val="en-US" w:eastAsia="zh-CN"/>
              </w:rPr>
              <w:t>提供软件</w:t>
            </w:r>
            <w:r>
              <w:rPr>
                <w:rFonts w:hint="eastAsia" w:ascii="宋体" w:hAnsi="宋体"/>
                <w:b w:val="0"/>
                <w:bCs w:val="0"/>
                <w:color w:val="auto"/>
                <w:sz w:val="24"/>
                <w:lang w:eastAsia="zh-TW"/>
              </w:rPr>
              <w:t>界面截图</w:t>
            </w:r>
            <w:r>
              <w:rPr>
                <w:rFonts w:hint="eastAsia" w:ascii="宋体" w:hAnsi="宋体"/>
                <w:b w:val="0"/>
                <w:bCs w:val="0"/>
                <w:color w:val="auto"/>
                <w:sz w:val="24"/>
                <w:lang w:val="en-US" w:eastAsia="zh-CN"/>
              </w:rPr>
              <w:t>佐证</w:t>
            </w:r>
            <w:r>
              <w:rPr>
                <w:rFonts w:hint="eastAsia" w:ascii="宋体" w:hAnsi="宋体"/>
                <w:b w:val="0"/>
                <w:bCs w:val="0"/>
                <w:color w:val="auto"/>
                <w:sz w:val="24"/>
                <w:lang w:eastAsia="zh-CN"/>
              </w:rPr>
              <w:t>）</w:t>
            </w:r>
            <w:r>
              <w:rPr>
                <w:rFonts w:hint="eastAsia" w:ascii="宋体" w:hAnsi="宋体"/>
                <w:b w:val="0"/>
                <w:bCs w:val="0"/>
                <w:color w:val="auto"/>
                <w:sz w:val="24"/>
                <w:lang w:eastAsia="zh-TW"/>
              </w:rPr>
              <w:t>。</w:t>
            </w:r>
          </w:p>
        </w:tc>
        <w:tc>
          <w:tcPr>
            <w:tcW w:w="817" w:type="dxa"/>
          </w:tcPr>
          <w:p w14:paraId="31C1B4D4">
            <w:pPr>
              <w:spacing w:line="276" w:lineRule="auto"/>
              <w:rPr>
                <w:rFonts w:asciiTheme="majorEastAsia" w:hAnsiTheme="majorEastAsia" w:eastAsiaTheme="majorEastAsia"/>
                <w:b/>
                <w:sz w:val="24"/>
                <w:szCs w:val="21"/>
              </w:rPr>
            </w:pPr>
          </w:p>
        </w:tc>
      </w:tr>
      <w:tr w14:paraId="13C99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710" w:type="dxa"/>
          </w:tcPr>
          <w:p w14:paraId="6D3F6F5C">
            <w:pPr>
              <w:spacing w:line="276" w:lineRule="auto"/>
              <w:jc w:val="center"/>
              <w:rPr>
                <w:rFonts w:hint="eastAsia" w:asciiTheme="majorEastAsia" w:hAnsiTheme="majorEastAsia" w:eastAsiaTheme="majorEastAsia"/>
                <w:b w:val="0"/>
                <w:bCs/>
                <w:sz w:val="24"/>
                <w:szCs w:val="21"/>
                <w:lang w:val="en-US" w:eastAsia="zh-CN"/>
              </w:rPr>
            </w:pPr>
            <w:r>
              <w:rPr>
                <w:rFonts w:ascii="宋体" w:hAnsi="宋体"/>
                <w:b w:val="0"/>
                <w:bCs/>
                <w:color w:val="auto"/>
                <w:sz w:val="24"/>
                <w:lang w:eastAsia="zh-TW"/>
              </w:rPr>
              <w:t>8</w:t>
            </w:r>
          </w:p>
        </w:tc>
        <w:tc>
          <w:tcPr>
            <w:tcW w:w="935" w:type="dxa"/>
            <w:vMerge w:val="continue"/>
          </w:tcPr>
          <w:p w14:paraId="23071A0E">
            <w:pPr>
              <w:spacing w:line="276" w:lineRule="auto"/>
              <w:rPr>
                <w:rFonts w:asciiTheme="majorEastAsia" w:hAnsiTheme="majorEastAsia" w:eastAsiaTheme="majorEastAsia"/>
                <w:b/>
                <w:sz w:val="24"/>
                <w:szCs w:val="21"/>
              </w:rPr>
            </w:pPr>
          </w:p>
        </w:tc>
        <w:tc>
          <w:tcPr>
            <w:tcW w:w="7564" w:type="dxa"/>
            <w:gridSpan w:val="2"/>
          </w:tcPr>
          <w:p w14:paraId="3D5669F9">
            <w:pPr>
              <w:spacing w:line="360" w:lineRule="auto"/>
              <w:rPr>
                <w:rFonts w:hint="eastAsia" w:ascii="宋体" w:hAnsi="宋体" w:eastAsia="宋体"/>
                <w:b w:val="0"/>
                <w:bCs w:val="0"/>
                <w:color w:val="auto"/>
                <w:sz w:val="24"/>
                <w:lang w:eastAsia="zh-CN"/>
              </w:rPr>
            </w:pPr>
            <w:r>
              <w:rPr>
                <w:rFonts w:hint="eastAsia" w:ascii="宋体" w:hAnsi="宋体"/>
                <w:b w:val="0"/>
                <w:bCs w:val="0"/>
                <w:color w:val="auto"/>
                <w:sz w:val="24"/>
                <w:lang w:eastAsia="zh-TW"/>
              </w:rPr>
              <w:t>依托采集到的心电原始波形数据，算法智能测算躯体应激压力指数、心理情绪压力指数、</w:t>
            </w:r>
            <w:r>
              <w:rPr>
                <w:rFonts w:hint="eastAsia" w:ascii="宋体" w:hAnsi="宋体"/>
                <w:b w:val="0"/>
                <w:bCs w:val="0"/>
                <w:color w:val="auto"/>
                <w:sz w:val="24"/>
                <w:lang w:val="en-US" w:eastAsia="zh-CN"/>
              </w:rPr>
              <w:t>自主</w:t>
            </w:r>
            <w:r>
              <w:rPr>
                <w:rFonts w:hint="eastAsia" w:ascii="宋体" w:hAnsi="宋体"/>
                <w:b w:val="0"/>
                <w:bCs w:val="0"/>
                <w:color w:val="auto"/>
                <w:sz w:val="24"/>
                <w:lang w:eastAsia="zh-TW"/>
              </w:rPr>
              <w:t>应激耐受能力、自主神经整体活跃度、交感副交感神经均衡度、心脏节律稳定系数等综合评估维度</w:t>
            </w:r>
            <w:r>
              <w:rPr>
                <w:rFonts w:hint="eastAsia" w:ascii="宋体" w:hAnsi="宋体"/>
                <w:b w:val="0"/>
                <w:bCs w:val="0"/>
                <w:color w:val="auto"/>
                <w:sz w:val="24"/>
                <w:lang w:eastAsia="zh-CN"/>
              </w:rPr>
              <w:t>（</w:t>
            </w:r>
            <w:r>
              <w:rPr>
                <w:rFonts w:hint="eastAsia" w:ascii="宋体" w:hAnsi="宋体"/>
                <w:b w:val="0"/>
                <w:bCs w:val="0"/>
                <w:color w:val="auto"/>
                <w:sz w:val="24"/>
                <w:lang w:val="en-US" w:eastAsia="zh-CN"/>
              </w:rPr>
              <w:t>提供</w:t>
            </w:r>
            <w:r>
              <w:rPr>
                <w:rFonts w:hint="eastAsia" w:ascii="宋体" w:hAnsi="宋体"/>
                <w:b w:val="0"/>
                <w:bCs w:val="0"/>
                <w:color w:val="auto"/>
                <w:sz w:val="24"/>
                <w:lang w:eastAsia="zh-TW"/>
              </w:rPr>
              <w:t>软件功能界面截图佐证</w:t>
            </w:r>
            <w:r>
              <w:rPr>
                <w:rFonts w:hint="eastAsia" w:ascii="宋体" w:hAnsi="宋体"/>
                <w:b w:val="0"/>
                <w:bCs w:val="0"/>
                <w:color w:val="auto"/>
                <w:sz w:val="24"/>
                <w:lang w:eastAsia="zh-CN"/>
              </w:rPr>
              <w:t>）</w:t>
            </w:r>
            <w:r>
              <w:rPr>
                <w:rFonts w:hint="eastAsia" w:ascii="宋体" w:hAnsi="宋体"/>
                <w:b w:val="0"/>
                <w:bCs w:val="0"/>
                <w:color w:val="auto"/>
                <w:sz w:val="24"/>
                <w:lang w:eastAsia="zh-TW"/>
              </w:rPr>
              <w:t>。</w:t>
            </w:r>
          </w:p>
        </w:tc>
        <w:tc>
          <w:tcPr>
            <w:tcW w:w="817" w:type="dxa"/>
          </w:tcPr>
          <w:p w14:paraId="767E5110">
            <w:pPr>
              <w:spacing w:line="276" w:lineRule="auto"/>
              <w:rPr>
                <w:rFonts w:asciiTheme="majorEastAsia" w:hAnsiTheme="majorEastAsia" w:eastAsiaTheme="majorEastAsia"/>
                <w:b/>
                <w:sz w:val="24"/>
                <w:szCs w:val="21"/>
              </w:rPr>
            </w:pPr>
          </w:p>
        </w:tc>
      </w:tr>
      <w:tr w14:paraId="3EEC6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710" w:type="dxa"/>
          </w:tcPr>
          <w:p w14:paraId="15851C03">
            <w:pPr>
              <w:spacing w:line="276" w:lineRule="auto"/>
              <w:jc w:val="center"/>
              <w:rPr>
                <w:rFonts w:hint="default" w:asciiTheme="majorEastAsia" w:hAnsiTheme="majorEastAsia" w:eastAsiaTheme="majorEastAsia"/>
                <w:b w:val="0"/>
                <w:bCs/>
                <w:sz w:val="24"/>
                <w:szCs w:val="21"/>
                <w:lang w:val="en-US" w:eastAsia="zh-CN"/>
              </w:rPr>
            </w:pPr>
            <w:r>
              <w:rPr>
                <w:rFonts w:hint="eastAsia" w:asciiTheme="majorEastAsia" w:hAnsiTheme="majorEastAsia" w:eastAsiaTheme="majorEastAsia"/>
                <w:b w:val="0"/>
                <w:bCs/>
                <w:sz w:val="24"/>
                <w:szCs w:val="21"/>
                <w:lang w:val="en-US" w:eastAsia="zh-CN"/>
              </w:rPr>
              <w:t>9</w:t>
            </w:r>
          </w:p>
        </w:tc>
        <w:tc>
          <w:tcPr>
            <w:tcW w:w="935" w:type="dxa"/>
            <w:vMerge w:val="continue"/>
          </w:tcPr>
          <w:p w14:paraId="574B4AE7">
            <w:pPr>
              <w:spacing w:line="276" w:lineRule="auto"/>
              <w:rPr>
                <w:rFonts w:asciiTheme="majorEastAsia" w:hAnsiTheme="majorEastAsia" w:eastAsiaTheme="majorEastAsia"/>
                <w:b/>
                <w:sz w:val="24"/>
                <w:szCs w:val="21"/>
              </w:rPr>
            </w:pPr>
          </w:p>
        </w:tc>
        <w:tc>
          <w:tcPr>
            <w:tcW w:w="7564" w:type="dxa"/>
            <w:gridSpan w:val="2"/>
          </w:tcPr>
          <w:p w14:paraId="0FFB48AA">
            <w:pPr>
              <w:spacing w:line="360" w:lineRule="auto"/>
              <w:rPr>
                <w:rFonts w:hint="eastAsia" w:asciiTheme="majorEastAsia" w:hAnsiTheme="majorEastAsia" w:eastAsiaTheme="majorEastAsia"/>
                <w:b w:val="0"/>
                <w:bCs w:val="0"/>
                <w:sz w:val="24"/>
                <w:szCs w:val="21"/>
                <w:highlight w:val="yellow"/>
              </w:rPr>
            </w:pPr>
            <w:r>
              <w:rPr>
                <w:rFonts w:hint="eastAsia"/>
                <w:sz w:val="24"/>
                <w:szCs w:val="32"/>
              </w:rPr>
              <w:t>软件系统支持本次检测全程心电原始数据自动回放、手动拖拽定点回放两种回看方式；通过对连续心电波形逐跳解析，统计预判室性早搏、室上性早搏以及各类心律不齐发生频次</w:t>
            </w:r>
            <w:r>
              <w:rPr>
                <w:rFonts w:hint="eastAsia" w:ascii="宋体" w:hAnsi="宋体"/>
                <w:b w:val="0"/>
                <w:bCs w:val="0"/>
                <w:color w:val="auto"/>
                <w:sz w:val="24"/>
              </w:rPr>
              <w:t>。</w:t>
            </w:r>
            <w:r>
              <w:rPr>
                <w:rFonts w:hint="eastAsia" w:ascii="宋体" w:hAnsi="宋体"/>
                <w:b w:val="0"/>
                <w:bCs w:val="0"/>
                <w:color w:val="auto"/>
                <w:sz w:val="24"/>
                <w:lang w:eastAsia="zh-TW"/>
              </w:rPr>
              <w:t>(需出示软件截图)</w:t>
            </w:r>
          </w:p>
        </w:tc>
        <w:tc>
          <w:tcPr>
            <w:tcW w:w="817" w:type="dxa"/>
          </w:tcPr>
          <w:p w14:paraId="777E4683">
            <w:pPr>
              <w:spacing w:line="276" w:lineRule="auto"/>
              <w:rPr>
                <w:rFonts w:asciiTheme="majorEastAsia" w:hAnsiTheme="majorEastAsia" w:eastAsiaTheme="majorEastAsia"/>
                <w:b/>
                <w:sz w:val="24"/>
                <w:szCs w:val="21"/>
              </w:rPr>
            </w:pPr>
          </w:p>
        </w:tc>
      </w:tr>
      <w:tr w14:paraId="78CBF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710" w:type="dxa"/>
          </w:tcPr>
          <w:p w14:paraId="07789AB1">
            <w:pPr>
              <w:spacing w:line="276" w:lineRule="auto"/>
              <w:jc w:val="center"/>
              <w:rPr>
                <w:rFonts w:hint="default" w:asciiTheme="majorEastAsia" w:hAnsiTheme="majorEastAsia" w:eastAsiaTheme="majorEastAsia"/>
                <w:b w:val="0"/>
                <w:bCs/>
                <w:sz w:val="24"/>
                <w:szCs w:val="21"/>
                <w:lang w:val="en-US" w:eastAsia="zh-CN"/>
              </w:rPr>
            </w:pPr>
            <w:r>
              <w:rPr>
                <w:rFonts w:hint="eastAsia" w:asciiTheme="majorEastAsia" w:hAnsiTheme="majorEastAsia" w:eastAsiaTheme="majorEastAsia"/>
                <w:b w:val="0"/>
                <w:bCs/>
                <w:sz w:val="24"/>
                <w:szCs w:val="21"/>
                <w:lang w:val="en-US" w:eastAsia="zh-CN"/>
              </w:rPr>
              <w:t>10</w:t>
            </w:r>
          </w:p>
        </w:tc>
        <w:tc>
          <w:tcPr>
            <w:tcW w:w="935" w:type="dxa"/>
            <w:vMerge w:val="continue"/>
          </w:tcPr>
          <w:p w14:paraId="4FEF596B">
            <w:pPr>
              <w:spacing w:line="276" w:lineRule="auto"/>
              <w:rPr>
                <w:rFonts w:asciiTheme="majorEastAsia" w:hAnsiTheme="majorEastAsia" w:eastAsiaTheme="majorEastAsia"/>
                <w:b/>
                <w:sz w:val="24"/>
                <w:szCs w:val="21"/>
              </w:rPr>
            </w:pPr>
          </w:p>
        </w:tc>
        <w:tc>
          <w:tcPr>
            <w:tcW w:w="7564" w:type="dxa"/>
            <w:gridSpan w:val="2"/>
          </w:tcPr>
          <w:p w14:paraId="1ECB12B4">
            <w:pPr>
              <w:spacing w:line="360" w:lineRule="auto"/>
              <w:rPr>
                <w:rFonts w:hint="eastAsia" w:asciiTheme="majorEastAsia" w:hAnsiTheme="majorEastAsia" w:eastAsiaTheme="majorEastAsia"/>
                <w:b w:val="0"/>
                <w:bCs w:val="0"/>
                <w:sz w:val="24"/>
                <w:szCs w:val="21"/>
                <w:highlight w:val="yellow"/>
              </w:rPr>
            </w:pPr>
            <w:r>
              <w:rPr>
                <w:rFonts w:hint="eastAsia" w:ascii="宋体" w:hAnsi="宋体"/>
                <w:b w:val="0"/>
                <w:bCs w:val="0"/>
                <w:color w:val="auto"/>
                <w:sz w:val="24"/>
                <w:lang w:eastAsia="zh-TW"/>
              </w:rPr>
              <w:t>心率变异分析软件具有病人管理、结果管理、数据统计</w:t>
            </w:r>
            <w:r>
              <w:rPr>
                <w:rFonts w:hint="eastAsia" w:ascii="宋体" w:hAnsi="宋体"/>
                <w:b w:val="0"/>
                <w:bCs w:val="0"/>
                <w:color w:val="auto"/>
                <w:sz w:val="24"/>
              </w:rPr>
              <w:t>等</w:t>
            </w:r>
            <w:r>
              <w:rPr>
                <w:rFonts w:hint="eastAsia" w:ascii="宋体" w:hAnsi="宋体"/>
                <w:b w:val="0"/>
                <w:bCs w:val="0"/>
                <w:color w:val="auto"/>
                <w:sz w:val="24"/>
                <w:lang w:eastAsia="zh-TW"/>
              </w:rPr>
              <w:t>功能。</w:t>
            </w:r>
          </w:p>
        </w:tc>
        <w:tc>
          <w:tcPr>
            <w:tcW w:w="817" w:type="dxa"/>
          </w:tcPr>
          <w:p w14:paraId="103779AE">
            <w:pPr>
              <w:spacing w:line="276" w:lineRule="auto"/>
              <w:rPr>
                <w:rFonts w:asciiTheme="majorEastAsia" w:hAnsiTheme="majorEastAsia" w:eastAsiaTheme="majorEastAsia"/>
                <w:b/>
                <w:sz w:val="24"/>
                <w:szCs w:val="21"/>
              </w:rPr>
            </w:pPr>
          </w:p>
        </w:tc>
      </w:tr>
      <w:tr w14:paraId="33227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710" w:type="dxa"/>
          </w:tcPr>
          <w:p w14:paraId="1CA74ED8">
            <w:pPr>
              <w:spacing w:line="276" w:lineRule="auto"/>
              <w:jc w:val="center"/>
              <w:rPr>
                <w:rFonts w:hint="default" w:asciiTheme="majorEastAsia" w:hAnsiTheme="majorEastAsia" w:eastAsiaTheme="majorEastAsia"/>
                <w:b w:val="0"/>
                <w:bCs/>
                <w:sz w:val="24"/>
                <w:szCs w:val="21"/>
                <w:lang w:val="en-US" w:eastAsia="zh-CN"/>
              </w:rPr>
            </w:pPr>
            <w:r>
              <w:rPr>
                <w:rFonts w:hint="eastAsia" w:asciiTheme="majorEastAsia" w:hAnsiTheme="majorEastAsia" w:eastAsiaTheme="majorEastAsia"/>
                <w:b w:val="0"/>
                <w:bCs/>
                <w:sz w:val="24"/>
                <w:szCs w:val="21"/>
                <w:lang w:val="en-US" w:eastAsia="zh-CN"/>
              </w:rPr>
              <w:t>11</w:t>
            </w:r>
          </w:p>
        </w:tc>
        <w:tc>
          <w:tcPr>
            <w:tcW w:w="935" w:type="dxa"/>
            <w:vMerge w:val="continue"/>
          </w:tcPr>
          <w:p w14:paraId="523015C3">
            <w:pPr>
              <w:spacing w:line="276" w:lineRule="auto"/>
              <w:rPr>
                <w:rFonts w:asciiTheme="majorEastAsia" w:hAnsiTheme="majorEastAsia" w:eastAsiaTheme="majorEastAsia"/>
                <w:b/>
                <w:sz w:val="24"/>
                <w:szCs w:val="21"/>
              </w:rPr>
            </w:pPr>
          </w:p>
        </w:tc>
        <w:tc>
          <w:tcPr>
            <w:tcW w:w="7564" w:type="dxa"/>
            <w:gridSpan w:val="2"/>
          </w:tcPr>
          <w:p w14:paraId="586A63F3">
            <w:pPr>
              <w:spacing w:line="360" w:lineRule="auto"/>
              <w:rPr>
                <w:rFonts w:hint="eastAsia" w:asciiTheme="majorEastAsia" w:hAnsiTheme="majorEastAsia" w:eastAsiaTheme="majorEastAsia"/>
                <w:b w:val="0"/>
                <w:bCs w:val="0"/>
                <w:sz w:val="24"/>
                <w:szCs w:val="21"/>
                <w:highlight w:val="yellow"/>
              </w:rPr>
            </w:pPr>
            <w:r>
              <w:rPr>
                <w:rFonts w:ascii="宋体" w:hAnsi="宋体"/>
                <w:b w:val="0"/>
                <w:bCs w:val="0"/>
                <w:color w:val="auto"/>
                <w:sz w:val="24"/>
              </w:rPr>
              <w:t>数据统计：</w:t>
            </w:r>
            <w:r>
              <w:rPr>
                <w:rFonts w:hint="eastAsia" w:ascii="宋体" w:hAnsi="宋体"/>
                <w:b w:val="0"/>
                <w:bCs w:val="0"/>
                <w:color w:val="auto"/>
                <w:sz w:val="24"/>
                <w:lang w:eastAsia="zh-TW"/>
              </w:rPr>
              <w:t>数据统计支持对同一项目下不同患者的结果进行统计对比</w:t>
            </w:r>
            <w:r>
              <w:rPr>
                <w:rFonts w:hint="eastAsia" w:ascii="宋体" w:hAnsi="宋体"/>
                <w:b w:val="0"/>
                <w:bCs w:val="0"/>
                <w:color w:val="auto"/>
                <w:sz w:val="24"/>
              </w:rPr>
              <w:t>，</w:t>
            </w:r>
            <w:r>
              <w:rPr>
                <w:rFonts w:hint="eastAsia" w:ascii="宋体" w:hAnsi="宋体"/>
                <w:b w:val="0"/>
                <w:bCs w:val="0"/>
                <w:color w:val="auto"/>
                <w:sz w:val="24"/>
                <w:lang w:eastAsia="zh-TW"/>
              </w:rPr>
              <w:t>也可以对同一患者不同时间的检查结果进行统计对比</w:t>
            </w:r>
            <w:r>
              <w:rPr>
                <w:rFonts w:hint="eastAsia" w:ascii="宋体" w:hAnsi="宋体"/>
                <w:b w:val="0"/>
                <w:bCs w:val="0"/>
                <w:color w:val="auto"/>
                <w:sz w:val="24"/>
              </w:rPr>
              <w:t>。（</w:t>
            </w:r>
            <w:r>
              <w:rPr>
                <w:rFonts w:hint="eastAsia" w:ascii="宋体" w:hAnsi="宋体"/>
                <w:b w:val="0"/>
                <w:bCs w:val="0"/>
                <w:color w:val="auto"/>
                <w:sz w:val="24"/>
                <w:lang w:eastAsia="zh-TW"/>
              </w:rPr>
              <w:t>提供检测报告</w:t>
            </w:r>
            <w:r>
              <w:rPr>
                <w:rFonts w:hint="eastAsia" w:ascii="宋体" w:hAnsi="宋体"/>
                <w:b w:val="0"/>
                <w:bCs w:val="0"/>
                <w:color w:val="auto"/>
                <w:sz w:val="24"/>
              </w:rPr>
              <w:t>）</w:t>
            </w:r>
          </w:p>
        </w:tc>
        <w:tc>
          <w:tcPr>
            <w:tcW w:w="817" w:type="dxa"/>
          </w:tcPr>
          <w:p w14:paraId="21F8FAAD">
            <w:pPr>
              <w:spacing w:line="276" w:lineRule="auto"/>
              <w:rPr>
                <w:rFonts w:asciiTheme="majorEastAsia" w:hAnsiTheme="majorEastAsia" w:eastAsiaTheme="majorEastAsia"/>
                <w:b/>
                <w:sz w:val="24"/>
                <w:szCs w:val="21"/>
              </w:rPr>
            </w:pPr>
          </w:p>
        </w:tc>
      </w:tr>
      <w:tr w14:paraId="1912B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710" w:type="dxa"/>
          </w:tcPr>
          <w:p w14:paraId="5E736D05">
            <w:pPr>
              <w:spacing w:line="276" w:lineRule="auto"/>
              <w:jc w:val="center"/>
              <w:rPr>
                <w:rFonts w:hint="default" w:asciiTheme="majorEastAsia" w:hAnsiTheme="majorEastAsia" w:eastAsiaTheme="majorEastAsia"/>
                <w:b w:val="0"/>
                <w:bCs/>
                <w:sz w:val="24"/>
                <w:szCs w:val="21"/>
                <w:lang w:val="en-US" w:eastAsia="zh-CN"/>
              </w:rPr>
            </w:pPr>
            <w:r>
              <w:rPr>
                <w:rFonts w:hint="eastAsia" w:asciiTheme="majorEastAsia" w:hAnsiTheme="majorEastAsia" w:eastAsiaTheme="majorEastAsia"/>
                <w:b w:val="0"/>
                <w:bCs/>
                <w:sz w:val="24"/>
                <w:szCs w:val="21"/>
                <w:lang w:val="en-US" w:eastAsia="zh-CN"/>
              </w:rPr>
              <w:t>12</w:t>
            </w:r>
          </w:p>
        </w:tc>
        <w:tc>
          <w:tcPr>
            <w:tcW w:w="935" w:type="dxa"/>
            <w:vMerge w:val="continue"/>
          </w:tcPr>
          <w:p w14:paraId="06391A33">
            <w:pPr>
              <w:spacing w:line="276" w:lineRule="auto"/>
              <w:rPr>
                <w:rFonts w:asciiTheme="majorEastAsia" w:hAnsiTheme="majorEastAsia" w:eastAsiaTheme="majorEastAsia"/>
                <w:b/>
                <w:sz w:val="24"/>
                <w:szCs w:val="21"/>
              </w:rPr>
            </w:pPr>
          </w:p>
        </w:tc>
        <w:tc>
          <w:tcPr>
            <w:tcW w:w="7564" w:type="dxa"/>
            <w:gridSpan w:val="2"/>
          </w:tcPr>
          <w:p w14:paraId="27E22682">
            <w:pPr>
              <w:spacing w:line="360" w:lineRule="auto"/>
              <w:rPr>
                <w:rFonts w:hint="eastAsia" w:asciiTheme="majorEastAsia" w:hAnsiTheme="majorEastAsia" w:eastAsiaTheme="majorEastAsia"/>
                <w:b w:val="0"/>
                <w:bCs w:val="0"/>
                <w:sz w:val="24"/>
                <w:szCs w:val="21"/>
                <w:highlight w:val="yellow"/>
              </w:rPr>
            </w:pPr>
            <w:r>
              <w:rPr>
                <w:rFonts w:hint="eastAsia" w:ascii="宋体" w:hAnsi="宋体"/>
                <w:b w:val="0"/>
                <w:bCs w:val="0"/>
                <w:color w:val="auto"/>
                <w:sz w:val="24"/>
              </w:rPr>
              <w:t>软件</w:t>
            </w:r>
            <w:r>
              <w:rPr>
                <w:rFonts w:ascii="宋体" w:hAnsi="宋体"/>
                <w:b w:val="0"/>
                <w:bCs w:val="0"/>
                <w:color w:val="auto"/>
                <w:sz w:val="24"/>
              </w:rPr>
              <w:t>支持检查数据一键导入导出和患者信息一键导入功能。（提供软件功能截图）</w:t>
            </w:r>
          </w:p>
        </w:tc>
        <w:tc>
          <w:tcPr>
            <w:tcW w:w="817" w:type="dxa"/>
          </w:tcPr>
          <w:p w14:paraId="61F50CD0">
            <w:pPr>
              <w:spacing w:line="276" w:lineRule="auto"/>
              <w:rPr>
                <w:rFonts w:asciiTheme="majorEastAsia" w:hAnsiTheme="majorEastAsia" w:eastAsiaTheme="majorEastAsia"/>
                <w:b/>
                <w:sz w:val="24"/>
                <w:szCs w:val="21"/>
              </w:rPr>
            </w:pPr>
          </w:p>
        </w:tc>
      </w:tr>
      <w:tr w14:paraId="2DD61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710" w:type="dxa"/>
          </w:tcPr>
          <w:p w14:paraId="30B79609">
            <w:pPr>
              <w:spacing w:line="276" w:lineRule="auto"/>
              <w:jc w:val="center"/>
              <w:rPr>
                <w:rFonts w:hint="default" w:asciiTheme="majorEastAsia" w:hAnsiTheme="majorEastAsia" w:eastAsiaTheme="majorEastAsia"/>
                <w:b w:val="0"/>
                <w:bCs/>
                <w:sz w:val="24"/>
                <w:szCs w:val="21"/>
                <w:lang w:val="en-US" w:eastAsia="zh-CN"/>
              </w:rPr>
            </w:pPr>
            <w:r>
              <w:rPr>
                <w:rFonts w:hint="eastAsia" w:asciiTheme="majorEastAsia" w:hAnsiTheme="majorEastAsia" w:eastAsiaTheme="majorEastAsia"/>
                <w:b w:val="0"/>
                <w:bCs/>
                <w:sz w:val="24"/>
                <w:szCs w:val="21"/>
                <w:lang w:val="en-US" w:eastAsia="zh-CN"/>
              </w:rPr>
              <w:t>13</w:t>
            </w:r>
          </w:p>
        </w:tc>
        <w:tc>
          <w:tcPr>
            <w:tcW w:w="935" w:type="dxa"/>
            <w:vMerge w:val="continue"/>
          </w:tcPr>
          <w:p w14:paraId="420FD8FC">
            <w:pPr>
              <w:spacing w:line="276" w:lineRule="auto"/>
              <w:rPr>
                <w:rFonts w:asciiTheme="majorEastAsia" w:hAnsiTheme="majorEastAsia" w:eastAsiaTheme="majorEastAsia"/>
                <w:b/>
                <w:sz w:val="24"/>
                <w:szCs w:val="21"/>
              </w:rPr>
            </w:pPr>
          </w:p>
        </w:tc>
        <w:tc>
          <w:tcPr>
            <w:tcW w:w="7564" w:type="dxa"/>
            <w:gridSpan w:val="2"/>
          </w:tcPr>
          <w:p w14:paraId="5870DF7B">
            <w:pPr>
              <w:spacing w:line="360" w:lineRule="auto"/>
              <w:rPr>
                <w:rFonts w:hint="eastAsia" w:ascii="宋体" w:hAnsi="宋体" w:cs="宋体"/>
                <w:color w:val="auto"/>
                <w:sz w:val="24"/>
                <w:lang w:eastAsia="zh-TW"/>
              </w:rPr>
            </w:pPr>
            <w:r>
              <w:rPr>
                <w:rFonts w:hint="eastAsia" w:ascii="宋体" w:hAnsi="宋体"/>
                <w:b w:val="0"/>
                <w:bCs w:val="0"/>
                <w:color w:val="auto"/>
                <w:sz w:val="24"/>
              </w:rPr>
              <w:t>具备生理心电信号硬件采样频率</w:t>
            </w:r>
            <w:r>
              <w:rPr>
                <w:rFonts w:hint="eastAsia" w:ascii="宋体" w:hAnsi="宋体"/>
                <w:b w:val="0"/>
                <w:bCs w:val="0"/>
                <w:color w:val="auto"/>
                <w:sz w:val="24"/>
                <w:lang w:val="en-US" w:eastAsia="zh-CN"/>
              </w:rPr>
              <w:t>≥</w:t>
            </w:r>
            <w:r>
              <w:rPr>
                <w:rFonts w:hint="eastAsia" w:ascii="宋体" w:hAnsi="宋体"/>
                <w:b w:val="0"/>
                <w:bCs w:val="0"/>
                <w:color w:val="auto"/>
                <w:sz w:val="24"/>
              </w:rPr>
              <w:t>500Hz，保障波形细节还原度，</w:t>
            </w:r>
            <w:r>
              <w:rPr>
                <w:rFonts w:hint="eastAsia" w:ascii="宋体" w:hAnsi="宋体"/>
                <w:b w:val="0"/>
                <w:bCs w:val="0"/>
                <w:color w:val="auto"/>
                <w:sz w:val="24"/>
                <w:lang w:eastAsia="zh-CN"/>
              </w:rPr>
              <w:t>（</w:t>
            </w:r>
            <w:r>
              <w:rPr>
                <w:rFonts w:hint="eastAsia" w:ascii="宋体" w:hAnsi="宋体"/>
                <w:b w:val="0"/>
                <w:bCs w:val="0"/>
                <w:color w:val="auto"/>
                <w:sz w:val="24"/>
                <w:lang w:val="en-US" w:eastAsia="zh-CN"/>
              </w:rPr>
              <w:t>提供</w:t>
            </w:r>
            <w:r>
              <w:rPr>
                <w:rFonts w:hint="eastAsia" w:ascii="宋体" w:hAnsi="宋体"/>
                <w:b w:val="0"/>
                <w:bCs w:val="0"/>
                <w:color w:val="auto"/>
                <w:sz w:val="24"/>
              </w:rPr>
              <w:t>采样参数设置界面截图佐证</w:t>
            </w:r>
            <w:r>
              <w:rPr>
                <w:rFonts w:hint="eastAsia" w:ascii="宋体" w:hAnsi="宋体"/>
                <w:b w:val="0"/>
                <w:bCs w:val="0"/>
                <w:color w:val="auto"/>
                <w:sz w:val="24"/>
                <w:lang w:eastAsia="zh-CN"/>
              </w:rPr>
              <w:t>）</w:t>
            </w:r>
            <w:r>
              <w:rPr>
                <w:rFonts w:hint="eastAsia" w:ascii="宋体" w:hAnsi="宋体"/>
                <w:b w:val="0"/>
                <w:bCs w:val="0"/>
                <w:color w:val="auto"/>
                <w:sz w:val="24"/>
              </w:rPr>
              <w:t>。</w:t>
            </w:r>
          </w:p>
        </w:tc>
        <w:tc>
          <w:tcPr>
            <w:tcW w:w="817" w:type="dxa"/>
          </w:tcPr>
          <w:p w14:paraId="67EC0376">
            <w:pPr>
              <w:spacing w:line="276" w:lineRule="auto"/>
              <w:rPr>
                <w:rFonts w:asciiTheme="majorEastAsia" w:hAnsiTheme="majorEastAsia" w:eastAsiaTheme="majorEastAsia"/>
                <w:b/>
                <w:sz w:val="24"/>
                <w:szCs w:val="21"/>
              </w:rPr>
            </w:pPr>
          </w:p>
        </w:tc>
      </w:tr>
      <w:tr w14:paraId="45C87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710" w:type="dxa"/>
          </w:tcPr>
          <w:p w14:paraId="54CFD7EE">
            <w:pPr>
              <w:spacing w:line="276" w:lineRule="auto"/>
              <w:jc w:val="center"/>
              <w:rPr>
                <w:rFonts w:hint="default" w:asciiTheme="majorEastAsia" w:hAnsiTheme="majorEastAsia" w:eastAsiaTheme="majorEastAsia"/>
                <w:b w:val="0"/>
                <w:bCs/>
                <w:sz w:val="24"/>
                <w:szCs w:val="21"/>
                <w:lang w:val="en-US" w:eastAsia="zh-CN"/>
              </w:rPr>
            </w:pPr>
            <w:r>
              <w:rPr>
                <w:rFonts w:hint="eastAsia" w:asciiTheme="majorEastAsia" w:hAnsiTheme="majorEastAsia" w:eastAsiaTheme="majorEastAsia"/>
                <w:b w:val="0"/>
                <w:bCs/>
                <w:sz w:val="24"/>
                <w:szCs w:val="21"/>
                <w:lang w:val="en-US" w:eastAsia="zh-CN"/>
              </w:rPr>
              <w:t>14</w:t>
            </w:r>
          </w:p>
        </w:tc>
        <w:tc>
          <w:tcPr>
            <w:tcW w:w="935" w:type="dxa"/>
            <w:vMerge w:val="continue"/>
          </w:tcPr>
          <w:p w14:paraId="6EFF39E6">
            <w:pPr>
              <w:spacing w:line="276" w:lineRule="auto"/>
              <w:rPr>
                <w:rFonts w:asciiTheme="majorEastAsia" w:hAnsiTheme="majorEastAsia" w:eastAsiaTheme="majorEastAsia"/>
                <w:b/>
                <w:sz w:val="24"/>
                <w:szCs w:val="21"/>
              </w:rPr>
            </w:pPr>
          </w:p>
        </w:tc>
        <w:tc>
          <w:tcPr>
            <w:tcW w:w="7564" w:type="dxa"/>
            <w:gridSpan w:val="2"/>
          </w:tcPr>
          <w:p w14:paraId="34B9B6D2">
            <w:pPr>
              <w:spacing w:line="360" w:lineRule="auto"/>
              <w:rPr>
                <w:rFonts w:hint="eastAsia" w:ascii="宋体" w:hAnsi="宋体"/>
                <w:color w:val="auto"/>
                <w:sz w:val="24"/>
                <w:lang w:eastAsia="zh-TW"/>
              </w:rPr>
            </w:pPr>
            <w:r>
              <w:rPr>
                <w:rFonts w:hint="eastAsia" w:ascii="宋体" w:hAnsi="宋体"/>
                <w:b w:val="0"/>
                <w:bCs w:val="0"/>
                <w:color w:val="auto"/>
                <w:sz w:val="24"/>
                <w:lang w:val="en-US" w:eastAsia="zh-CN"/>
              </w:rPr>
              <w:t>具备</w:t>
            </w:r>
            <w:r>
              <w:rPr>
                <w:rFonts w:hint="eastAsia" w:ascii="宋体" w:hAnsi="宋体"/>
                <w:b w:val="0"/>
                <w:bCs w:val="0"/>
                <w:color w:val="auto"/>
                <w:sz w:val="24"/>
              </w:rPr>
              <w:t>检测计时时长</w:t>
            </w:r>
            <w:r>
              <w:rPr>
                <w:rFonts w:hint="eastAsia" w:ascii="宋体" w:hAnsi="宋体"/>
                <w:b w:val="0"/>
                <w:bCs w:val="0"/>
                <w:color w:val="auto"/>
                <w:sz w:val="24"/>
                <w:lang w:val="en-US" w:eastAsia="zh-CN"/>
              </w:rPr>
              <w:t>具备</w:t>
            </w:r>
            <w:r>
              <w:rPr>
                <w:rFonts w:hint="eastAsia" w:ascii="宋体" w:hAnsi="宋体"/>
                <w:b w:val="0"/>
                <w:bCs w:val="0"/>
                <w:color w:val="auto"/>
                <w:sz w:val="24"/>
              </w:rPr>
              <w:t>可自定义选定3min、5min、10min、15min固定时长档位</w:t>
            </w:r>
            <w:r>
              <w:rPr>
                <w:rFonts w:hint="eastAsia" w:ascii="宋体" w:hAnsi="宋体"/>
                <w:b w:val="0"/>
                <w:bCs w:val="0"/>
                <w:color w:val="auto"/>
                <w:sz w:val="24"/>
                <w:lang w:val="en-US" w:eastAsia="zh-CN"/>
              </w:rPr>
              <w:t>及具备</w:t>
            </w:r>
            <w:r>
              <w:rPr>
                <w:rFonts w:hint="eastAsia" w:ascii="宋体" w:hAnsi="宋体"/>
                <w:b w:val="0"/>
                <w:bCs w:val="0"/>
                <w:color w:val="auto"/>
                <w:sz w:val="24"/>
              </w:rPr>
              <w:t>自由计时手动检测模式（提供软件功能截图</w:t>
            </w:r>
            <w:r>
              <w:rPr>
                <w:rFonts w:hint="eastAsia" w:ascii="宋体" w:hAnsi="宋体"/>
                <w:b w:val="0"/>
                <w:bCs w:val="0"/>
                <w:color w:val="auto"/>
                <w:sz w:val="24"/>
                <w:lang w:val="en-US" w:eastAsia="zh-CN"/>
              </w:rPr>
              <w:t>佐证</w:t>
            </w:r>
            <w:r>
              <w:rPr>
                <w:rFonts w:hint="eastAsia" w:ascii="宋体" w:hAnsi="宋体"/>
                <w:b w:val="0"/>
                <w:bCs w:val="0"/>
                <w:color w:val="auto"/>
                <w:sz w:val="24"/>
              </w:rPr>
              <w:t>）；</w:t>
            </w:r>
          </w:p>
        </w:tc>
        <w:tc>
          <w:tcPr>
            <w:tcW w:w="817" w:type="dxa"/>
          </w:tcPr>
          <w:p w14:paraId="4E2EF06C">
            <w:pPr>
              <w:spacing w:line="276" w:lineRule="auto"/>
              <w:rPr>
                <w:rFonts w:asciiTheme="majorEastAsia" w:hAnsiTheme="majorEastAsia" w:eastAsiaTheme="majorEastAsia"/>
                <w:b/>
                <w:sz w:val="24"/>
                <w:szCs w:val="21"/>
              </w:rPr>
            </w:pPr>
          </w:p>
        </w:tc>
      </w:tr>
      <w:tr w14:paraId="5954D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710" w:type="dxa"/>
          </w:tcPr>
          <w:p w14:paraId="24510B49">
            <w:pPr>
              <w:spacing w:line="276" w:lineRule="auto"/>
              <w:jc w:val="center"/>
              <w:rPr>
                <w:rFonts w:hint="default" w:asciiTheme="majorEastAsia" w:hAnsiTheme="majorEastAsia" w:eastAsiaTheme="majorEastAsia"/>
                <w:b w:val="0"/>
                <w:bCs/>
                <w:sz w:val="24"/>
                <w:szCs w:val="21"/>
                <w:lang w:val="en-US" w:eastAsia="zh-CN"/>
              </w:rPr>
            </w:pPr>
            <w:r>
              <w:rPr>
                <w:rFonts w:hint="eastAsia" w:asciiTheme="majorEastAsia" w:hAnsiTheme="majorEastAsia" w:eastAsiaTheme="majorEastAsia"/>
                <w:b w:val="0"/>
                <w:bCs/>
                <w:sz w:val="24"/>
                <w:szCs w:val="21"/>
                <w:lang w:val="en-US" w:eastAsia="zh-CN"/>
              </w:rPr>
              <w:t>15</w:t>
            </w:r>
          </w:p>
        </w:tc>
        <w:tc>
          <w:tcPr>
            <w:tcW w:w="935" w:type="dxa"/>
            <w:vMerge w:val="continue"/>
          </w:tcPr>
          <w:p w14:paraId="444A3FBE">
            <w:pPr>
              <w:spacing w:line="276" w:lineRule="auto"/>
              <w:rPr>
                <w:rFonts w:asciiTheme="majorEastAsia" w:hAnsiTheme="majorEastAsia" w:eastAsiaTheme="majorEastAsia"/>
                <w:b/>
                <w:sz w:val="24"/>
                <w:szCs w:val="21"/>
              </w:rPr>
            </w:pPr>
          </w:p>
        </w:tc>
        <w:tc>
          <w:tcPr>
            <w:tcW w:w="7564" w:type="dxa"/>
            <w:gridSpan w:val="2"/>
          </w:tcPr>
          <w:p w14:paraId="0A2F7D03">
            <w:pPr>
              <w:spacing w:line="360" w:lineRule="auto"/>
              <w:rPr>
                <w:rFonts w:hint="eastAsia" w:asciiTheme="majorEastAsia" w:hAnsiTheme="majorEastAsia" w:eastAsiaTheme="majorEastAsia"/>
                <w:b/>
                <w:sz w:val="24"/>
                <w:szCs w:val="21"/>
                <w:highlight w:val="yellow"/>
              </w:rPr>
            </w:pPr>
            <w:r>
              <w:rPr>
                <w:rFonts w:hint="eastAsia" w:ascii="宋体" w:hAnsi="宋体"/>
                <w:b w:val="0"/>
                <w:bCs w:val="0"/>
                <w:color w:val="auto"/>
                <w:sz w:val="24"/>
                <w:lang w:val="en-US" w:eastAsia="zh-CN"/>
              </w:rPr>
              <w:t>具备</w:t>
            </w:r>
            <w:r>
              <w:rPr>
                <w:rFonts w:hint="eastAsia" w:ascii="宋体" w:hAnsi="宋体"/>
                <w:b w:val="0"/>
                <w:bCs w:val="0"/>
                <w:color w:val="auto"/>
                <w:sz w:val="24"/>
              </w:rPr>
              <w:t>可切换受检者人群类型：成人模式、儿童专用检测模式，软件设置界面可附截图（提供软件功能截图</w:t>
            </w:r>
            <w:r>
              <w:rPr>
                <w:rFonts w:hint="eastAsia" w:ascii="宋体" w:hAnsi="宋体"/>
                <w:b w:val="0"/>
                <w:bCs w:val="0"/>
                <w:color w:val="auto"/>
                <w:sz w:val="24"/>
                <w:lang w:val="en-US" w:eastAsia="zh-CN"/>
              </w:rPr>
              <w:t>佐证</w:t>
            </w:r>
            <w:r>
              <w:rPr>
                <w:rFonts w:hint="eastAsia" w:ascii="宋体" w:hAnsi="宋体"/>
                <w:b w:val="0"/>
                <w:bCs w:val="0"/>
                <w:color w:val="auto"/>
                <w:sz w:val="24"/>
              </w:rPr>
              <w:t>）。</w:t>
            </w:r>
          </w:p>
        </w:tc>
        <w:tc>
          <w:tcPr>
            <w:tcW w:w="817" w:type="dxa"/>
          </w:tcPr>
          <w:p w14:paraId="4EB74896">
            <w:pPr>
              <w:spacing w:line="276" w:lineRule="auto"/>
              <w:rPr>
                <w:rFonts w:asciiTheme="majorEastAsia" w:hAnsiTheme="majorEastAsia" w:eastAsiaTheme="majorEastAsia"/>
                <w:b/>
                <w:sz w:val="24"/>
                <w:szCs w:val="21"/>
              </w:rPr>
            </w:pPr>
          </w:p>
        </w:tc>
      </w:tr>
      <w:tr w14:paraId="3A712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710" w:type="dxa"/>
          </w:tcPr>
          <w:p w14:paraId="3A86AB6D">
            <w:pPr>
              <w:spacing w:line="276" w:lineRule="auto"/>
              <w:jc w:val="center"/>
              <w:rPr>
                <w:rFonts w:hint="default" w:asciiTheme="majorEastAsia" w:hAnsiTheme="majorEastAsia" w:eastAsiaTheme="majorEastAsia"/>
                <w:b w:val="0"/>
                <w:bCs/>
                <w:sz w:val="24"/>
                <w:szCs w:val="21"/>
                <w:lang w:val="en-US" w:eastAsia="zh-CN"/>
              </w:rPr>
            </w:pPr>
            <w:r>
              <w:rPr>
                <w:rFonts w:hint="eastAsia" w:asciiTheme="majorEastAsia" w:hAnsiTheme="majorEastAsia" w:eastAsiaTheme="majorEastAsia"/>
                <w:b w:val="0"/>
                <w:bCs/>
                <w:sz w:val="24"/>
                <w:szCs w:val="21"/>
                <w:lang w:val="en-US" w:eastAsia="zh-CN"/>
              </w:rPr>
              <w:t>16</w:t>
            </w:r>
          </w:p>
        </w:tc>
        <w:tc>
          <w:tcPr>
            <w:tcW w:w="935" w:type="dxa"/>
            <w:vMerge w:val="continue"/>
          </w:tcPr>
          <w:p w14:paraId="4C596494">
            <w:pPr>
              <w:spacing w:line="276" w:lineRule="auto"/>
              <w:rPr>
                <w:rFonts w:asciiTheme="majorEastAsia" w:hAnsiTheme="majorEastAsia" w:eastAsiaTheme="majorEastAsia"/>
                <w:b/>
                <w:sz w:val="24"/>
                <w:szCs w:val="21"/>
              </w:rPr>
            </w:pPr>
          </w:p>
        </w:tc>
        <w:tc>
          <w:tcPr>
            <w:tcW w:w="7564" w:type="dxa"/>
            <w:gridSpan w:val="2"/>
          </w:tcPr>
          <w:p w14:paraId="1209C260">
            <w:pPr>
              <w:spacing w:line="360" w:lineRule="auto"/>
              <w:rPr>
                <w:rFonts w:hint="eastAsia" w:asciiTheme="majorEastAsia" w:hAnsiTheme="majorEastAsia" w:eastAsiaTheme="majorEastAsia"/>
                <w:b/>
                <w:sz w:val="24"/>
                <w:szCs w:val="21"/>
                <w:highlight w:val="yellow"/>
              </w:rPr>
            </w:pPr>
            <w:r>
              <w:rPr>
                <w:rFonts w:hint="eastAsia" w:ascii="宋体" w:hAnsi="宋体"/>
                <w:b w:val="0"/>
                <w:bCs w:val="0"/>
                <w:color w:val="auto"/>
                <w:sz w:val="24"/>
                <w:lang w:val="en-US" w:eastAsia="zh-CN"/>
              </w:rPr>
              <w:t>具备</w:t>
            </w:r>
            <w:r>
              <w:rPr>
                <w:rFonts w:hint="eastAsia" w:ascii="宋体" w:hAnsi="宋体"/>
                <w:b w:val="0"/>
                <w:bCs w:val="0"/>
                <w:color w:val="auto"/>
                <w:sz w:val="24"/>
              </w:rPr>
              <w:t>心理评估量表库</w:t>
            </w:r>
            <w:r>
              <w:rPr>
                <w:rFonts w:hint="eastAsia" w:ascii="宋体" w:hAnsi="宋体"/>
                <w:b w:val="0"/>
                <w:bCs w:val="0"/>
                <w:color w:val="auto"/>
                <w:sz w:val="24"/>
                <w:lang w:eastAsia="zh-CN"/>
              </w:rPr>
              <w:t>：</w:t>
            </w:r>
            <w:r>
              <w:rPr>
                <w:rFonts w:hint="eastAsia" w:ascii="宋体" w:hAnsi="宋体"/>
                <w:b w:val="0"/>
                <w:bCs w:val="0"/>
                <w:color w:val="auto"/>
                <w:sz w:val="24"/>
              </w:rPr>
              <w:t>系统</w:t>
            </w:r>
            <w:r>
              <w:rPr>
                <w:rFonts w:hint="eastAsia" w:ascii="宋体" w:hAnsi="宋体"/>
                <w:b w:val="0"/>
                <w:bCs w:val="0"/>
                <w:color w:val="auto"/>
                <w:sz w:val="24"/>
                <w:lang w:val="en-US" w:eastAsia="zh-CN"/>
              </w:rPr>
              <w:t>具备≥</w:t>
            </w:r>
            <w:r>
              <w:rPr>
                <w:rFonts w:hint="eastAsia" w:ascii="宋体" w:hAnsi="宋体"/>
                <w:b w:val="0"/>
                <w:bCs w:val="0"/>
                <w:color w:val="auto"/>
                <w:sz w:val="24"/>
              </w:rPr>
              <w:t>四款专业标准化评估量表，包含汉密尔顿焦虑量表（HAMA）、汉密尔顿抑郁量表（HAMD）、FS-14疲劳自评量表、匹兹堡睡眠质量指数PSQI量表，</w:t>
            </w:r>
            <w:r>
              <w:rPr>
                <w:rFonts w:hint="eastAsia" w:ascii="宋体" w:hAnsi="宋体"/>
                <w:b w:val="0"/>
                <w:bCs w:val="0"/>
                <w:color w:val="auto"/>
                <w:sz w:val="24"/>
                <w:lang w:eastAsia="zh-CN"/>
              </w:rPr>
              <w:t>（</w:t>
            </w:r>
            <w:r>
              <w:rPr>
                <w:rFonts w:hint="eastAsia" w:ascii="宋体" w:hAnsi="宋体"/>
                <w:b w:val="0"/>
                <w:bCs w:val="0"/>
                <w:color w:val="auto"/>
                <w:sz w:val="24"/>
                <w:lang w:val="en-US" w:eastAsia="zh-CN"/>
              </w:rPr>
              <w:t>提供软件功能截图）。</w:t>
            </w:r>
          </w:p>
        </w:tc>
        <w:tc>
          <w:tcPr>
            <w:tcW w:w="817" w:type="dxa"/>
          </w:tcPr>
          <w:p w14:paraId="07A599DE">
            <w:pPr>
              <w:spacing w:line="276" w:lineRule="auto"/>
              <w:rPr>
                <w:rFonts w:asciiTheme="majorEastAsia" w:hAnsiTheme="majorEastAsia" w:eastAsiaTheme="majorEastAsia"/>
                <w:b/>
                <w:sz w:val="24"/>
                <w:szCs w:val="21"/>
              </w:rPr>
            </w:pPr>
          </w:p>
        </w:tc>
      </w:tr>
      <w:tr w14:paraId="3169E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710" w:type="dxa"/>
          </w:tcPr>
          <w:p w14:paraId="5DF31386">
            <w:pPr>
              <w:spacing w:line="276" w:lineRule="auto"/>
              <w:jc w:val="center"/>
              <w:rPr>
                <w:rFonts w:hint="default" w:asciiTheme="majorEastAsia" w:hAnsiTheme="majorEastAsia" w:eastAsiaTheme="majorEastAsia"/>
                <w:b w:val="0"/>
                <w:bCs/>
                <w:sz w:val="24"/>
                <w:szCs w:val="21"/>
                <w:lang w:val="en-US" w:eastAsia="zh-CN"/>
              </w:rPr>
            </w:pPr>
            <w:r>
              <w:rPr>
                <w:rFonts w:hint="eastAsia" w:asciiTheme="majorEastAsia" w:hAnsiTheme="majorEastAsia" w:eastAsiaTheme="majorEastAsia"/>
                <w:b w:val="0"/>
                <w:bCs/>
                <w:sz w:val="24"/>
                <w:szCs w:val="21"/>
                <w:lang w:val="en-US" w:eastAsia="zh-CN"/>
              </w:rPr>
              <w:t>17</w:t>
            </w:r>
          </w:p>
        </w:tc>
        <w:tc>
          <w:tcPr>
            <w:tcW w:w="935" w:type="dxa"/>
            <w:vMerge w:val="continue"/>
          </w:tcPr>
          <w:p w14:paraId="0809FEB3">
            <w:pPr>
              <w:spacing w:line="276" w:lineRule="auto"/>
              <w:rPr>
                <w:rFonts w:asciiTheme="majorEastAsia" w:hAnsiTheme="majorEastAsia" w:eastAsiaTheme="majorEastAsia"/>
                <w:b/>
                <w:sz w:val="24"/>
                <w:szCs w:val="21"/>
              </w:rPr>
            </w:pPr>
          </w:p>
        </w:tc>
        <w:tc>
          <w:tcPr>
            <w:tcW w:w="7564" w:type="dxa"/>
            <w:gridSpan w:val="2"/>
          </w:tcPr>
          <w:p w14:paraId="0D1289AC">
            <w:pPr>
              <w:spacing w:line="360" w:lineRule="auto"/>
              <w:rPr>
                <w:rFonts w:hint="eastAsia" w:asciiTheme="majorEastAsia" w:hAnsiTheme="majorEastAsia" w:eastAsiaTheme="majorEastAsia"/>
                <w:b/>
                <w:sz w:val="24"/>
                <w:szCs w:val="21"/>
                <w:highlight w:val="yellow"/>
              </w:rPr>
            </w:pPr>
            <w:r>
              <w:rPr>
                <w:rFonts w:hint="eastAsia" w:ascii="宋体" w:hAnsi="宋体"/>
                <w:b w:val="0"/>
                <w:bCs w:val="0"/>
                <w:color w:val="auto"/>
                <w:sz w:val="24"/>
              </w:rPr>
              <w:t>设备设计使用生命周期</w:t>
            </w:r>
            <w:r>
              <w:rPr>
                <w:rFonts w:hint="eastAsia" w:ascii="宋体" w:hAnsi="宋体"/>
                <w:b w:val="0"/>
                <w:bCs w:val="0"/>
                <w:color w:val="auto"/>
                <w:sz w:val="24"/>
                <w:lang w:val="en-US" w:eastAsia="zh-CN"/>
              </w:rPr>
              <w:t>≥9</w:t>
            </w:r>
            <w:r>
              <w:rPr>
                <w:rFonts w:hint="eastAsia" w:ascii="宋体" w:hAnsi="宋体"/>
                <w:b w:val="0"/>
                <w:bCs w:val="0"/>
                <w:color w:val="auto"/>
                <w:sz w:val="24"/>
              </w:rPr>
              <w:t>年，</w:t>
            </w:r>
            <w:r>
              <w:rPr>
                <w:rFonts w:hint="eastAsia" w:ascii="宋体" w:hAnsi="宋体"/>
                <w:b w:val="0"/>
                <w:bCs w:val="0"/>
                <w:color w:val="auto"/>
                <w:sz w:val="24"/>
                <w:lang w:eastAsia="zh-CN"/>
              </w:rPr>
              <w:t>（</w:t>
            </w:r>
            <w:r>
              <w:rPr>
                <w:rFonts w:hint="eastAsia" w:ascii="宋体" w:hAnsi="宋体"/>
                <w:b w:val="0"/>
                <w:bCs w:val="0"/>
                <w:color w:val="auto"/>
                <w:sz w:val="24"/>
                <w:lang w:val="en-US" w:eastAsia="zh-CN"/>
              </w:rPr>
              <w:t>提供</w:t>
            </w:r>
            <w:r>
              <w:rPr>
                <w:rFonts w:hint="eastAsia" w:ascii="宋体" w:hAnsi="宋体"/>
                <w:b w:val="0"/>
                <w:bCs w:val="0"/>
                <w:color w:val="auto"/>
                <w:sz w:val="24"/>
              </w:rPr>
              <w:t>相关约定条款可查阅产品官方说明书及机身铭牌标识</w:t>
            </w:r>
            <w:r>
              <w:rPr>
                <w:rFonts w:hint="eastAsia" w:ascii="宋体" w:hAnsi="宋体"/>
                <w:b w:val="0"/>
                <w:bCs w:val="0"/>
                <w:color w:val="auto"/>
                <w:sz w:val="24"/>
                <w:lang w:eastAsia="zh-CN"/>
              </w:rPr>
              <w:t>）</w:t>
            </w:r>
            <w:r>
              <w:rPr>
                <w:rFonts w:hint="eastAsia" w:ascii="宋体" w:hAnsi="宋体"/>
                <w:b w:val="0"/>
                <w:bCs w:val="0"/>
                <w:color w:val="auto"/>
                <w:sz w:val="24"/>
              </w:rPr>
              <w:t>。</w:t>
            </w:r>
          </w:p>
        </w:tc>
        <w:tc>
          <w:tcPr>
            <w:tcW w:w="817" w:type="dxa"/>
          </w:tcPr>
          <w:p w14:paraId="14F975F4">
            <w:pPr>
              <w:spacing w:line="276" w:lineRule="auto"/>
              <w:rPr>
                <w:rFonts w:asciiTheme="majorEastAsia" w:hAnsiTheme="majorEastAsia" w:eastAsiaTheme="majorEastAsia"/>
                <w:b/>
                <w:sz w:val="24"/>
                <w:szCs w:val="21"/>
              </w:rPr>
            </w:pPr>
          </w:p>
        </w:tc>
      </w:tr>
      <w:tr w14:paraId="2499F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10026" w:type="dxa"/>
            <w:gridSpan w:val="5"/>
          </w:tcPr>
          <w:p w14:paraId="567B9712">
            <w:pPr>
              <w:rPr>
                <w:rFonts w:asciiTheme="majorEastAsia" w:hAnsiTheme="majorEastAsia" w:eastAsiaTheme="majorEastAsia"/>
                <w:b/>
                <w:sz w:val="24"/>
                <w:szCs w:val="21"/>
              </w:rPr>
            </w:pPr>
            <w:r>
              <w:rPr>
                <w:rFonts w:hint="eastAsia" w:asciiTheme="majorEastAsia" w:hAnsiTheme="majorEastAsia" w:eastAsiaTheme="majorEastAsia"/>
                <w:b/>
                <w:sz w:val="28"/>
                <w:szCs w:val="21"/>
              </w:rPr>
              <w:t>二、</w:t>
            </w:r>
            <w:r>
              <w:rPr>
                <w:rFonts w:hint="eastAsia" w:cs="宋体" w:asciiTheme="majorEastAsia" w:hAnsiTheme="majorEastAsia" w:eastAsiaTheme="majorEastAsia"/>
                <w:sz w:val="24"/>
              </w:rPr>
              <w:t>★</w:t>
            </w:r>
            <w:r>
              <w:rPr>
                <w:rFonts w:hint="eastAsia" w:asciiTheme="majorEastAsia" w:hAnsiTheme="majorEastAsia" w:eastAsiaTheme="majorEastAsia"/>
                <w:b/>
                <w:sz w:val="28"/>
                <w:szCs w:val="21"/>
              </w:rPr>
              <w:t>商务需求</w:t>
            </w:r>
          </w:p>
        </w:tc>
      </w:tr>
      <w:tr w14:paraId="3B4F5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1765" w:type="dxa"/>
            <w:gridSpan w:val="3"/>
            <w:vAlign w:val="top"/>
          </w:tcPr>
          <w:p w14:paraId="4C670AAB">
            <w:pPr>
              <w:spacing w:line="276" w:lineRule="auto"/>
              <w:rPr>
                <w:rFonts w:asciiTheme="majorEastAsia" w:hAnsiTheme="majorEastAsia" w:eastAsiaTheme="majorEastAsia"/>
                <w:b/>
                <w:sz w:val="24"/>
                <w:szCs w:val="21"/>
              </w:rPr>
            </w:pPr>
            <w:r>
              <w:rPr>
                <w:rFonts w:hint="eastAsia" w:asciiTheme="majorEastAsia" w:hAnsiTheme="majorEastAsia" w:eastAsiaTheme="majorEastAsia"/>
                <w:b/>
                <w:sz w:val="24"/>
                <w:szCs w:val="21"/>
              </w:rPr>
              <w:t>一、到货时间</w:t>
            </w:r>
            <w:r>
              <w:rPr>
                <w:rFonts w:asciiTheme="majorEastAsia" w:hAnsiTheme="majorEastAsia" w:eastAsiaTheme="majorEastAsia"/>
                <w:b/>
                <w:sz w:val="24"/>
                <w:szCs w:val="21"/>
              </w:rPr>
              <w:t xml:space="preserve"> </w:t>
            </w:r>
          </w:p>
        </w:tc>
        <w:tc>
          <w:tcPr>
            <w:tcW w:w="8261" w:type="dxa"/>
            <w:gridSpan w:val="2"/>
            <w:vAlign w:val="top"/>
          </w:tcPr>
          <w:p w14:paraId="3CFEE62A">
            <w:pPr>
              <w:spacing w:line="276" w:lineRule="auto"/>
              <w:rPr>
                <w:rFonts w:asciiTheme="majorEastAsia" w:hAnsiTheme="majorEastAsia" w:eastAsiaTheme="majorEastAsia"/>
                <w:b/>
                <w:sz w:val="24"/>
                <w:szCs w:val="21"/>
              </w:rPr>
            </w:pPr>
            <w:r>
              <w:rPr>
                <w:rFonts w:hint="eastAsia" w:asciiTheme="majorEastAsia" w:hAnsiTheme="majorEastAsia" w:eastAsiaTheme="majorEastAsia"/>
                <w:b/>
                <w:sz w:val="24"/>
                <w:szCs w:val="21"/>
                <w:highlight w:val="yellow"/>
                <w:lang w:val="en-US" w:eastAsia="zh-CN"/>
              </w:rPr>
              <w:t>合同签订后并接采购人通知7日历日内或更优</w:t>
            </w:r>
          </w:p>
        </w:tc>
      </w:tr>
      <w:tr w14:paraId="5C9E0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1765" w:type="dxa"/>
            <w:gridSpan w:val="3"/>
            <w:vAlign w:val="top"/>
          </w:tcPr>
          <w:p w14:paraId="44CD908A">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二、交货地点：</w:t>
            </w:r>
          </w:p>
        </w:tc>
        <w:tc>
          <w:tcPr>
            <w:tcW w:w="8261" w:type="dxa"/>
            <w:gridSpan w:val="2"/>
            <w:vAlign w:val="top"/>
          </w:tcPr>
          <w:p w14:paraId="77DA1025">
            <w:pPr>
              <w:adjustRightInd w:val="0"/>
              <w:snapToGrid w:val="0"/>
              <w:rPr>
                <w:rFonts w:asciiTheme="majorEastAsia" w:hAnsiTheme="majorEastAsia" w:eastAsiaTheme="majorEastAsia"/>
                <w:b/>
                <w:sz w:val="24"/>
                <w:szCs w:val="21"/>
              </w:rPr>
            </w:pPr>
            <w:r>
              <w:rPr>
                <w:rFonts w:asciiTheme="majorEastAsia" w:hAnsiTheme="majorEastAsia" w:eastAsiaTheme="majorEastAsia"/>
                <w:b/>
                <w:sz w:val="24"/>
                <w:szCs w:val="21"/>
              </w:rPr>
              <w:t>采购人指定地点</w:t>
            </w:r>
          </w:p>
        </w:tc>
      </w:tr>
      <w:tr w14:paraId="3B2B3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1765" w:type="dxa"/>
            <w:gridSpan w:val="3"/>
            <w:vAlign w:val="top"/>
          </w:tcPr>
          <w:p w14:paraId="52829AA1">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三、报价要求：</w:t>
            </w:r>
          </w:p>
        </w:tc>
        <w:tc>
          <w:tcPr>
            <w:tcW w:w="8261" w:type="dxa"/>
            <w:gridSpan w:val="2"/>
            <w:vAlign w:val="top"/>
          </w:tcPr>
          <w:p w14:paraId="415E2B2C">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szCs w:val="21"/>
              </w:rPr>
              <w:t>报价必须是完成该项目的一切费用总和，包括设备费、运输费、装卸费、保险费、技术培训费、设备安装费、调试费、售后服务费、国家规定的各项税费等全部费用</w:t>
            </w:r>
          </w:p>
        </w:tc>
      </w:tr>
      <w:tr w14:paraId="08B8D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765" w:type="dxa"/>
            <w:gridSpan w:val="3"/>
            <w:vAlign w:val="top"/>
          </w:tcPr>
          <w:p w14:paraId="77ACA17D">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四、付款方式</w:t>
            </w:r>
          </w:p>
        </w:tc>
        <w:tc>
          <w:tcPr>
            <w:tcW w:w="8261" w:type="dxa"/>
            <w:gridSpan w:val="2"/>
            <w:vAlign w:val="top"/>
          </w:tcPr>
          <w:p w14:paraId="31105DBE">
            <w:pPr>
              <w:adjustRightInd w:val="0"/>
              <w:snapToGrid w:val="0"/>
              <w:rPr>
                <w:rFonts w:hint="eastAsia" w:cs="Times New Roman" w:asciiTheme="majorEastAsia" w:hAnsiTheme="majorEastAsia" w:eastAsiaTheme="majorEastAsia"/>
                <w:szCs w:val="21"/>
              </w:rPr>
            </w:pPr>
            <w:r>
              <w:rPr>
                <w:rFonts w:hint="eastAsia" w:cs="Times New Roman" w:asciiTheme="majorEastAsia" w:hAnsiTheme="majorEastAsia" w:eastAsiaTheme="majorEastAsia"/>
                <w:szCs w:val="21"/>
              </w:rPr>
              <w:t>合同总价≥3万付款方式：</w:t>
            </w:r>
          </w:p>
          <w:p w14:paraId="2305E844">
            <w:pPr>
              <w:adjustRightInd w:val="0"/>
              <w:snapToGrid w:val="0"/>
              <w:rPr>
                <w:rFonts w:hint="eastAsia" w:cs="Times New Roman" w:asciiTheme="majorEastAsia" w:hAnsiTheme="majorEastAsia" w:eastAsiaTheme="majorEastAsia"/>
                <w:szCs w:val="21"/>
              </w:rPr>
            </w:pPr>
            <w:r>
              <w:rPr>
                <w:rFonts w:hint="eastAsia" w:cs="Times New Roman" w:asciiTheme="majorEastAsia" w:hAnsiTheme="majorEastAsia" w:eastAsiaTheme="majorEastAsia"/>
                <w:szCs w:val="21"/>
              </w:rPr>
              <w:t>合同签订后三个工作日内，乙方将采购合同总价5%（人民币    元整，¥    ）的履约保证金汇入甲方指定账户。货到清点、安装调试验收合格正常使用后，出具全额发票，甲方凭乙方提供的完整资料，自发票到达甲方财务之日起10个工作日内，支付100%合同货款到乙方指定帐户。</w:t>
            </w:r>
          </w:p>
          <w:p w14:paraId="74C20141">
            <w:pPr>
              <w:adjustRightInd w:val="0"/>
              <w:snapToGrid w:val="0"/>
              <w:rPr>
                <w:rFonts w:hint="eastAsia" w:cs="Times New Roman" w:asciiTheme="majorEastAsia" w:hAnsiTheme="majorEastAsia" w:eastAsiaTheme="majorEastAsia"/>
                <w:szCs w:val="21"/>
              </w:rPr>
            </w:pPr>
            <w:r>
              <w:rPr>
                <w:rFonts w:hint="eastAsia" w:cs="Times New Roman" w:asciiTheme="majorEastAsia" w:hAnsiTheme="majorEastAsia" w:eastAsiaTheme="majorEastAsia"/>
                <w:szCs w:val="21"/>
              </w:rPr>
              <w:t>乙方向甲方支付合同总价5%的履约保证金，用于补偿甲方因乙方不履行/不妥善履行合同约定义务而蒙受的损失，如乙方不履行/不妥善履行合同约定义务的，甲方有权直接从履约保证金中扣除相应违约金/损失赔偿款项。如果在合同签订后至乙方履行完毕合同约定义务事项期间未发生乙方不履行或不妥善履行合同约定义务的情况，在乙方履行完毕合同约定义务事项后，乙方向甲方提供完整资料到达甲方财务之日起10个工作日内，甲方将履约保证金无息返还给乙方。</w:t>
            </w:r>
          </w:p>
          <w:p w14:paraId="2DCFE06E">
            <w:pPr>
              <w:adjustRightInd w:val="0"/>
              <w:snapToGrid w:val="0"/>
              <w:rPr>
                <w:rFonts w:hint="eastAsia" w:cs="Times New Roman" w:asciiTheme="majorEastAsia" w:hAnsiTheme="majorEastAsia" w:eastAsiaTheme="majorEastAsia"/>
                <w:szCs w:val="21"/>
              </w:rPr>
            </w:pPr>
            <w:r>
              <w:rPr>
                <w:rFonts w:hint="eastAsia" w:cs="Times New Roman" w:asciiTheme="majorEastAsia" w:hAnsiTheme="majorEastAsia" w:eastAsiaTheme="majorEastAsia"/>
                <w:szCs w:val="21"/>
              </w:rPr>
              <w:t>合同总价＜3万付款方式：</w:t>
            </w:r>
          </w:p>
          <w:p w14:paraId="4F2615CF">
            <w:pPr>
              <w:adjustRightInd w:val="0"/>
              <w:snapToGrid w:val="0"/>
              <w:rPr>
                <w:rFonts w:asciiTheme="majorEastAsia" w:hAnsiTheme="majorEastAsia" w:eastAsiaTheme="majorEastAsia"/>
                <w:b/>
                <w:sz w:val="24"/>
                <w:szCs w:val="21"/>
              </w:rPr>
            </w:pPr>
            <w:r>
              <w:rPr>
                <w:rFonts w:hint="eastAsia" w:cs="Times New Roman" w:asciiTheme="majorEastAsia" w:hAnsiTheme="majorEastAsia" w:eastAsiaTheme="majorEastAsia"/>
                <w:szCs w:val="21"/>
              </w:rPr>
              <w:t>货到清点、安装调试验收合格正常使用后，出具全额发票，甲方凭乙方提供的完整资料，自发票到达甲方财务之日起10个工作日内，支付100%合同货款到乙方指定帐户。</w:t>
            </w:r>
          </w:p>
        </w:tc>
      </w:tr>
      <w:tr w14:paraId="282C9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765" w:type="dxa"/>
            <w:gridSpan w:val="3"/>
            <w:vAlign w:val="top"/>
          </w:tcPr>
          <w:p w14:paraId="6264BB9A">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五、交货要求</w:t>
            </w:r>
          </w:p>
        </w:tc>
        <w:tc>
          <w:tcPr>
            <w:tcW w:w="8261" w:type="dxa"/>
            <w:gridSpan w:val="2"/>
            <w:vAlign w:val="top"/>
          </w:tcPr>
          <w:p w14:paraId="1FCBBA3B">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 xml:space="preserve">5.1 </w:t>
            </w:r>
            <w:r>
              <w:rPr>
                <w:rFonts w:asciiTheme="minorEastAsia" w:hAnsiTheme="minorEastAsia" w:eastAsiaTheme="minorEastAsia"/>
                <w:bCs/>
                <w:szCs w:val="21"/>
              </w:rPr>
              <w:t>中标</w:t>
            </w:r>
            <w:r>
              <w:rPr>
                <w:rFonts w:hint="eastAsia" w:asciiTheme="minorEastAsia" w:hAnsiTheme="minorEastAsia" w:eastAsiaTheme="minorEastAsia"/>
                <w:bCs/>
                <w:szCs w:val="21"/>
              </w:rPr>
              <w:t>人</w:t>
            </w:r>
            <w:r>
              <w:rPr>
                <w:rFonts w:asciiTheme="minorEastAsia" w:hAnsiTheme="minorEastAsia" w:eastAsiaTheme="minorEastAsia"/>
                <w:bCs/>
                <w:szCs w:val="21"/>
              </w:rPr>
              <w:t>应向采购人提供</w:t>
            </w:r>
            <w:r>
              <w:rPr>
                <w:rFonts w:hint="eastAsia" w:asciiTheme="minorEastAsia" w:hAnsiTheme="minorEastAsia" w:eastAsiaTheme="minorEastAsia"/>
                <w:bCs/>
                <w:szCs w:val="21"/>
              </w:rPr>
              <w:t>配置清单、产品说明书、图纸、操作手册、中文操作使用说明书、</w:t>
            </w:r>
            <w:r>
              <w:rPr>
                <w:rFonts w:asciiTheme="minorEastAsia" w:hAnsiTheme="minorEastAsia" w:eastAsiaTheme="minorEastAsia"/>
                <w:bCs/>
                <w:szCs w:val="21"/>
              </w:rPr>
              <w:t>设备原厂维护手册、维修手册、软件备份、故障代码表、备件清单、零部件、</w:t>
            </w:r>
            <w:r>
              <w:rPr>
                <w:rFonts w:hint="eastAsia" w:asciiTheme="minorEastAsia" w:hAnsiTheme="minorEastAsia" w:eastAsiaTheme="minorEastAsia"/>
                <w:bCs/>
                <w:szCs w:val="21"/>
              </w:rPr>
              <w:t>维护手册（含维修密码及接口数据）等维护维修必需的材料和信息。所有外文资料需提供中文译本。文件应随货物一并交付至采购人指定地点。</w:t>
            </w:r>
          </w:p>
          <w:p w14:paraId="7DABCC32">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5.2提供的货物必须为全新货物，出厂日期</w:t>
            </w:r>
            <w:r>
              <w:rPr>
                <w:rFonts w:hint="eastAsia" w:ascii="宋体" w:hAnsi="宋体"/>
                <w:szCs w:val="21"/>
              </w:rPr>
              <w:t>原则上</w:t>
            </w:r>
            <w:r>
              <w:rPr>
                <w:rFonts w:hint="eastAsia" w:asciiTheme="minorEastAsia" w:hAnsiTheme="minorEastAsia" w:eastAsiaTheme="minorEastAsia"/>
                <w:bCs/>
                <w:szCs w:val="21"/>
              </w:rPr>
              <w:t>在采购人收到日期前</w:t>
            </w:r>
            <w:r>
              <w:rPr>
                <w:rFonts w:asciiTheme="minorEastAsia" w:hAnsiTheme="minorEastAsia" w:eastAsiaTheme="minorEastAsia"/>
                <w:bCs/>
                <w:szCs w:val="21"/>
              </w:rPr>
              <w:t>12</w:t>
            </w:r>
            <w:r>
              <w:rPr>
                <w:rFonts w:hint="eastAsia" w:asciiTheme="minorEastAsia" w:hAnsiTheme="minorEastAsia" w:eastAsiaTheme="minorEastAsia"/>
                <w:bCs/>
                <w:szCs w:val="21"/>
              </w:rPr>
              <w:t>个月内经检验合格的产品</w:t>
            </w:r>
            <w:r>
              <w:rPr>
                <w:rFonts w:hint="eastAsia" w:ascii="宋体" w:hAnsi="宋体"/>
                <w:szCs w:val="21"/>
              </w:rPr>
              <w:t>，</w:t>
            </w:r>
            <w:r>
              <w:rPr>
                <w:rFonts w:hint="eastAsia" w:ascii="宋体" w:hAnsi="宋体"/>
                <w:color w:val="FF0000"/>
                <w:szCs w:val="21"/>
              </w:rPr>
              <w:t>若无法提供12个月内的产品，则采购人有权要求延长相应期限的产品保修期</w:t>
            </w:r>
            <w:r>
              <w:rPr>
                <w:rFonts w:hint="eastAsia" w:asciiTheme="minorEastAsia" w:hAnsiTheme="minorEastAsia" w:eastAsiaTheme="minorEastAsia"/>
                <w:bCs/>
                <w:szCs w:val="21"/>
              </w:rPr>
              <w:t>。产品如需要计量检定的应提供相关计量检定部门出具的合法检定报告。其中，进口设备必须具有报关证明文件、原产地证明和商检合格证明文件等相关证明文件，否则采购人概不接收。如国家规定的强检设备，由中标人负责完成首次计量强制检定，验收前中标人必须附上计量检定合格报告。</w:t>
            </w:r>
          </w:p>
          <w:p w14:paraId="38B7A456">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5.3 采购人有权检验或测试货物，以确认货物是否符合合同规格的要求，并且不承担额外的费用。如发现所交货物与投标文件中所承诺的不符或存在质量、技术缺陷等,采购人可以拒绝接收该货物,中标人应在 7 日历日内采取补足、更换或退货等措施,以满足规格的要求，由此发生的一切损失和费用由中标人承担。</w:t>
            </w:r>
          </w:p>
          <w:p w14:paraId="094B640F">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5.4中标人负责货物的现场安装和调试,提供货物安装、调试和维修所需的专用工具和辅助材料。中标人应在货物运至指定地点后一周内开始安装调试,并在 30 日历日内安装调试完毕。</w:t>
            </w:r>
          </w:p>
          <w:p w14:paraId="73D6826A">
            <w:pPr>
              <w:adjustRightInd w:val="0"/>
              <w:snapToGrid w:val="0"/>
              <w:ind w:firstLine="420" w:firstLineChars="200"/>
              <w:rPr>
                <w:rFonts w:asciiTheme="majorEastAsia" w:hAnsiTheme="majorEastAsia" w:eastAsiaTheme="majorEastAsia"/>
                <w:b/>
                <w:sz w:val="24"/>
                <w:szCs w:val="21"/>
              </w:rPr>
            </w:pPr>
            <w:r>
              <w:rPr>
                <w:rFonts w:hint="eastAsia" w:asciiTheme="minorEastAsia" w:hAnsiTheme="minorEastAsia" w:eastAsiaTheme="minorEastAsia"/>
                <w:bCs/>
                <w:szCs w:val="21"/>
              </w:rPr>
              <w:t>5.5货物安装需施工的，中标人应在合同签订前提供设备安装施工图纸，采购人与中标人共同签字确定安装场地施工方案。并承担设备的包装、运输、保险、装卸、安装调试、培训、商检及计量检测、关税、增值税和进口代理等费用。</w:t>
            </w:r>
          </w:p>
        </w:tc>
      </w:tr>
      <w:tr w14:paraId="16371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765" w:type="dxa"/>
            <w:gridSpan w:val="3"/>
            <w:vAlign w:val="top"/>
          </w:tcPr>
          <w:p w14:paraId="4585C206">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 xml:space="preserve">六、验收： </w:t>
            </w:r>
          </w:p>
        </w:tc>
        <w:tc>
          <w:tcPr>
            <w:tcW w:w="8261" w:type="dxa"/>
            <w:gridSpan w:val="2"/>
            <w:vAlign w:val="top"/>
          </w:tcPr>
          <w:p w14:paraId="4851DF3B">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6.1中标人应派有经验的技术人员到现场进行安装、调试，直到设备正常使用。由采购人按合同和招标、投标文件约定的要求和标准及中华人民共和国现行的验收规范和评定标准进行交货验收。</w:t>
            </w:r>
          </w:p>
          <w:p w14:paraId="3A42F4C3">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 xml:space="preserve">6.2 验收要求：货物必须满足以下条件后方可被采购方接受： </w:t>
            </w:r>
          </w:p>
          <w:p w14:paraId="66D0B09B">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1）货物具备产品合格证。</w:t>
            </w:r>
          </w:p>
          <w:p w14:paraId="088AA856">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2）设备全新,外观无伤痕变形或明显修饰痕迹。</w:t>
            </w:r>
          </w:p>
          <w:p w14:paraId="4B6F8469">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3）如有国标，必须符合有关规定；如无国标，则按照行业标准；如无国标及行业标准，则按双方约定执行。投标文件提供的技术数据经实测证实是真实的。检验及质量保证期内达到的性能指标与要求一致，达到或优于相应标准。</w:t>
            </w:r>
          </w:p>
          <w:p w14:paraId="765C954B">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4）技术文件资料、备件等已按规定数量移交完毕。</w:t>
            </w:r>
          </w:p>
          <w:p w14:paraId="277ED66F">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5）按照招标书要求及投标文件提供的技术要求验收必须合格。</w:t>
            </w:r>
          </w:p>
          <w:p w14:paraId="0D65DEFB">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6）中标人提供的各种文件载明的内容必须真实，采购人对产品的技术数据置疑时有权要求中标人按照双方认可的第三方检测机构出具的检验方法进行检测及鉴定(检测费用由中标人承担)，检测结果必须证明中标人提供的技术数据是真实的，否则视为不合格</w:t>
            </w:r>
          </w:p>
          <w:p w14:paraId="55506EEE">
            <w:pPr>
              <w:adjustRightInd w:val="0"/>
              <w:snapToGrid w:val="0"/>
              <w:ind w:firstLine="420" w:firstLineChars="200"/>
              <w:rPr>
                <w:rFonts w:asciiTheme="majorEastAsia" w:hAnsiTheme="majorEastAsia" w:eastAsiaTheme="majorEastAsia"/>
                <w:b/>
                <w:sz w:val="24"/>
                <w:szCs w:val="21"/>
              </w:rPr>
            </w:pPr>
            <w:r>
              <w:rPr>
                <w:rFonts w:hint="eastAsia" w:asciiTheme="minorEastAsia" w:hAnsiTheme="minorEastAsia" w:eastAsiaTheme="minorEastAsia"/>
                <w:bCs/>
                <w:szCs w:val="21"/>
              </w:rPr>
              <w:t>7）在货物安装调试合格后，所有技术指标达到技术规范书要求，经验收合格后，双方共同签署验收报告。产品质保期自验收合格之日起算，由中标人提供产品质保文件。</w:t>
            </w:r>
          </w:p>
        </w:tc>
      </w:tr>
      <w:tr w14:paraId="15ABC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765" w:type="dxa"/>
            <w:gridSpan w:val="3"/>
            <w:vAlign w:val="top"/>
          </w:tcPr>
          <w:p w14:paraId="52A77E12">
            <w:pPr>
              <w:adjustRightInd w:val="0"/>
              <w:snapToGrid w:val="0"/>
              <w:rPr>
                <w:rFonts w:asciiTheme="majorEastAsia" w:hAnsiTheme="majorEastAsia" w:eastAsiaTheme="majorEastAsia"/>
                <w:b/>
                <w:sz w:val="24"/>
                <w:szCs w:val="21"/>
                <w:highlight w:val="yellow"/>
              </w:rPr>
            </w:pPr>
            <w:r>
              <w:rPr>
                <w:rFonts w:hint="eastAsia" w:asciiTheme="majorEastAsia" w:hAnsiTheme="majorEastAsia" w:eastAsiaTheme="majorEastAsia"/>
                <w:b/>
                <w:sz w:val="24"/>
                <w:szCs w:val="21"/>
              </w:rPr>
              <w:t>七、售后服务要求：</w:t>
            </w:r>
          </w:p>
          <w:p w14:paraId="6113CE33">
            <w:pPr>
              <w:adjustRightInd w:val="0"/>
              <w:snapToGrid w:val="0"/>
              <w:rPr>
                <w:rFonts w:asciiTheme="majorEastAsia" w:hAnsiTheme="majorEastAsia" w:eastAsiaTheme="majorEastAsia"/>
                <w:b/>
                <w:sz w:val="24"/>
                <w:szCs w:val="21"/>
                <w:highlight w:val="yellow"/>
              </w:rPr>
            </w:pPr>
          </w:p>
        </w:tc>
        <w:tc>
          <w:tcPr>
            <w:tcW w:w="8261" w:type="dxa"/>
            <w:gridSpan w:val="2"/>
            <w:vAlign w:val="top"/>
          </w:tcPr>
          <w:p w14:paraId="650437C9">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7.1</w:t>
            </w:r>
            <w:r>
              <w:rPr>
                <w:rFonts w:hint="eastAsia" w:ascii="宋体" w:hAnsi="宋体"/>
                <w:bCs/>
                <w:color w:val="FF0000"/>
                <w:szCs w:val="21"/>
              </w:rPr>
              <w:t>各投标人应在投标文件中承诺</w:t>
            </w:r>
            <w:r>
              <w:rPr>
                <w:rFonts w:hint="eastAsia" w:ascii="宋体" w:hAnsi="宋体"/>
                <w:bCs/>
                <w:color w:val="0070C0"/>
                <w:szCs w:val="21"/>
              </w:rPr>
              <w:t>报价已包含提供整机原厂保修期</w:t>
            </w:r>
            <w:r>
              <w:rPr>
                <w:rFonts w:hint="eastAsia" w:asciiTheme="minorEastAsia" w:hAnsiTheme="minorEastAsia" w:eastAsiaTheme="minorEastAsia"/>
                <w:bCs/>
                <w:color w:val="FF0000"/>
                <w:szCs w:val="21"/>
                <w:u w:val="single"/>
              </w:rPr>
              <w:t xml:space="preserve">  </w:t>
            </w:r>
            <w:r>
              <w:rPr>
                <w:rFonts w:hint="eastAsia" w:ascii="宋体" w:hAnsi="宋体" w:eastAsia="宋体" w:cs="宋体"/>
                <w:bCs/>
                <w:color w:val="FF0000"/>
                <w:szCs w:val="21"/>
                <w:u w:val="single"/>
              </w:rPr>
              <w:t>≥</w:t>
            </w:r>
            <w:r>
              <w:rPr>
                <w:rFonts w:hint="eastAsia" w:asciiTheme="minorEastAsia" w:hAnsiTheme="minorEastAsia" w:eastAsiaTheme="minorEastAsia"/>
                <w:bCs/>
                <w:color w:val="FF0000"/>
                <w:szCs w:val="21"/>
                <w:u w:val="single"/>
                <w:lang w:val="en-US" w:eastAsia="zh-CN"/>
              </w:rPr>
              <w:t>3</w:t>
            </w:r>
            <w:r>
              <w:rPr>
                <w:rFonts w:hint="eastAsia" w:asciiTheme="minorEastAsia" w:hAnsiTheme="minorEastAsia" w:eastAsiaTheme="minorEastAsia"/>
                <w:bCs/>
                <w:color w:val="FF0000"/>
                <w:szCs w:val="21"/>
                <w:u w:val="single"/>
              </w:rPr>
              <w:t xml:space="preserve">  </w:t>
            </w:r>
            <w:r>
              <w:rPr>
                <w:rFonts w:hint="eastAsia" w:asciiTheme="minorEastAsia" w:hAnsiTheme="minorEastAsia" w:eastAsiaTheme="minorEastAsia"/>
                <w:bCs/>
                <w:color w:val="FF0000"/>
                <w:szCs w:val="21"/>
              </w:rPr>
              <w:t>年</w:t>
            </w:r>
            <w:r>
              <w:rPr>
                <w:rFonts w:hint="eastAsia" w:asciiTheme="minorEastAsia" w:hAnsiTheme="minorEastAsia" w:eastAsiaTheme="minorEastAsia"/>
                <w:bCs/>
                <w:szCs w:val="21"/>
              </w:rPr>
              <w:t>，终身维修。</w:t>
            </w:r>
            <w:r>
              <w:rPr>
                <w:rFonts w:hint="eastAsia" w:ascii="宋体" w:hAnsi="宋体"/>
                <w:bCs/>
                <w:color w:val="0070C0"/>
                <w:szCs w:val="21"/>
              </w:rPr>
              <w:t>保修期</w:t>
            </w:r>
            <w:r>
              <w:rPr>
                <w:rFonts w:hint="eastAsia" w:asciiTheme="minorEastAsia" w:hAnsiTheme="minorEastAsia" w:eastAsiaTheme="minorEastAsia"/>
                <w:bCs/>
                <w:szCs w:val="21"/>
              </w:rPr>
              <w:t>内</w:t>
            </w:r>
            <w:r>
              <w:rPr>
                <w:rFonts w:asciiTheme="minorEastAsia" w:hAnsiTheme="minorEastAsia" w:eastAsiaTheme="minorEastAsia"/>
                <w:bCs/>
                <w:szCs w:val="21"/>
              </w:rPr>
              <w:t>,</w:t>
            </w:r>
            <w:r>
              <w:rPr>
                <w:rFonts w:hint="eastAsia" w:asciiTheme="minorEastAsia" w:hAnsiTheme="minorEastAsia" w:eastAsiaTheme="minorEastAsia"/>
                <w:bCs/>
                <w:szCs w:val="21"/>
              </w:rPr>
              <w:t>年度定期预防性维护保养次数应不少于 2 次并留存维护记录。</w:t>
            </w:r>
            <w:r>
              <w:rPr>
                <w:rFonts w:hint="eastAsia" w:asciiTheme="minorEastAsia" w:hAnsiTheme="minorEastAsia" w:eastAsiaTheme="minorEastAsia"/>
                <w:bCs/>
                <w:color w:val="0070C0"/>
                <w:szCs w:val="21"/>
              </w:rPr>
              <w:t>报价已包含</w:t>
            </w:r>
            <w:r>
              <w:rPr>
                <w:rFonts w:hint="eastAsia" w:ascii="宋体" w:hAnsi="宋体"/>
                <w:bCs/>
                <w:color w:val="0070C0"/>
                <w:szCs w:val="21"/>
              </w:rPr>
              <w:t>保修期</w:t>
            </w:r>
            <w:r>
              <w:rPr>
                <w:rFonts w:hint="eastAsia" w:asciiTheme="minorEastAsia" w:hAnsiTheme="minorEastAsia" w:eastAsiaTheme="minorEastAsia"/>
                <w:bCs/>
                <w:color w:val="0070C0"/>
                <w:szCs w:val="21"/>
              </w:rPr>
              <w:t>内更换零配件及工时费</w:t>
            </w:r>
            <w:r>
              <w:rPr>
                <w:rFonts w:hint="eastAsia" w:asciiTheme="minorEastAsia" w:hAnsiTheme="minorEastAsia" w:eastAsiaTheme="minorEastAsia"/>
                <w:bCs/>
                <w:szCs w:val="21"/>
              </w:rPr>
              <w:t>。</w:t>
            </w:r>
          </w:p>
          <w:p w14:paraId="0CA4CB5F">
            <w:pPr>
              <w:adjustRightInd w:val="0"/>
              <w:snapToGrid w:val="0"/>
              <w:ind w:firstLine="360" w:firstLineChars="200"/>
              <w:rPr>
                <w:rFonts w:asciiTheme="minorEastAsia" w:hAnsiTheme="minorEastAsia" w:eastAsiaTheme="minorEastAsia"/>
                <w:bCs/>
                <w:sz w:val="18"/>
                <w:szCs w:val="21"/>
              </w:rPr>
            </w:pPr>
            <w:r>
              <w:rPr>
                <w:rFonts w:hint="eastAsia" w:asciiTheme="minorEastAsia" w:hAnsiTheme="minorEastAsia" w:eastAsiaTheme="minorEastAsia"/>
                <w:bCs/>
                <w:sz w:val="18"/>
                <w:szCs w:val="21"/>
              </w:rPr>
              <w:t>（备注：质保期是指投标人应在该期间内对本项目下交付的所有货物提供质量保证，不包括消耗品的配送。）</w:t>
            </w:r>
          </w:p>
          <w:p w14:paraId="2D799655">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7.2    4小时内响应，24 小时维修到位（不可抗力情况除外）。消耗品和零配件供应及时，质保期</w:t>
            </w:r>
            <w:r>
              <w:rPr>
                <w:rFonts w:asciiTheme="minorEastAsia" w:hAnsiTheme="minorEastAsia" w:eastAsiaTheme="minorEastAsia"/>
                <w:bCs/>
                <w:szCs w:val="21"/>
              </w:rPr>
              <w:t>内及外设备出现故障不能正常使用，</w:t>
            </w:r>
            <w:r>
              <w:rPr>
                <w:rFonts w:asciiTheme="minorEastAsia" w:hAnsiTheme="minorEastAsia" w:eastAsiaTheme="minorEastAsia"/>
                <w:bCs/>
                <w:color w:val="0070C0"/>
                <w:szCs w:val="21"/>
              </w:rPr>
              <w:t>中标</w:t>
            </w:r>
            <w:r>
              <w:rPr>
                <w:rFonts w:hint="eastAsia" w:asciiTheme="minorEastAsia" w:hAnsiTheme="minorEastAsia" w:eastAsiaTheme="minorEastAsia"/>
                <w:bCs/>
                <w:color w:val="0070C0"/>
                <w:szCs w:val="21"/>
              </w:rPr>
              <w:t>人报价已包含</w:t>
            </w:r>
            <w:r>
              <w:rPr>
                <w:rFonts w:asciiTheme="minorEastAsia" w:hAnsiTheme="minorEastAsia" w:eastAsiaTheme="minorEastAsia"/>
                <w:bCs/>
                <w:color w:val="0070C0"/>
                <w:szCs w:val="21"/>
              </w:rPr>
              <w:t>提供备用机给采购人使用直至设备修复完好投入使用</w:t>
            </w:r>
            <w:r>
              <w:rPr>
                <w:rFonts w:hint="eastAsia" w:asciiTheme="minorEastAsia" w:hAnsiTheme="minorEastAsia" w:eastAsiaTheme="minorEastAsia"/>
                <w:bCs/>
                <w:color w:val="0070C0"/>
                <w:szCs w:val="21"/>
              </w:rPr>
              <w:t>的服务</w:t>
            </w:r>
            <w:r>
              <w:rPr>
                <w:rFonts w:asciiTheme="minorEastAsia" w:hAnsiTheme="minorEastAsia" w:eastAsiaTheme="minorEastAsia"/>
                <w:bCs/>
                <w:color w:val="0070C0"/>
                <w:szCs w:val="21"/>
              </w:rPr>
              <w:t>。</w:t>
            </w:r>
          </w:p>
          <w:p w14:paraId="16266874">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7.3质保期满以后，中标人对设备终身负责维修、安装、升级软件服务，长期以优惠价提供零配件（中标供应商提供主要零配件报价单）。</w:t>
            </w:r>
          </w:p>
          <w:p w14:paraId="6D1673E8">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7.4</w:t>
            </w:r>
            <w:r>
              <w:rPr>
                <w:rFonts w:hint="eastAsia" w:asciiTheme="minorEastAsia" w:hAnsiTheme="minorEastAsia" w:eastAsiaTheme="minorEastAsia"/>
                <w:bCs/>
                <w:color w:val="0070C0"/>
                <w:szCs w:val="21"/>
              </w:rPr>
              <w:t>报价已包含终身提供软件升级服务,并开放设备接口，派人配合与医院各信息系统的连接工作</w:t>
            </w:r>
            <w:r>
              <w:rPr>
                <w:rFonts w:hint="eastAsia" w:asciiTheme="minorEastAsia" w:hAnsiTheme="minorEastAsia" w:eastAsiaTheme="minorEastAsia"/>
                <w:bCs/>
                <w:szCs w:val="21"/>
              </w:rPr>
              <w:t>，直至该设备与医院信息系统可进行完整的数据交换；在设备保修期内，当医院信息系统变更并需要与该设备连接时，</w:t>
            </w:r>
            <w:r>
              <w:rPr>
                <w:rFonts w:hint="eastAsia" w:asciiTheme="minorEastAsia" w:hAnsiTheme="minorEastAsia" w:eastAsiaTheme="minorEastAsia"/>
                <w:bCs/>
                <w:color w:val="0070C0"/>
                <w:szCs w:val="21"/>
              </w:rPr>
              <w:t>需派人</w:t>
            </w:r>
            <w:r>
              <w:rPr>
                <w:rFonts w:hint="eastAsia" w:asciiTheme="minorEastAsia" w:hAnsiTheme="minorEastAsia" w:eastAsiaTheme="minorEastAsia"/>
                <w:bCs/>
                <w:szCs w:val="21"/>
              </w:rPr>
              <w:t>配合直至该设备与医院信息系统可进行完整的数据交换</w:t>
            </w:r>
            <w:r>
              <w:rPr>
                <w:rFonts w:hint="eastAsia" w:asciiTheme="minorEastAsia" w:hAnsiTheme="minorEastAsia" w:eastAsiaTheme="minorEastAsia"/>
                <w:bCs/>
                <w:color w:val="0070C0"/>
                <w:szCs w:val="21"/>
              </w:rPr>
              <w:t>，且采购人无需另行支付费用。</w:t>
            </w:r>
          </w:p>
          <w:p w14:paraId="05DFD986">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7.5质保期内【设备故障率】≤【 5 】%。【设备故障率】未达要求的，每升高【1】%，质保期顺延【30 】天。当【设备故障率】≥【 10 】%时，投标人必须在采购人提出要求之日起【 30 】日内无条件更换新机，并按该设备总价的【5】%向采购人支付违约金，由此造成采购人其他损失的，中标人应另行赔偿。中标人维修的指定邮箱</w:t>
            </w:r>
            <w:r>
              <w:rPr>
                <w:rFonts w:asciiTheme="minorEastAsia" w:hAnsiTheme="minorEastAsia" w:eastAsiaTheme="minorEastAsia"/>
                <w:bCs/>
                <w:szCs w:val="21"/>
              </w:rPr>
              <w:t>，</w:t>
            </w:r>
            <w:r>
              <w:rPr>
                <w:rFonts w:hint="eastAsia" w:asciiTheme="minorEastAsia" w:hAnsiTheme="minorEastAsia" w:eastAsiaTheme="minorEastAsia"/>
                <w:bCs/>
                <w:szCs w:val="21"/>
              </w:rPr>
              <w:t>采购人维修通知的邮件发出后，视为采购人的维修通知送达中标人。</w:t>
            </w:r>
          </w:p>
          <w:p w14:paraId="61B61057">
            <w:pPr>
              <w:adjustRightInd w:val="0"/>
              <w:snapToGrid w:val="0"/>
              <w:ind w:firstLine="420" w:firstLineChars="200"/>
              <w:rPr>
                <w:rFonts w:asciiTheme="majorEastAsia" w:hAnsiTheme="majorEastAsia" w:eastAsiaTheme="majorEastAsia"/>
                <w:b/>
                <w:sz w:val="24"/>
                <w:szCs w:val="21"/>
              </w:rPr>
            </w:pPr>
            <w:r>
              <w:rPr>
                <w:rFonts w:hint="eastAsia" w:asciiTheme="minorEastAsia" w:hAnsiTheme="minorEastAsia" w:eastAsiaTheme="minorEastAsia"/>
                <w:bCs/>
                <w:szCs w:val="21"/>
              </w:rPr>
              <w:t>7.6</w:t>
            </w:r>
            <w:r>
              <w:rPr>
                <w:rFonts w:hint="eastAsia"/>
              </w:rPr>
              <w:t>质保期满后，中标人应以优惠价供应维修零配件、消耗品。签订合同时填写合同模板中的《设备配套消耗材料报价单》和《设备主要维修配件报价单》。采购人可与中标人就优惠价进行谈判，但优惠价不得高于签订合同时承诺的维修零配件、消耗品的报价。</w:t>
            </w:r>
            <w:r>
              <w:rPr>
                <w:rFonts w:hint="eastAsia" w:asciiTheme="minorEastAsia" w:hAnsiTheme="minorEastAsia" w:eastAsiaTheme="minorEastAsia"/>
                <w:bCs/>
                <w:szCs w:val="21"/>
              </w:rPr>
              <w:t>质保期</w:t>
            </w:r>
            <w:r>
              <w:rPr>
                <w:rFonts w:asciiTheme="minorEastAsia" w:hAnsiTheme="minorEastAsia" w:eastAsiaTheme="minorEastAsia"/>
                <w:bCs/>
                <w:szCs w:val="21"/>
              </w:rPr>
              <w:t>满后，</w:t>
            </w:r>
            <w:r>
              <w:rPr>
                <w:rFonts w:hint="eastAsia" w:asciiTheme="minorEastAsia" w:hAnsiTheme="minorEastAsia" w:eastAsiaTheme="minorEastAsia"/>
                <w:bCs/>
                <w:szCs w:val="21"/>
              </w:rPr>
              <w:t>中标</w:t>
            </w:r>
            <w:r>
              <w:rPr>
                <w:rFonts w:asciiTheme="minorEastAsia" w:hAnsiTheme="minorEastAsia" w:eastAsiaTheme="minorEastAsia"/>
                <w:bCs/>
                <w:szCs w:val="21"/>
              </w:rPr>
              <w:t>人应以优惠价供应维修零配件、消耗品和延续保修合同。价格最高的前5项零配件、消耗品和延续保修合同的报价明细必须填写于《合同报价清单》中。采购人可与</w:t>
            </w:r>
            <w:r>
              <w:rPr>
                <w:rFonts w:hint="eastAsia" w:asciiTheme="minorEastAsia" w:hAnsiTheme="minorEastAsia" w:eastAsiaTheme="minorEastAsia"/>
                <w:bCs/>
                <w:szCs w:val="21"/>
              </w:rPr>
              <w:t>中标</w:t>
            </w:r>
            <w:r>
              <w:rPr>
                <w:rFonts w:asciiTheme="minorEastAsia" w:hAnsiTheme="minorEastAsia" w:eastAsiaTheme="minorEastAsia"/>
                <w:bCs/>
                <w:szCs w:val="21"/>
              </w:rPr>
              <w:t>人就优惠价进行谈判，但优惠价不得高于</w:t>
            </w:r>
            <w:r>
              <w:rPr>
                <w:rFonts w:hint="eastAsia" w:asciiTheme="minorEastAsia" w:hAnsiTheme="minorEastAsia" w:eastAsiaTheme="minorEastAsia"/>
                <w:bCs/>
                <w:szCs w:val="21"/>
              </w:rPr>
              <w:t>中标</w:t>
            </w:r>
            <w:r>
              <w:rPr>
                <w:rFonts w:asciiTheme="minorEastAsia" w:hAnsiTheme="minorEastAsia" w:eastAsiaTheme="minorEastAsia"/>
                <w:bCs/>
                <w:szCs w:val="21"/>
              </w:rPr>
              <w:t>人在投标文件的《零配件、消耗品和延续保修合同报价清单》中承诺的维修零配件、消耗品和延续保修合同的报价。</w:t>
            </w:r>
          </w:p>
        </w:tc>
      </w:tr>
      <w:tr w14:paraId="706C4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765" w:type="dxa"/>
            <w:gridSpan w:val="3"/>
            <w:vAlign w:val="top"/>
          </w:tcPr>
          <w:p w14:paraId="560F5F5B">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 xml:space="preserve">八、培训要求 </w:t>
            </w:r>
          </w:p>
        </w:tc>
        <w:tc>
          <w:tcPr>
            <w:tcW w:w="8261" w:type="dxa"/>
            <w:gridSpan w:val="2"/>
            <w:vAlign w:val="top"/>
          </w:tcPr>
          <w:p w14:paraId="1969E423">
            <w:pPr>
              <w:adjustRightInd w:val="0"/>
              <w:snapToGrid w:val="0"/>
              <w:ind w:firstLine="420" w:firstLineChars="200"/>
              <w:rPr>
                <w:rFonts w:asciiTheme="majorEastAsia" w:hAnsiTheme="majorEastAsia" w:eastAsiaTheme="majorEastAsia"/>
                <w:b/>
                <w:sz w:val="24"/>
                <w:szCs w:val="21"/>
              </w:rPr>
            </w:pPr>
            <w:r>
              <w:rPr>
                <w:rFonts w:hint="eastAsia" w:asciiTheme="minorEastAsia" w:hAnsiTheme="minorEastAsia" w:eastAsiaTheme="minorEastAsia"/>
                <w:bCs/>
                <w:szCs w:val="21"/>
              </w:rPr>
              <w:t>需针对临床使用人员及工程人员设计培训方案，主要内容包括但不限于：临床使用及维护保养培训：设备的基本结构、性能、主要部件的构造及修理，日常使用保养与管理，常见故障的排除，紧急情况的处理等,直至能独立操作并附培训方案。</w:t>
            </w:r>
          </w:p>
        </w:tc>
      </w:tr>
      <w:tr w14:paraId="3FEF3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765" w:type="dxa"/>
            <w:gridSpan w:val="3"/>
            <w:vAlign w:val="top"/>
          </w:tcPr>
          <w:p w14:paraId="778FF56B">
            <w:pPr>
              <w:adjustRightInd w:val="0"/>
              <w:snapToGrid w:val="0"/>
              <w:rPr>
                <w:rFonts w:hint="eastAsia" w:asciiTheme="majorEastAsia" w:hAnsiTheme="majorEastAsia" w:eastAsiaTheme="majorEastAsia"/>
                <w:b/>
                <w:sz w:val="24"/>
                <w:szCs w:val="21"/>
                <w:highlight w:val="yellow"/>
              </w:rPr>
            </w:pPr>
            <w:r>
              <w:rPr>
                <w:rFonts w:hint="eastAsia" w:asciiTheme="majorEastAsia" w:hAnsiTheme="majorEastAsia" w:eastAsiaTheme="majorEastAsia"/>
                <w:b/>
                <w:sz w:val="24"/>
                <w:szCs w:val="21"/>
              </w:rPr>
              <w:t>九、违约责任</w:t>
            </w:r>
          </w:p>
        </w:tc>
        <w:tc>
          <w:tcPr>
            <w:tcW w:w="8261" w:type="dxa"/>
            <w:gridSpan w:val="2"/>
            <w:vAlign w:val="top"/>
          </w:tcPr>
          <w:p w14:paraId="294ADAB4">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9.1中标人所交设备的品种、型号、规格、质量、功能、技术参数等方面不能实质性满足招标文件，</w:t>
            </w:r>
            <w:r>
              <w:rPr>
                <w:rFonts w:asciiTheme="minorEastAsia" w:hAnsiTheme="minorEastAsia" w:eastAsiaTheme="minorEastAsia"/>
                <w:bCs/>
                <w:szCs w:val="21"/>
              </w:rPr>
              <w:t>交付的货物不符合合同规定的</w:t>
            </w:r>
            <w:r>
              <w:rPr>
                <w:rFonts w:hint="eastAsia" w:asciiTheme="minorEastAsia" w:hAnsiTheme="minorEastAsia" w:eastAsiaTheme="minorEastAsia"/>
                <w:bCs/>
                <w:szCs w:val="21"/>
              </w:rPr>
              <w:t>，采购人有权拒绝收货，且中标</w:t>
            </w:r>
            <w:r>
              <w:rPr>
                <w:rFonts w:asciiTheme="minorEastAsia" w:hAnsiTheme="minorEastAsia" w:eastAsiaTheme="minorEastAsia"/>
                <w:bCs/>
                <w:szCs w:val="21"/>
              </w:rPr>
              <w:t>人向采购人支付合同总价的5%</w:t>
            </w:r>
            <w:r>
              <w:rPr>
                <w:rFonts w:hint="eastAsia" w:asciiTheme="minorEastAsia" w:hAnsiTheme="minorEastAsia" w:eastAsiaTheme="minorEastAsia"/>
                <w:bCs/>
                <w:szCs w:val="21"/>
              </w:rPr>
              <w:t>的违约金。</w:t>
            </w:r>
          </w:p>
          <w:p w14:paraId="61FD245F">
            <w:pPr>
              <w:adjustRightInd w:val="0"/>
              <w:snapToGrid w:val="0"/>
              <w:ind w:firstLine="420" w:firstLineChars="200"/>
              <w:rPr>
                <w:rFonts w:hint="eastAsia" w:asciiTheme="majorEastAsia" w:hAnsiTheme="majorEastAsia" w:eastAsiaTheme="majorEastAsia"/>
                <w:b/>
                <w:sz w:val="24"/>
                <w:szCs w:val="21"/>
                <w:highlight w:val="yellow"/>
              </w:rPr>
            </w:pPr>
            <w:r>
              <w:rPr>
                <w:rFonts w:hint="eastAsia" w:asciiTheme="minorEastAsia" w:hAnsiTheme="minorEastAsia" w:eastAsiaTheme="minorEastAsia"/>
                <w:bCs/>
                <w:szCs w:val="21"/>
              </w:rPr>
              <w:t>9.2中标人逾期交货，或逾期完成安装调试，或货物逾期通过验收的，中标人均应支付逾期违约金，每日按合同总价的5‰计算；逾期超过三十日的，中标人需向采购人另行支付合同总价的10%的违约金，且采购人有权单方解除本合同，中标人于收到采购人发出的解除通知书后三日内无条件退回采购人已支付的全部款项。此条款与9.1条同时执行。</w:t>
            </w:r>
          </w:p>
        </w:tc>
      </w:tr>
      <w:tr w14:paraId="2467D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765" w:type="dxa"/>
            <w:gridSpan w:val="3"/>
            <w:tcBorders>
              <w:bottom w:val="single" w:color="auto" w:sz="4" w:space="0"/>
            </w:tcBorders>
            <w:vAlign w:val="top"/>
          </w:tcPr>
          <w:p w14:paraId="2D7E33B0">
            <w:pPr>
              <w:adjustRightInd w:val="0"/>
              <w:snapToGrid w:val="0"/>
              <w:rPr>
                <w:rFonts w:hint="eastAsia" w:asciiTheme="majorEastAsia" w:hAnsiTheme="majorEastAsia" w:eastAsiaTheme="majorEastAsia"/>
                <w:b/>
                <w:sz w:val="24"/>
                <w:szCs w:val="21"/>
                <w:highlight w:val="yellow"/>
              </w:rPr>
            </w:pPr>
            <w:r>
              <w:rPr>
                <w:rFonts w:hint="eastAsia" w:asciiTheme="majorEastAsia" w:hAnsiTheme="majorEastAsia" w:eastAsiaTheme="majorEastAsia"/>
                <w:b/>
                <w:sz w:val="24"/>
                <w:szCs w:val="21"/>
              </w:rPr>
              <w:t>十、其他</w:t>
            </w:r>
          </w:p>
        </w:tc>
        <w:tc>
          <w:tcPr>
            <w:tcW w:w="8261" w:type="dxa"/>
            <w:gridSpan w:val="2"/>
            <w:tcBorders>
              <w:bottom w:val="single" w:color="auto" w:sz="4" w:space="0"/>
            </w:tcBorders>
            <w:vAlign w:val="top"/>
          </w:tcPr>
          <w:p w14:paraId="2A5261D8">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10.1如有设备相关耗材、试剂或易损器械，设备及主要维修配件，请提供并分别列出它们的优惠价格。</w:t>
            </w:r>
          </w:p>
          <w:p w14:paraId="21A0971F">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10.2设备电源插头符合使用科室现有的插座，如不符合提供相应的插头转换接口。</w:t>
            </w:r>
          </w:p>
          <w:p w14:paraId="2258D3C3">
            <w:pPr>
              <w:adjustRightInd w:val="0"/>
              <w:snapToGrid w:val="0"/>
              <w:ind w:firstLine="420" w:firstLineChars="200"/>
              <w:rPr>
                <w:rFonts w:asciiTheme="minorEastAsia" w:hAnsiTheme="minorEastAsia" w:eastAsiaTheme="minorEastAsia"/>
                <w:bCs/>
                <w:szCs w:val="21"/>
              </w:rPr>
            </w:pPr>
            <w:r>
              <w:rPr>
                <w:rFonts w:asciiTheme="minorEastAsia" w:hAnsiTheme="minorEastAsia" w:eastAsiaTheme="minorEastAsia"/>
                <w:bCs/>
                <w:szCs w:val="21"/>
              </w:rPr>
              <w:t>10.</w:t>
            </w:r>
            <w:r>
              <w:rPr>
                <w:rFonts w:hint="eastAsia" w:asciiTheme="minorEastAsia" w:hAnsiTheme="minorEastAsia" w:eastAsiaTheme="minorEastAsia"/>
                <w:bCs/>
                <w:szCs w:val="21"/>
              </w:rPr>
              <w:t>3如涉及工程类需提供相关的电路图、施工图，安装工程所涉及到的全部费用（包含但不限于装修费、旧设备拆装费、总承包管理服务费、安装如涉及外接电源、网络、给排水、排风等必须对现有设施进行改造或增加管线、材料及人工等），均由中标人承担，电源电线插座、长度和用电等需符合采购人的使用要求，所供设备均需妥善安装确保采购人可正常使用。</w:t>
            </w:r>
          </w:p>
          <w:p w14:paraId="1C9CC08C">
            <w:pPr>
              <w:adjustRightInd w:val="0"/>
              <w:snapToGrid w:val="0"/>
              <w:ind w:firstLine="420" w:firstLineChars="200"/>
              <w:rPr>
                <w:rFonts w:hint="eastAsia" w:asciiTheme="majorEastAsia" w:hAnsiTheme="majorEastAsia" w:eastAsiaTheme="majorEastAsia"/>
                <w:b/>
                <w:sz w:val="24"/>
                <w:szCs w:val="21"/>
                <w:highlight w:val="yellow"/>
              </w:rPr>
            </w:pPr>
            <w:r>
              <w:rPr>
                <w:rFonts w:hint="eastAsia" w:asciiTheme="minorEastAsia" w:hAnsiTheme="minorEastAsia" w:eastAsiaTheme="minorEastAsia"/>
                <w:bCs/>
                <w:szCs w:val="21"/>
              </w:rPr>
              <w:t>10.4中标人所交付货物、工程或服务不符合其投标承诺的，或在投标阶段为中标而盲目虚假承诺、低价恶性竞争，在履约阶段则通过偷工减料、以次充好而获取利润的，将不予验收，并交主管部门遵照相关规定处理，所有责任由中标人一力承担。</w:t>
            </w:r>
          </w:p>
        </w:tc>
      </w:tr>
    </w:tbl>
    <w:p w14:paraId="407FB9C1">
      <w:pPr>
        <w:spacing w:line="360" w:lineRule="auto"/>
        <w:ind w:firstLine="150" w:firstLineChars="100"/>
        <w:rPr>
          <w:rFonts w:cs="方正小标宋简体" w:asciiTheme="majorEastAsia" w:hAnsiTheme="majorEastAsia" w:eastAsiaTheme="majorEastAsia"/>
          <w:sz w:val="15"/>
          <w:szCs w:val="15"/>
        </w:rPr>
      </w:pPr>
    </w:p>
    <w:p w14:paraId="47C41F07">
      <w:pPr>
        <w:spacing w:line="540" w:lineRule="exact"/>
        <w:ind w:left="400"/>
        <w:jc w:val="center"/>
        <w:rPr>
          <w:rFonts w:cs="方正小标宋简体" w:asciiTheme="majorEastAsia" w:hAnsiTheme="majorEastAsia" w:eastAsiaTheme="majorEastAsia"/>
          <w:b/>
          <w:sz w:val="36"/>
          <w:szCs w:val="36"/>
        </w:rPr>
      </w:pPr>
      <w:r>
        <w:rPr>
          <w:rFonts w:hint="eastAsia" w:cs="方正小标宋简体" w:asciiTheme="majorEastAsia" w:hAnsiTheme="majorEastAsia" w:eastAsiaTheme="majorEastAsia"/>
          <w:b/>
          <w:sz w:val="36"/>
          <w:szCs w:val="36"/>
        </w:rPr>
        <w:t>第三部分</w:t>
      </w:r>
      <w:r>
        <w:rPr>
          <w:rFonts w:cs="方正小标宋简体" w:asciiTheme="majorEastAsia" w:hAnsiTheme="majorEastAsia" w:eastAsiaTheme="majorEastAsia"/>
          <w:b/>
          <w:sz w:val="36"/>
          <w:szCs w:val="36"/>
        </w:rPr>
        <w:t xml:space="preserve"> </w:t>
      </w:r>
      <w:r>
        <w:rPr>
          <w:rFonts w:hint="eastAsia" w:cs="方正小标宋简体" w:asciiTheme="majorEastAsia" w:hAnsiTheme="majorEastAsia" w:eastAsiaTheme="majorEastAsia"/>
          <w:b/>
          <w:sz w:val="36"/>
          <w:szCs w:val="36"/>
        </w:rPr>
        <w:t>其他说明</w:t>
      </w:r>
    </w:p>
    <w:p w14:paraId="04EC1159">
      <w:pPr>
        <w:pStyle w:val="3"/>
        <w:ind w:left="400"/>
        <w:rPr>
          <w:rFonts w:asciiTheme="majorEastAsia" w:hAnsiTheme="majorEastAsia" w:eastAsiaTheme="majorEastAsia"/>
        </w:rPr>
      </w:pPr>
      <w:r>
        <w:rPr>
          <w:rFonts w:hint="eastAsia" w:asciiTheme="majorEastAsia" w:hAnsiTheme="majorEastAsia" w:eastAsiaTheme="majorEastAsia"/>
        </w:rPr>
        <w:t>（如有需特殊说明的情况，请列明，包括但不限于设备有专机专用试剂耗材、安装场地要求、信息系统等特殊需求）</w:t>
      </w:r>
    </w:p>
    <w:tbl>
      <w:tblPr>
        <w:tblStyle w:val="9"/>
        <w:tblW w:w="10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0"/>
        <w:gridCol w:w="7760"/>
      </w:tblGrid>
      <w:tr w14:paraId="7346D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60" w:type="dxa"/>
            <w:vAlign w:val="center"/>
          </w:tcPr>
          <w:p w14:paraId="4A2F0EB2">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有无配套耗材</w:t>
            </w:r>
          </w:p>
        </w:tc>
        <w:tc>
          <w:tcPr>
            <w:tcW w:w="7760" w:type="dxa"/>
            <w:vAlign w:val="center"/>
          </w:tcPr>
          <w:p w14:paraId="0F838CA3">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□有配套耗材（是否专机专用：□是 □否）（具体列明）：______________</w:t>
            </w:r>
          </w:p>
          <w:p w14:paraId="5FC71478">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 xml:space="preserve">  是否有同类在库：□是 □否</w:t>
            </w:r>
          </w:p>
          <w:p w14:paraId="336FAFFA">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 xml:space="preserve">  是否需要新准入：□是 □否</w:t>
            </w:r>
          </w:p>
          <w:p w14:paraId="7E950F4C">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lang w:eastAsia="zh-CN"/>
              </w:rPr>
              <w:t>☑</w:t>
            </w:r>
            <w:r>
              <w:rPr>
                <w:rFonts w:hint="eastAsia" w:asciiTheme="majorEastAsia" w:hAnsiTheme="majorEastAsia" w:eastAsiaTheme="majorEastAsia"/>
                <w:b/>
                <w:sz w:val="24"/>
                <w:szCs w:val="21"/>
              </w:rPr>
              <w:t xml:space="preserve">无配套耗材 </w:t>
            </w:r>
          </w:p>
        </w:tc>
      </w:tr>
      <w:tr w14:paraId="0E173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60" w:type="dxa"/>
            <w:vAlign w:val="center"/>
          </w:tcPr>
          <w:p w14:paraId="7D35E9A9">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有无配套试剂</w:t>
            </w:r>
          </w:p>
        </w:tc>
        <w:tc>
          <w:tcPr>
            <w:tcW w:w="7760" w:type="dxa"/>
            <w:vAlign w:val="center"/>
          </w:tcPr>
          <w:p w14:paraId="1207FBC6">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□有配套试剂（是否专机专用：□是 □否）（具体列明）：___________</w:t>
            </w:r>
          </w:p>
          <w:p w14:paraId="60FDE6B1">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 xml:space="preserve">  是否有同类在库：□是 □否</w:t>
            </w:r>
          </w:p>
          <w:p w14:paraId="4942B2D0">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lang w:eastAsia="zh-CN"/>
              </w:rPr>
              <w:t>☑</w:t>
            </w:r>
            <w:r>
              <w:rPr>
                <w:rFonts w:hint="eastAsia" w:asciiTheme="majorEastAsia" w:hAnsiTheme="majorEastAsia" w:eastAsiaTheme="majorEastAsia"/>
                <w:b/>
                <w:sz w:val="24"/>
                <w:szCs w:val="21"/>
              </w:rPr>
              <w:t xml:space="preserve">无配套试剂 </w:t>
            </w:r>
          </w:p>
        </w:tc>
      </w:tr>
      <w:tr w14:paraId="4002A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60" w:type="dxa"/>
            <w:vAlign w:val="center"/>
          </w:tcPr>
          <w:p w14:paraId="2524FFBD">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安装场地特殊条件</w:t>
            </w:r>
          </w:p>
        </w:tc>
        <w:tc>
          <w:tcPr>
            <w:tcW w:w="7760" w:type="dxa"/>
            <w:vAlign w:val="center"/>
          </w:tcPr>
          <w:p w14:paraId="337C6A0E">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□有（具体列明）：______________________</w:t>
            </w:r>
          </w:p>
          <w:p w14:paraId="599D3E80">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lang w:eastAsia="zh-CN"/>
              </w:rPr>
              <w:t>☑</w:t>
            </w:r>
            <w:r>
              <w:rPr>
                <w:rFonts w:hint="eastAsia" w:asciiTheme="majorEastAsia" w:hAnsiTheme="majorEastAsia" w:eastAsiaTheme="majorEastAsia"/>
                <w:b/>
                <w:sz w:val="24"/>
                <w:szCs w:val="21"/>
              </w:rPr>
              <w:t xml:space="preserve">无   </w:t>
            </w:r>
          </w:p>
        </w:tc>
      </w:tr>
      <w:tr w14:paraId="46788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60" w:type="dxa"/>
            <w:vAlign w:val="center"/>
          </w:tcPr>
          <w:p w14:paraId="3DEF49F5">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信息系统配套设施（接口费等）</w:t>
            </w:r>
          </w:p>
        </w:tc>
        <w:tc>
          <w:tcPr>
            <w:tcW w:w="7760" w:type="dxa"/>
            <w:vAlign w:val="center"/>
          </w:tcPr>
          <w:p w14:paraId="7CDFFF8D">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□有（具体列明）：______________________</w:t>
            </w:r>
          </w:p>
          <w:p w14:paraId="7DA89C28">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lang w:eastAsia="zh-CN"/>
              </w:rPr>
              <w:t>☑</w:t>
            </w:r>
            <w:r>
              <w:rPr>
                <w:rFonts w:hint="eastAsia" w:asciiTheme="majorEastAsia" w:hAnsiTheme="majorEastAsia" w:eastAsiaTheme="majorEastAsia"/>
                <w:b/>
                <w:sz w:val="24"/>
                <w:szCs w:val="21"/>
              </w:rPr>
              <w:t xml:space="preserve">无   </w:t>
            </w:r>
          </w:p>
        </w:tc>
      </w:tr>
      <w:tr w14:paraId="669FB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60" w:type="dxa"/>
            <w:vAlign w:val="center"/>
          </w:tcPr>
          <w:p w14:paraId="67DE15B0">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是否三家以上生产厂家为中小微企业</w:t>
            </w:r>
          </w:p>
        </w:tc>
        <w:tc>
          <w:tcPr>
            <w:tcW w:w="7760" w:type="dxa"/>
            <w:vAlign w:val="center"/>
          </w:tcPr>
          <w:p w14:paraId="66557EF9">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lang w:eastAsia="zh-CN"/>
              </w:rPr>
              <w:t>☑</w:t>
            </w:r>
            <w:r>
              <w:rPr>
                <w:rFonts w:hint="eastAsia" w:asciiTheme="majorEastAsia" w:hAnsiTheme="majorEastAsia" w:eastAsiaTheme="majorEastAsia"/>
                <w:b/>
                <w:sz w:val="24"/>
                <w:szCs w:val="21"/>
              </w:rPr>
              <w:t>是（具体列明）：</w:t>
            </w:r>
            <w:r>
              <w:rPr>
                <w:rFonts w:hint="eastAsia" w:asciiTheme="majorEastAsia" w:hAnsiTheme="majorEastAsia" w:eastAsiaTheme="majorEastAsia"/>
                <w:b/>
                <w:sz w:val="24"/>
                <w:szCs w:val="21"/>
                <w:lang w:eastAsia="zh-CN"/>
              </w:rPr>
              <w:t>☑</w:t>
            </w:r>
            <w:r>
              <w:rPr>
                <w:rFonts w:hint="eastAsia" w:asciiTheme="majorEastAsia" w:hAnsiTheme="majorEastAsia" w:eastAsiaTheme="majorEastAsia"/>
                <w:b/>
                <w:sz w:val="24"/>
                <w:szCs w:val="21"/>
              </w:rPr>
              <w:t>中型企业；□小微企业</w:t>
            </w:r>
          </w:p>
          <w:p w14:paraId="761949F4">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□否</w:t>
            </w:r>
          </w:p>
        </w:tc>
      </w:tr>
      <w:tr w14:paraId="1607B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2660" w:type="dxa"/>
            <w:vAlign w:val="center"/>
          </w:tcPr>
          <w:p w14:paraId="2515DD99">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设备使用年限</w:t>
            </w:r>
          </w:p>
        </w:tc>
        <w:tc>
          <w:tcPr>
            <w:tcW w:w="7760" w:type="dxa"/>
            <w:vAlign w:val="center"/>
          </w:tcPr>
          <w:p w14:paraId="3F332D36">
            <w:pPr>
              <w:adjustRightInd w:val="0"/>
              <w:snapToGrid w:val="0"/>
              <w:rPr>
                <w:rFonts w:hint="default" w:ascii="宋体" w:hAnsi="宋体" w:eastAsia="宋体" w:cs="宋体"/>
                <w:bCs/>
                <w:color w:val="000000"/>
                <w:szCs w:val="21"/>
                <w:lang w:val="en-US" w:eastAsia="zh-CN"/>
              </w:rPr>
            </w:pPr>
            <w:r>
              <w:rPr>
                <w:rFonts w:hint="eastAsia" w:ascii="宋体" w:hAnsi="宋体" w:cs="宋体"/>
                <w:bCs/>
                <w:color w:val="000000"/>
                <w:szCs w:val="21"/>
                <w:lang w:val="en-US" w:eastAsia="zh-CN"/>
              </w:rPr>
              <w:t>10</w:t>
            </w:r>
          </w:p>
        </w:tc>
      </w:tr>
      <w:tr w14:paraId="50B7B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2660" w:type="dxa"/>
            <w:vAlign w:val="center"/>
          </w:tcPr>
          <w:p w14:paraId="5B6B302E">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是否纳入医疗器械目录</w:t>
            </w:r>
          </w:p>
        </w:tc>
        <w:tc>
          <w:tcPr>
            <w:tcW w:w="7760" w:type="dxa"/>
            <w:vAlign w:val="center"/>
          </w:tcPr>
          <w:p w14:paraId="7A3CCD67">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lang w:eastAsia="zh-CN"/>
              </w:rPr>
              <w:t>☑</w:t>
            </w:r>
            <w:r>
              <w:rPr>
                <w:rFonts w:hint="eastAsia" w:asciiTheme="majorEastAsia" w:hAnsiTheme="majorEastAsia" w:eastAsiaTheme="majorEastAsia"/>
                <w:b/>
                <w:sz w:val="24"/>
                <w:szCs w:val="21"/>
              </w:rPr>
              <w:t xml:space="preserve">有（具体列明）：□一类  </w:t>
            </w:r>
            <w:r>
              <w:rPr>
                <w:rFonts w:hint="eastAsia" w:asciiTheme="majorEastAsia" w:hAnsiTheme="majorEastAsia" w:eastAsiaTheme="majorEastAsia"/>
                <w:b/>
                <w:sz w:val="24"/>
                <w:szCs w:val="21"/>
                <w:lang w:eastAsia="zh-CN"/>
              </w:rPr>
              <w:t>☑</w:t>
            </w:r>
            <w:r>
              <w:rPr>
                <w:rFonts w:hint="eastAsia" w:asciiTheme="majorEastAsia" w:hAnsiTheme="majorEastAsia" w:eastAsiaTheme="majorEastAsia"/>
                <w:b/>
                <w:sz w:val="24"/>
                <w:szCs w:val="21"/>
              </w:rPr>
              <w:t>二类   □三类   □至少为   类</w:t>
            </w:r>
          </w:p>
          <w:p w14:paraId="16A502EE">
            <w:pPr>
              <w:adjustRightInd w:val="0"/>
              <w:snapToGrid w:val="0"/>
              <w:rPr>
                <w:rFonts w:ascii="宋体" w:hAnsi="宋体" w:cs="宋体"/>
                <w:bCs/>
                <w:color w:val="000000"/>
                <w:szCs w:val="21"/>
              </w:rPr>
            </w:pPr>
            <w:r>
              <w:rPr>
                <w:rFonts w:hint="eastAsia" w:asciiTheme="majorEastAsia" w:hAnsiTheme="majorEastAsia" w:eastAsiaTheme="majorEastAsia"/>
                <w:b/>
                <w:sz w:val="24"/>
                <w:szCs w:val="21"/>
              </w:rPr>
              <w:t xml:space="preserve">□无  </w:t>
            </w:r>
          </w:p>
        </w:tc>
      </w:tr>
      <w:tr w14:paraId="0C8C1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2660" w:type="dxa"/>
            <w:vAlign w:val="center"/>
          </w:tcPr>
          <w:p w14:paraId="0E8C56A4">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其他设备特殊资格要求</w:t>
            </w:r>
          </w:p>
        </w:tc>
        <w:tc>
          <w:tcPr>
            <w:tcW w:w="7760" w:type="dxa"/>
            <w:vAlign w:val="center"/>
          </w:tcPr>
          <w:p w14:paraId="5C783353">
            <w:pPr>
              <w:adjustRightInd w:val="0"/>
              <w:snapToGrid w:val="0"/>
              <w:rPr>
                <w:rFonts w:hint="eastAsia" w:asciiTheme="majorEastAsia" w:hAnsiTheme="majorEastAsia" w:eastAsiaTheme="majorEastAsia"/>
                <w:b/>
                <w:sz w:val="24"/>
                <w:szCs w:val="21"/>
                <w:lang w:val="en-US" w:eastAsia="zh-CN"/>
              </w:rPr>
            </w:pPr>
            <w:r>
              <w:rPr>
                <w:rFonts w:hint="eastAsia" w:asciiTheme="majorEastAsia" w:hAnsiTheme="majorEastAsia" w:eastAsiaTheme="majorEastAsia"/>
                <w:b/>
                <w:sz w:val="24"/>
                <w:szCs w:val="21"/>
                <w:lang w:val="en-US" w:eastAsia="zh-CN"/>
              </w:rPr>
              <w:t>无</w:t>
            </w:r>
          </w:p>
        </w:tc>
      </w:tr>
    </w:tbl>
    <w:p w14:paraId="6290A053">
      <w:pPr>
        <w:spacing w:line="540" w:lineRule="exact"/>
        <w:ind w:left="400"/>
        <w:jc w:val="center"/>
        <w:rPr>
          <w:rFonts w:hint="eastAsia" w:cs="方正小标宋简体" w:asciiTheme="majorEastAsia" w:hAnsiTheme="majorEastAsia" w:eastAsiaTheme="majorEastAsia"/>
          <w:b/>
          <w:sz w:val="36"/>
          <w:szCs w:val="36"/>
        </w:rPr>
      </w:pPr>
    </w:p>
    <w:p w14:paraId="607A08AE">
      <w:pPr>
        <w:spacing w:line="360" w:lineRule="auto"/>
        <w:ind w:left="400"/>
        <w:jc w:val="center"/>
        <w:rPr>
          <w:rFonts w:hint="eastAsia" w:cs="方正小标宋简体" w:asciiTheme="majorEastAsia" w:hAnsiTheme="majorEastAsia" w:eastAsiaTheme="majorEastAsia"/>
          <w:b/>
          <w:sz w:val="36"/>
          <w:szCs w:val="36"/>
        </w:rPr>
      </w:pPr>
    </w:p>
    <w:p w14:paraId="768067D5">
      <w:pPr>
        <w:spacing w:line="360" w:lineRule="auto"/>
        <w:ind w:left="400"/>
        <w:jc w:val="center"/>
        <w:rPr>
          <w:rFonts w:cs="方正小标宋简体" w:asciiTheme="majorEastAsia" w:hAnsiTheme="majorEastAsia" w:eastAsiaTheme="majorEastAsia"/>
          <w:sz w:val="36"/>
          <w:szCs w:val="36"/>
        </w:rPr>
      </w:pPr>
      <w:r>
        <w:rPr>
          <w:rFonts w:hint="eastAsia" w:cs="方正小标宋简体" w:asciiTheme="majorEastAsia" w:hAnsiTheme="majorEastAsia" w:eastAsiaTheme="majorEastAsia"/>
          <w:b/>
          <w:sz w:val="36"/>
          <w:szCs w:val="36"/>
        </w:rPr>
        <w:t>第四部分 零配件、消耗品和延续保修合同报价明细清单</w:t>
      </w:r>
    </w:p>
    <w:p w14:paraId="23D4C332">
      <w:pPr>
        <w:adjustRightInd w:val="0"/>
        <w:snapToGrid w:val="0"/>
        <w:spacing w:line="360" w:lineRule="auto"/>
        <w:jc w:val="center"/>
        <w:rPr>
          <w:rFonts w:asciiTheme="majorEastAsia" w:hAnsiTheme="majorEastAsia" w:eastAsiaTheme="majorEastAsia"/>
          <w:bCs/>
          <w:sz w:val="28"/>
        </w:rPr>
      </w:pPr>
      <w:r>
        <w:rPr>
          <w:rFonts w:hint="eastAsia" w:asciiTheme="majorEastAsia" w:hAnsiTheme="majorEastAsia" w:eastAsiaTheme="majorEastAsia"/>
          <w:bCs/>
          <w:sz w:val="28"/>
        </w:rPr>
        <w:t>（该部分报价不包括在预算总价内）</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8"/>
        <w:gridCol w:w="2075"/>
        <w:gridCol w:w="1431"/>
        <w:gridCol w:w="2249"/>
        <w:gridCol w:w="1657"/>
        <w:gridCol w:w="1672"/>
      </w:tblGrid>
      <w:tr w14:paraId="6CAFA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906" w:type="dxa"/>
            <w:vAlign w:val="center"/>
          </w:tcPr>
          <w:p w14:paraId="26E95C84">
            <w:pPr>
              <w:adjustRightInd w:val="0"/>
              <w:snapToGrid w:val="0"/>
              <w:spacing w:line="300" w:lineRule="auto"/>
              <w:jc w:val="center"/>
              <w:rPr>
                <w:rFonts w:asciiTheme="majorEastAsia" w:hAnsiTheme="majorEastAsia" w:eastAsiaTheme="majorEastAsia"/>
                <w:b/>
                <w:sz w:val="24"/>
                <w:szCs w:val="21"/>
              </w:rPr>
            </w:pPr>
            <w:r>
              <w:rPr>
                <w:rFonts w:asciiTheme="majorEastAsia" w:hAnsiTheme="majorEastAsia" w:eastAsiaTheme="majorEastAsia"/>
                <w:b/>
                <w:sz w:val="24"/>
                <w:szCs w:val="21"/>
              </w:rPr>
              <w:t>序号</w:t>
            </w:r>
          </w:p>
        </w:tc>
        <w:tc>
          <w:tcPr>
            <w:tcW w:w="2175" w:type="dxa"/>
            <w:vAlign w:val="center"/>
          </w:tcPr>
          <w:p w14:paraId="470E2058">
            <w:pPr>
              <w:adjustRightInd w:val="0"/>
              <w:snapToGrid w:val="0"/>
              <w:spacing w:line="300" w:lineRule="auto"/>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货物</w:t>
            </w:r>
            <w:r>
              <w:rPr>
                <w:rFonts w:asciiTheme="majorEastAsia" w:hAnsiTheme="majorEastAsia" w:eastAsiaTheme="majorEastAsia"/>
                <w:b/>
                <w:sz w:val="24"/>
                <w:szCs w:val="21"/>
              </w:rPr>
              <w:t>名称</w:t>
            </w:r>
          </w:p>
        </w:tc>
        <w:tc>
          <w:tcPr>
            <w:tcW w:w="1496" w:type="dxa"/>
            <w:vAlign w:val="center"/>
          </w:tcPr>
          <w:p w14:paraId="512DF2EC">
            <w:pPr>
              <w:adjustRightInd w:val="0"/>
              <w:snapToGrid w:val="0"/>
              <w:spacing w:line="300" w:lineRule="auto"/>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规格/型号</w:t>
            </w:r>
          </w:p>
        </w:tc>
        <w:tc>
          <w:tcPr>
            <w:tcW w:w="2369" w:type="dxa"/>
            <w:vAlign w:val="center"/>
          </w:tcPr>
          <w:p w14:paraId="5B9FBE9A">
            <w:pPr>
              <w:adjustRightInd w:val="0"/>
              <w:snapToGrid w:val="0"/>
              <w:spacing w:line="300" w:lineRule="auto"/>
              <w:jc w:val="center"/>
              <w:rPr>
                <w:rFonts w:asciiTheme="majorEastAsia" w:hAnsiTheme="majorEastAsia" w:eastAsiaTheme="majorEastAsia"/>
                <w:b/>
                <w:sz w:val="24"/>
                <w:szCs w:val="21"/>
              </w:rPr>
            </w:pPr>
            <w:r>
              <w:rPr>
                <w:rFonts w:asciiTheme="majorEastAsia" w:hAnsiTheme="majorEastAsia" w:eastAsiaTheme="majorEastAsia"/>
                <w:b/>
                <w:sz w:val="24"/>
                <w:szCs w:val="21"/>
              </w:rPr>
              <w:t>制造厂商</w:t>
            </w:r>
          </w:p>
        </w:tc>
        <w:tc>
          <w:tcPr>
            <w:tcW w:w="1737" w:type="dxa"/>
            <w:vAlign w:val="center"/>
          </w:tcPr>
          <w:p w14:paraId="077C9915">
            <w:pPr>
              <w:adjustRightInd w:val="0"/>
              <w:snapToGrid w:val="0"/>
              <w:spacing w:line="300" w:lineRule="auto"/>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原产地</w:t>
            </w:r>
          </w:p>
        </w:tc>
        <w:tc>
          <w:tcPr>
            <w:tcW w:w="1737" w:type="dxa"/>
            <w:vAlign w:val="center"/>
          </w:tcPr>
          <w:p w14:paraId="2394BAC1">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单价(元)</w:t>
            </w:r>
          </w:p>
        </w:tc>
      </w:tr>
      <w:tr w14:paraId="0D183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906" w:type="dxa"/>
          </w:tcPr>
          <w:p w14:paraId="63D5DB37">
            <w:pPr>
              <w:widowControl/>
              <w:numPr>
                <w:ilvl w:val="0"/>
                <w:numId w:val="2"/>
              </w:numPr>
              <w:ind w:left="425" w:leftChars="0" w:hanging="425" w:firstLineChars="0"/>
              <w:rPr>
                <w:rFonts w:cs="方正小标宋简体" w:asciiTheme="majorEastAsia" w:hAnsiTheme="majorEastAsia" w:eastAsiaTheme="majorEastAsia"/>
                <w:sz w:val="24"/>
              </w:rPr>
            </w:pPr>
          </w:p>
        </w:tc>
        <w:tc>
          <w:tcPr>
            <w:tcW w:w="2175" w:type="dxa"/>
            <w:vAlign w:val="top"/>
          </w:tcPr>
          <w:p w14:paraId="5B8E9F51">
            <w:pPr>
              <w:spacing w:before="48" w:line="360" w:lineRule="auto"/>
              <w:rPr>
                <w:rFonts w:cs="方正小标宋简体" w:asciiTheme="majorEastAsia" w:hAnsiTheme="majorEastAsia" w:eastAsiaTheme="majorEastAsia"/>
                <w:sz w:val="24"/>
              </w:rPr>
            </w:pPr>
            <w:r>
              <w:rPr>
                <w:rFonts w:ascii="宋体" w:hAnsi="宋体" w:eastAsia="宋体" w:cs="Times New Roman"/>
                <w:sz w:val="24"/>
                <w:szCs w:val="24"/>
                <w:lang w:eastAsia="zh-CN"/>
              </w:rPr>
              <w:t>ECG心电导联线</w:t>
            </w:r>
          </w:p>
        </w:tc>
        <w:tc>
          <w:tcPr>
            <w:tcW w:w="1496" w:type="dxa"/>
            <w:vAlign w:val="top"/>
          </w:tcPr>
          <w:p w14:paraId="64BC031B">
            <w:pPr>
              <w:spacing w:before="48"/>
              <w:rPr>
                <w:rFonts w:cs="方正小标宋简体" w:asciiTheme="majorEastAsia" w:hAnsiTheme="majorEastAsia" w:eastAsiaTheme="majorEastAsia"/>
                <w:sz w:val="24"/>
              </w:rPr>
            </w:pPr>
          </w:p>
        </w:tc>
        <w:tc>
          <w:tcPr>
            <w:tcW w:w="2369" w:type="dxa"/>
            <w:vAlign w:val="center"/>
          </w:tcPr>
          <w:p w14:paraId="04C976DA">
            <w:pPr>
              <w:spacing w:before="48"/>
              <w:rPr>
                <w:rFonts w:cs="方正小标宋简体" w:asciiTheme="majorEastAsia" w:hAnsiTheme="majorEastAsia" w:eastAsiaTheme="majorEastAsia"/>
                <w:sz w:val="24"/>
              </w:rPr>
            </w:pPr>
          </w:p>
        </w:tc>
        <w:tc>
          <w:tcPr>
            <w:tcW w:w="1737" w:type="dxa"/>
            <w:vAlign w:val="top"/>
          </w:tcPr>
          <w:p w14:paraId="165E5439">
            <w:pPr>
              <w:spacing w:before="48"/>
              <w:rPr>
                <w:rFonts w:cs="方正小标宋简体" w:asciiTheme="majorEastAsia" w:hAnsiTheme="majorEastAsia" w:eastAsiaTheme="majorEastAsia"/>
                <w:sz w:val="24"/>
              </w:rPr>
            </w:pPr>
          </w:p>
        </w:tc>
        <w:tc>
          <w:tcPr>
            <w:tcW w:w="1737" w:type="dxa"/>
            <w:vAlign w:val="top"/>
          </w:tcPr>
          <w:p w14:paraId="2A2B666A">
            <w:pPr>
              <w:spacing w:before="48"/>
              <w:jc w:val="center"/>
              <w:rPr>
                <w:rFonts w:cs="方正小标宋简体" w:asciiTheme="majorEastAsia" w:hAnsiTheme="majorEastAsia" w:eastAsiaTheme="majorEastAsia"/>
                <w:sz w:val="24"/>
              </w:rPr>
            </w:pPr>
          </w:p>
        </w:tc>
      </w:tr>
      <w:tr w14:paraId="453E4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906" w:type="dxa"/>
          </w:tcPr>
          <w:p w14:paraId="171691C2">
            <w:pPr>
              <w:widowControl/>
              <w:numPr>
                <w:ilvl w:val="0"/>
                <w:numId w:val="2"/>
              </w:numPr>
              <w:ind w:left="425" w:leftChars="0" w:hanging="425" w:firstLineChars="0"/>
              <w:rPr>
                <w:rFonts w:cs="方正小标宋简体" w:asciiTheme="majorEastAsia" w:hAnsiTheme="majorEastAsia" w:eastAsiaTheme="majorEastAsia"/>
                <w:sz w:val="24"/>
              </w:rPr>
            </w:pPr>
          </w:p>
        </w:tc>
        <w:tc>
          <w:tcPr>
            <w:tcW w:w="2175" w:type="dxa"/>
            <w:vAlign w:val="top"/>
          </w:tcPr>
          <w:p w14:paraId="135E6259">
            <w:pPr>
              <w:spacing w:before="48" w:line="360" w:lineRule="auto"/>
              <w:rPr>
                <w:rFonts w:cs="方正小标宋简体" w:asciiTheme="majorEastAsia" w:hAnsiTheme="majorEastAsia" w:eastAsiaTheme="majorEastAsia"/>
                <w:sz w:val="24"/>
              </w:rPr>
            </w:pPr>
            <w:r>
              <w:rPr>
                <w:rFonts w:ascii="宋体" w:hAnsi="宋体" w:eastAsia="宋体" w:cs="Times New Roman"/>
                <w:sz w:val="24"/>
                <w:szCs w:val="24"/>
                <w:lang w:eastAsia="zh-CN"/>
              </w:rPr>
              <w:t>重复使用心电电极</w:t>
            </w:r>
          </w:p>
        </w:tc>
        <w:tc>
          <w:tcPr>
            <w:tcW w:w="1496" w:type="dxa"/>
            <w:vAlign w:val="top"/>
          </w:tcPr>
          <w:p w14:paraId="67C7ED2A">
            <w:pPr>
              <w:spacing w:before="48"/>
              <w:rPr>
                <w:rFonts w:cs="方正小标宋简体" w:asciiTheme="majorEastAsia" w:hAnsiTheme="majorEastAsia" w:eastAsiaTheme="majorEastAsia"/>
                <w:sz w:val="24"/>
              </w:rPr>
            </w:pPr>
          </w:p>
        </w:tc>
        <w:tc>
          <w:tcPr>
            <w:tcW w:w="2369" w:type="dxa"/>
            <w:vAlign w:val="top"/>
          </w:tcPr>
          <w:p w14:paraId="5C0A8B7D">
            <w:pPr>
              <w:spacing w:before="48"/>
              <w:rPr>
                <w:rFonts w:cs="方正小标宋简体" w:asciiTheme="majorEastAsia" w:hAnsiTheme="majorEastAsia" w:eastAsiaTheme="majorEastAsia"/>
                <w:sz w:val="24"/>
              </w:rPr>
            </w:pPr>
          </w:p>
        </w:tc>
        <w:tc>
          <w:tcPr>
            <w:tcW w:w="1737" w:type="dxa"/>
            <w:vAlign w:val="top"/>
          </w:tcPr>
          <w:p w14:paraId="01DED0D9">
            <w:pPr>
              <w:spacing w:before="48"/>
              <w:rPr>
                <w:rFonts w:cs="方正小标宋简体" w:asciiTheme="majorEastAsia" w:hAnsiTheme="majorEastAsia" w:eastAsiaTheme="majorEastAsia"/>
                <w:sz w:val="24"/>
              </w:rPr>
            </w:pPr>
          </w:p>
        </w:tc>
        <w:tc>
          <w:tcPr>
            <w:tcW w:w="1737" w:type="dxa"/>
            <w:vAlign w:val="top"/>
          </w:tcPr>
          <w:p w14:paraId="381B544C">
            <w:pPr>
              <w:spacing w:before="48"/>
              <w:jc w:val="center"/>
              <w:rPr>
                <w:rFonts w:cs="方正小标宋简体" w:asciiTheme="majorEastAsia" w:hAnsiTheme="majorEastAsia" w:eastAsiaTheme="majorEastAsia"/>
                <w:sz w:val="24"/>
              </w:rPr>
            </w:pPr>
          </w:p>
        </w:tc>
      </w:tr>
      <w:tr w14:paraId="68411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906" w:type="dxa"/>
          </w:tcPr>
          <w:p w14:paraId="0D8F60B7">
            <w:pPr>
              <w:widowControl/>
              <w:numPr>
                <w:ilvl w:val="0"/>
                <w:numId w:val="2"/>
              </w:numPr>
              <w:ind w:left="425" w:leftChars="0" w:hanging="425" w:firstLineChars="0"/>
              <w:rPr>
                <w:rFonts w:cs="方正小标宋简体" w:asciiTheme="majorEastAsia" w:hAnsiTheme="majorEastAsia" w:eastAsiaTheme="majorEastAsia"/>
                <w:sz w:val="24"/>
              </w:rPr>
            </w:pPr>
          </w:p>
        </w:tc>
        <w:tc>
          <w:tcPr>
            <w:tcW w:w="2175" w:type="dxa"/>
            <w:vAlign w:val="top"/>
          </w:tcPr>
          <w:p w14:paraId="677E781A">
            <w:pPr>
              <w:spacing w:before="48" w:line="360" w:lineRule="auto"/>
              <w:rPr>
                <w:rFonts w:cs="方正小标宋简体" w:asciiTheme="majorEastAsia" w:hAnsiTheme="majorEastAsia" w:eastAsiaTheme="majorEastAsia"/>
                <w:sz w:val="24"/>
              </w:rPr>
            </w:pPr>
            <w:r>
              <w:rPr>
                <w:rFonts w:ascii="宋体" w:hAnsi="宋体" w:eastAsia="宋体" w:cs="Times New Roman"/>
                <w:sz w:val="24"/>
                <w:szCs w:val="24"/>
                <w:lang w:eastAsia="zh-CN"/>
              </w:rPr>
              <w:t>连接网线</w:t>
            </w:r>
          </w:p>
        </w:tc>
        <w:tc>
          <w:tcPr>
            <w:tcW w:w="1496" w:type="dxa"/>
            <w:vAlign w:val="top"/>
          </w:tcPr>
          <w:p w14:paraId="57DF43F0">
            <w:pPr>
              <w:spacing w:before="48"/>
              <w:rPr>
                <w:rFonts w:cs="方正小标宋简体" w:asciiTheme="majorEastAsia" w:hAnsiTheme="majorEastAsia" w:eastAsiaTheme="majorEastAsia"/>
                <w:sz w:val="24"/>
              </w:rPr>
            </w:pPr>
          </w:p>
        </w:tc>
        <w:tc>
          <w:tcPr>
            <w:tcW w:w="2369" w:type="dxa"/>
            <w:vAlign w:val="top"/>
          </w:tcPr>
          <w:p w14:paraId="51A08A52">
            <w:pPr>
              <w:spacing w:before="48"/>
              <w:rPr>
                <w:rFonts w:cs="方正小标宋简体" w:asciiTheme="majorEastAsia" w:hAnsiTheme="majorEastAsia" w:eastAsiaTheme="majorEastAsia"/>
                <w:sz w:val="24"/>
              </w:rPr>
            </w:pPr>
          </w:p>
        </w:tc>
        <w:tc>
          <w:tcPr>
            <w:tcW w:w="1737" w:type="dxa"/>
            <w:vAlign w:val="top"/>
          </w:tcPr>
          <w:p w14:paraId="0FA04970">
            <w:pPr>
              <w:spacing w:before="48"/>
              <w:rPr>
                <w:rFonts w:cs="方正小标宋简体" w:asciiTheme="majorEastAsia" w:hAnsiTheme="majorEastAsia" w:eastAsiaTheme="majorEastAsia"/>
                <w:sz w:val="24"/>
              </w:rPr>
            </w:pPr>
          </w:p>
        </w:tc>
        <w:tc>
          <w:tcPr>
            <w:tcW w:w="1737" w:type="dxa"/>
            <w:vAlign w:val="top"/>
          </w:tcPr>
          <w:p w14:paraId="505B11EB">
            <w:pPr>
              <w:spacing w:before="48"/>
              <w:jc w:val="center"/>
              <w:rPr>
                <w:rFonts w:cs="方正小标宋简体" w:asciiTheme="majorEastAsia" w:hAnsiTheme="majorEastAsia" w:eastAsiaTheme="majorEastAsia"/>
                <w:sz w:val="24"/>
              </w:rPr>
            </w:pPr>
          </w:p>
        </w:tc>
      </w:tr>
    </w:tbl>
    <w:p w14:paraId="0FCC734B">
      <w:pPr>
        <w:adjustRightInd w:val="0"/>
        <w:snapToGrid w:val="0"/>
        <w:spacing w:line="300" w:lineRule="auto"/>
        <w:jc w:val="center"/>
        <w:rPr>
          <w:rFonts w:asciiTheme="majorEastAsia" w:hAnsiTheme="majorEastAsia" w:eastAsiaTheme="majorEastAsia"/>
          <w:b/>
          <w:sz w:val="24"/>
          <w:szCs w:val="21"/>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4"/>
        <w:gridCol w:w="3903"/>
        <w:gridCol w:w="2484"/>
        <w:gridCol w:w="2511"/>
      </w:tblGrid>
      <w:tr w14:paraId="0D9FD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101" w:type="dxa"/>
            <w:vAlign w:val="center"/>
          </w:tcPr>
          <w:p w14:paraId="59A2AF52">
            <w:pPr>
              <w:adjustRightInd w:val="0"/>
              <w:snapToGrid w:val="0"/>
              <w:spacing w:line="300" w:lineRule="auto"/>
              <w:jc w:val="center"/>
              <w:rPr>
                <w:rFonts w:asciiTheme="majorEastAsia" w:hAnsiTheme="majorEastAsia" w:eastAsiaTheme="majorEastAsia"/>
                <w:b/>
                <w:sz w:val="24"/>
              </w:rPr>
            </w:pPr>
            <w:r>
              <w:rPr>
                <w:rFonts w:hint="eastAsia" w:asciiTheme="majorEastAsia" w:hAnsiTheme="majorEastAsia" w:eastAsiaTheme="majorEastAsia"/>
                <w:b/>
                <w:sz w:val="24"/>
              </w:rPr>
              <w:t>序号</w:t>
            </w:r>
          </w:p>
        </w:tc>
        <w:tc>
          <w:tcPr>
            <w:tcW w:w="4109" w:type="dxa"/>
            <w:vAlign w:val="center"/>
          </w:tcPr>
          <w:p w14:paraId="4851D470">
            <w:pPr>
              <w:adjustRightInd w:val="0"/>
              <w:snapToGrid w:val="0"/>
              <w:spacing w:line="300" w:lineRule="auto"/>
              <w:jc w:val="center"/>
              <w:rPr>
                <w:rFonts w:asciiTheme="majorEastAsia" w:hAnsiTheme="majorEastAsia" w:eastAsiaTheme="majorEastAsia"/>
                <w:b/>
                <w:sz w:val="24"/>
              </w:rPr>
            </w:pPr>
            <w:r>
              <w:rPr>
                <w:rFonts w:hint="eastAsia" w:asciiTheme="majorEastAsia" w:hAnsiTheme="majorEastAsia" w:eastAsiaTheme="majorEastAsia"/>
                <w:b/>
                <w:sz w:val="24"/>
              </w:rPr>
              <w:t>服务名称</w:t>
            </w:r>
          </w:p>
        </w:tc>
        <w:tc>
          <w:tcPr>
            <w:tcW w:w="2605" w:type="dxa"/>
            <w:vAlign w:val="center"/>
          </w:tcPr>
          <w:p w14:paraId="10035A93">
            <w:pPr>
              <w:adjustRightInd w:val="0"/>
              <w:snapToGrid w:val="0"/>
              <w:spacing w:line="300" w:lineRule="auto"/>
              <w:jc w:val="center"/>
              <w:rPr>
                <w:rFonts w:asciiTheme="majorEastAsia" w:hAnsiTheme="majorEastAsia" w:eastAsiaTheme="majorEastAsia"/>
                <w:b/>
                <w:sz w:val="24"/>
              </w:rPr>
            </w:pPr>
            <w:r>
              <w:rPr>
                <w:rFonts w:hint="eastAsia" w:asciiTheme="majorEastAsia" w:hAnsiTheme="majorEastAsia" w:eastAsiaTheme="majorEastAsia"/>
                <w:b/>
                <w:sz w:val="24"/>
              </w:rPr>
              <w:t>服务内容</w:t>
            </w:r>
          </w:p>
        </w:tc>
        <w:tc>
          <w:tcPr>
            <w:tcW w:w="2605" w:type="dxa"/>
            <w:vAlign w:val="center"/>
          </w:tcPr>
          <w:p w14:paraId="396E627C">
            <w:pPr>
              <w:adjustRightInd w:val="0"/>
              <w:snapToGrid w:val="0"/>
              <w:spacing w:line="300" w:lineRule="auto"/>
              <w:jc w:val="center"/>
              <w:rPr>
                <w:rFonts w:asciiTheme="majorEastAsia" w:hAnsiTheme="majorEastAsia" w:eastAsiaTheme="majorEastAsia"/>
                <w:b/>
                <w:sz w:val="24"/>
              </w:rPr>
            </w:pPr>
            <w:r>
              <w:rPr>
                <w:rFonts w:hint="eastAsia" w:asciiTheme="majorEastAsia" w:hAnsiTheme="majorEastAsia" w:eastAsiaTheme="majorEastAsia"/>
                <w:b/>
                <w:sz w:val="24"/>
              </w:rPr>
              <w:t>价格（元）</w:t>
            </w:r>
          </w:p>
        </w:tc>
      </w:tr>
      <w:tr w14:paraId="15DEF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101" w:type="dxa"/>
            <w:vAlign w:val="center"/>
          </w:tcPr>
          <w:p w14:paraId="17AD5C86">
            <w:pPr>
              <w:widowControl/>
              <w:jc w:val="center"/>
              <w:rPr>
                <w:rFonts w:asciiTheme="majorEastAsia" w:hAnsiTheme="majorEastAsia" w:eastAsiaTheme="majorEastAsia"/>
                <w:b/>
                <w:sz w:val="24"/>
              </w:rPr>
            </w:pPr>
            <w:r>
              <w:rPr>
                <w:rFonts w:hint="eastAsia" w:asciiTheme="majorEastAsia" w:hAnsiTheme="majorEastAsia" w:eastAsiaTheme="majorEastAsia"/>
                <w:b/>
                <w:sz w:val="24"/>
              </w:rPr>
              <w:t>1</w:t>
            </w:r>
          </w:p>
        </w:tc>
        <w:tc>
          <w:tcPr>
            <w:tcW w:w="4109" w:type="dxa"/>
            <w:vAlign w:val="center"/>
          </w:tcPr>
          <w:p w14:paraId="2D1C738F">
            <w:pPr>
              <w:widowControl/>
              <w:jc w:val="center"/>
              <w:rPr>
                <w:rFonts w:asciiTheme="majorEastAsia" w:hAnsiTheme="majorEastAsia" w:eastAsiaTheme="majorEastAsia"/>
                <w:b/>
                <w:sz w:val="24"/>
              </w:rPr>
            </w:pPr>
            <w:r>
              <w:rPr>
                <w:rFonts w:hint="eastAsia" w:asciiTheme="majorEastAsia" w:hAnsiTheme="majorEastAsia" w:eastAsiaTheme="majorEastAsia"/>
                <w:b/>
                <w:sz w:val="24"/>
              </w:rPr>
              <w:t>三年延续保修合同</w:t>
            </w:r>
          </w:p>
        </w:tc>
        <w:tc>
          <w:tcPr>
            <w:tcW w:w="2605" w:type="dxa"/>
            <w:vAlign w:val="center"/>
          </w:tcPr>
          <w:p w14:paraId="76FCE849">
            <w:pPr>
              <w:widowControl/>
              <w:jc w:val="center"/>
              <w:rPr>
                <w:rFonts w:hint="default" w:cs="方正小标宋简体" w:asciiTheme="majorEastAsia" w:hAnsiTheme="majorEastAsia" w:eastAsiaTheme="majorEastAsia"/>
                <w:sz w:val="24"/>
                <w:lang w:val="en-US" w:eastAsia="zh-CN"/>
              </w:rPr>
            </w:pPr>
          </w:p>
        </w:tc>
        <w:tc>
          <w:tcPr>
            <w:tcW w:w="2605" w:type="dxa"/>
            <w:vAlign w:val="center"/>
          </w:tcPr>
          <w:p w14:paraId="2BF1FF7A">
            <w:pPr>
              <w:widowControl/>
              <w:jc w:val="center"/>
              <w:rPr>
                <w:rFonts w:hint="default" w:cs="方正小标宋简体" w:asciiTheme="majorEastAsia" w:hAnsiTheme="majorEastAsia" w:eastAsiaTheme="majorEastAsia"/>
                <w:sz w:val="24"/>
                <w:lang w:val="en-US" w:eastAsia="zh-CN"/>
              </w:rPr>
            </w:pPr>
          </w:p>
        </w:tc>
      </w:tr>
      <w:tr w14:paraId="6731D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1" w:type="dxa"/>
          </w:tcPr>
          <w:p w14:paraId="5A1D060F">
            <w:pPr>
              <w:widowControl/>
              <w:rPr>
                <w:rFonts w:cs="方正小标宋简体" w:asciiTheme="majorEastAsia" w:hAnsiTheme="majorEastAsia" w:eastAsiaTheme="majorEastAsia"/>
                <w:sz w:val="24"/>
              </w:rPr>
            </w:pPr>
          </w:p>
        </w:tc>
        <w:tc>
          <w:tcPr>
            <w:tcW w:w="4109" w:type="dxa"/>
          </w:tcPr>
          <w:p w14:paraId="4B7909A9">
            <w:pPr>
              <w:widowControl/>
              <w:rPr>
                <w:rFonts w:cs="方正小标宋简体" w:asciiTheme="majorEastAsia" w:hAnsiTheme="majorEastAsia" w:eastAsiaTheme="majorEastAsia"/>
                <w:sz w:val="24"/>
              </w:rPr>
            </w:pPr>
          </w:p>
        </w:tc>
        <w:tc>
          <w:tcPr>
            <w:tcW w:w="2605" w:type="dxa"/>
          </w:tcPr>
          <w:p w14:paraId="273BCAC1">
            <w:pPr>
              <w:widowControl/>
              <w:rPr>
                <w:rFonts w:cs="方正小标宋简体" w:asciiTheme="majorEastAsia" w:hAnsiTheme="majorEastAsia" w:eastAsiaTheme="majorEastAsia"/>
                <w:sz w:val="24"/>
              </w:rPr>
            </w:pPr>
          </w:p>
        </w:tc>
        <w:tc>
          <w:tcPr>
            <w:tcW w:w="2605" w:type="dxa"/>
          </w:tcPr>
          <w:p w14:paraId="02EEF620">
            <w:pPr>
              <w:widowControl/>
              <w:rPr>
                <w:rFonts w:cs="方正小标宋简体" w:asciiTheme="majorEastAsia" w:hAnsiTheme="majorEastAsia" w:eastAsiaTheme="majorEastAsia"/>
                <w:sz w:val="24"/>
              </w:rPr>
            </w:pPr>
          </w:p>
        </w:tc>
      </w:tr>
    </w:tbl>
    <w:p w14:paraId="19B68597">
      <w:pPr>
        <w:adjustRightInd w:val="0"/>
        <w:snapToGrid w:val="0"/>
        <w:spacing w:line="300" w:lineRule="auto"/>
        <w:ind w:firstLine="285" w:firstLineChars="135"/>
        <w:jc w:val="left"/>
        <w:rPr>
          <w:rFonts w:asciiTheme="minorEastAsia" w:hAnsiTheme="minorEastAsia" w:eastAsiaTheme="minorEastAsia"/>
          <w:b/>
          <w:snapToGrid w:val="0"/>
          <w:color w:val="000000"/>
          <w:kern w:val="0"/>
        </w:rPr>
      </w:pPr>
      <w:r>
        <w:rPr>
          <w:rFonts w:hint="eastAsia" w:asciiTheme="minorEastAsia" w:hAnsiTheme="minorEastAsia" w:eastAsiaTheme="minorEastAsia"/>
          <w:b/>
          <w:snapToGrid w:val="0"/>
          <w:color w:val="000000"/>
          <w:kern w:val="0"/>
        </w:rPr>
        <w:t>注：价格最高的前</w:t>
      </w:r>
      <w:r>
        <w:rPr>
          <w:rFonts w:asciiTheme="minorEastAsia" w:hAnsiTheme="minorEastAsia" w:eastAsiaTheme="minorEastAsia"/>
          <w:b/>
          <w:snapToGrid w:val="0"/>
          <w:color w:val="000000"/>
          <w:kern w:val="0"/>
        </w:rPr>
        <w:t>5</w:t>
      </w:r>
      <w:r>
        <w:rPr>
          <w:rFonts w:hint="eastAsia" w:asciiTheme="minorEastAsia" w:hAnsiTheme="minorEastAsia" w:eastAsiaTheme="minorEastAsia"/>
          <w:b/>
          <w:snapToGrid w:val="0"/>
          <w:color w:val="000000"/>
          <w:kern w:val="0"/>
        </w:rPr>
        <w:t>项零配件、消耗品和延续保修合同的明细需填写于此表。</w:t>
      </w:r>
    </w:p>
    <w:p w14:paraId="2622F744">
      <w:pPr>
        <w:widowControl/>
        <w:rPr>
          <w:rFonts w:cs="方正小标宋简体" w:asciiTheme="majorEastAsia" w:hAnsiTheme="majorEastAsia" w:eastAsiaTheme="majorEastAsia"/>
          <w:sz w:val="36"/>
          <w:szCs w:val="36"/>
        </w:rPr>
      </w:pPr>
    </w:p>
    <w:p w14:paraId="463750AC"/>
    <w:sectPr>
      <w:foot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470C49E1-F5A5-4EA6-9E81-508B464CD577}"/>
  </w:font>
  <w:font w:name="Tahoma">
    <w:panose1 w:val="020B0604030504040204"/>
    <w:charset w:val="00"/>
    <w:family w:val="swiss"/>
    <w:pitch w:val="default"/>
    <w:sig w:usb0="E1002EFF" w:usb1="C000605B" w:usb2="00000029" w:usb3="00000000" w:csb0="200101FF" w:csb1="20280000"/>
  </w:font>
  <w:font w:name="Microsoft JhengHei UI Light">
    <w:panose1 w:val="020B0304030504040204"/>
    <w:charset w:val="88"/>
    <w:family w:val="swiss"/>
    <w:pitch w:val="default"/>
    <w:sig w:usb0="800002A7" w:usb1="28CF4400" w:usb2="00000016" w:usb3="00000000" w:csb0="00100009" w:csb1="00000000"/>
  </w:font>
  <w:font w:name="方正小标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7394526"/>
    </w:sdtPr>
    <w:sdtContent>
      <w:p w14:paraId="741A597D">
        <w:pPr>
          <w:pStyle w:val="6"/>
          <w:jc w:val="center"/>
        </w:pPr>
        <w:r>
          <w:fldChar w:fldCharType="begin"/>
        </w:r>
        <w:r>
          <w:instrText xml:space="preserve"> PAGE   \* MERGEFORMAT </w:instrText>
        </w:r>
        <w:r>
          <w:fldChar w:fldCharType="separate"/>
        </w:r>
        <w:r>
          <w:rPr>
            <w:lang w:val="zh-CN"/>
          </w:rPr>
          <w:t>1</w:t>
        </w:r>
        <w:r>
          <w:rPr>
            <w:lang w:val="zh-CN"/>
          </w:rPr>
          <w:fldChar w:fldCharType="end"/>
        </w:r>
      </w:p>
    </w:sdtContent>
  </w:sdt>
  <w:p w14:paraId="27448E03">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C56BF9"/>
    <w:multiLevelType w:val="singleLevel"/>
    <w:tmpl w:val="CBC56BF9"/>
    <w:lvl w:ilvl="0" w:tentative="0">
      <w:start w:val="1"/>
      <w:numFmt w:val="decimal"/>
      <w:lvlText w:val="%1."/>
      <w:lvlJc w:val="left"/>
      <w:pPr>
        <w:ind w:left="425" w:hanging="425"/>
      </w:pPr>
      <w:rPr>
        <w:rFonts w:hint="default"/>
      </w:rPr>
    </w:lvl>
  </w:abstractNum>
  <w:abstractNum w:abstractNumId="1">
    <w:nsid w:val="5B870740"/>
    <w:multiLevelType w:val="singleLevel"/>
    <w:tmpl w:val="5B870740"/>
    <w:lvl w:ilvl="0" w:tentative="0">
      <w:start w:val="2"/>
      <w:numFmt w:val="chineseCounting"/>
      <w:suff w:val="space"/>
      <w:lvlText w:val="第%1部分"/>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1403"/>
    <w:rsid w:val="00014A66"/>
    <w:rsid w:val="000170C1"/>
    <w:rsid w:val="00022431"/>
    <w:rsid w:val="00027A10"/>
    <w:rsid w:val="00047765"/>
    <w:rsid w:val="00056650"/>
    <w:rsid w:val="00077080"/>
    <w:rsid w:val="00094BE5"/>
    <w:rsid w:val="000D332B"/>
    <w:rsid w:val="000D528A"/>
    <w:rsid w:val="00117159"/>
    <w:rsid w:val="00122AB5"/>
    <w:rsid w:val="00127D2E"/>
    <w:rsid w:val="00141F0D"/>
    <w:rsid w:val="00147AA8"/>
    <w:rsid w:val="00147DE0"/>
    <w:rsid w:val="00183D09"/>
    <w:rsid w:val="001A6B02"/>
    <w:rsid w:val="001F5D4E"/>
    <w:rsid w:val="00201CE8"/>
    <w:rsid w:val="00213A4E"/>
    <w:rsid w:val="00214240"/>
    <w:rsid w:val="00216DBD"/>
    <w:rsid w:val="002243DF"/>
    <w:rsid w:val="0024191C"/>
    <w:rsid w:val="00251F0B"/>
    <w:rsid w:val="002850D0"/>
    <w:rsid w:val="0029701C"/>
    <w:rsid w:val="00297C31"/>
    <w:rsid w:val="002B3785"/>
    <w:rsid w:val="003148AA"/>
    <w:rsid w:val="00326BC1"/>
    <w:rsid w:val="00334AA0"/>
    <w:rsid w:val="00352B55"/>
    <w:rsid w:val="003930E9"/>
    <w:rsid w:val="003942D3"/>
    <w:rsid w:val="003D442D"/>
    <w:rsid w:val="003D4C77"/>
    <w:rsid w:val="00423853"/>
    <w:rsid w:val="00497BF4"/>
    <w:rsid w:val="004B1081"/>
    <w:rsid w:val="004B3240"/>
    <w:rsid w:val="004B3CFF"/>
    <w:rsid w:val="004D5E34"/>
    <w:rsid w:val="00523CD5"/>
    <w:rsid w:val="0053721B"/>
    <w:rsid w:val="00542363"/>
    <w:rsid w:val="0055112D"/>
    <w:rsid w:val="00553925"/>
    <w:rsid w:val="005666F4"/>
    <w:rsid w:val="005675B0"/>
    <w:rsid w:val="005772ED"/>
    <w:rsid w:val="00597CA2"/>
    <w:rsid w:val="005A54F1"/>
    <w:rsid w:val="005B3443"/>
    <w:rsid w:val="005C211C"/>
    <w:rsid w:val="005C57CC"/>
    <w:rsid w:val="00603257"/>
    <w:rsid w:val="006231CE"/>
    <w:rsid w:val="0062338B"/>
    <w:rsid w:val="00662021"/>
    <w:rsid w:val="006710A2"/>
    <w:rsid w:val="006C7CF0"/>
    <w:rsid w:val="007130B5"/>
    <w:rsid w:val="00716C4F"/>
    <w:rsid w:val="00750A3D"/>
    <w:rsid w:val="007554DF"/>
    <w:rsid w:val="007772AF"/>
    <w:rsid w:val="00793785"/>
    <w:rsid w:val="007A0C07"/>
    <w:rsid w:val="007A2E18"/>
    <w:rsid w:val="007B1DF4"/>
    <w:rsid w:val="007C4096"/>
    <w:rsid w:val="007D196F"/>
    <w:rsid w:val="007D65D9"/>
    <w:rsid w:val="0080050C"/>
    <w:rsid w:val="00820E08"/>
    <w:rsid w:val="00865E28"/>
    <w:rsid w:val="00871F5E"/>
    <w:rsid w:val="00872D2F"/>
    <w:rsid w:val="00874934"/>
    <w:rsid w:val="00876B02"/>
    <w:rsid w:val="00892E0D"/>
    <w:rsid w:val="008964A3"/>
    <w:rsid w:val="008B74EE"/>
    <w:rsid w:val="008C28A8"/>
    <w:rsid w:val="008D2C79"/>
    <w:rsid w:val="008D3E82"/>
    <w:rsid w:val="008E4143"/>
    <w:rsid w:val="008E78E8"/>
    <w:rsid w:val="0090107D"/>
    <w:rsid w:val="00904FED"/>
    <w:rsid w:val="009122AA"/>
    <w:rsid w:val="00930B23"/>
    <w:rsid w:val="009376BC"/>
    <w:rsid w:val="00937D3D"/>
    <w:rsid w:val="00953822"/>
    <w:rsid w:val="00972C2D"/>
    <w:rsid w:val="009764EB"/>
    <w:rsid w:val="009908D7"/>
    <w:rsid w:val="009B12A1"/>
    <w:rsid w:val="00A043A8"/>
    <w:rsid w:val="00A0782D"/>
    <w:rsid w:val="00A517B7"/>
    <w:rsid w:val="00A619BE"/>
    <w:rsid w:val="00A61FD6"/>
    <w:rsid w:val="00A677F1"/>
    <w:rsid w:val="00A704E6"/>
    <w:rsid w:val="00A878CB"/>
    <w:rsid w:val="00AA4B4A"/>
    <w:rsid w:val="00AB2610"/>
    <w:rsid w:val="00AD3C46"/>
    <w:rsid w:val="00B01564"/>
    <w:rsid w:val="00B06C01"/>
    <w:rsid w:val="00B21F51"/>
    <w:rsid w:val="00BB7DEE"/>
    <w:rsid w:val="00BC5AE8"/>
    <w:rsid w:val="00BC602C"/>
    <w:rsid w:val="00BD08AF"/>
    <w:rsid w:val="00C02E9F"/>
    <w:rsid w:val="00C13828"/>
    <w:rsid w:val="00C22DBC"/>
    <w:rsid w:val="00C32BEC"/>
    <w:rsid w:val="00C35949"/>
    <w:rsid w:val="00C52EBE"/>
    <w:rsid w:val="00C76410"/>
    <w:rsid w:val="00C77FD8"/>
    <w:rsid w:val="00C84938"/>
    <w:rsid w:val="00D25077"/>
    <w:rsid w:val="00D5343F"/>
    <w:rsid w:val="00D82F29"/>
    <w:rsid w:val="00D976F6"/>
    <w:rsid w:val="00DB1E59"/>
    <w:rsid w:val="00DB528F"/>
    <w:rsid w:val="00E93F8F"/>
    <w:rsid w:val="00EB1E48"/>
    <w:rsid w:val="00F0149B"/>
    <w:rsid w:val="00F07294"/>
    <w:rsid w:val="00F23DB0"/>
    <w:rsid w:val="00F464BC"/>
    <w:rsid w:val="00F60CB5"/>
    <w:rsid w:val="00F65BCF"/>
    <w:rsid w:val="00F6788A"/>
    <w:rsid w:val="00F81403"/>
    <w:rsid w:val="00F83533"/>
    <w:rsid w:val="00F906F0"/>
    <w:rsid w:val="00FC40CA"/>
    <w:rsid w:val="00FD0656"/>
    <w:rsid w:val="00FD23ED"/>
    <w:rsid w:val="00FF30DB"/>
    <w:rsid w:val="02B50726"/>
    <w:rsid w:val="0611217C"/>
    <w:rsid w:val="064E5119"/>
    <w:rsid w:val="06672FAB"/>
    <w:rsid w:val="07745B43"/>
    <w:rsid w:val="07AE3385"/>
    <w:rsid w:val="0D2E1801"/>
    <w:rsid w:val="0E3E5A73"/>
    <w:rsid w:val="0F8E7447"/>
    <w:rsid w:val="0FCE72CB"/>
    <w:rsid w:val="0FE17739"/>
    <w:rsid w:val="105575E7"/>
    <w:rsid w:val="10645539"/>
    <w:rsid w:val="10FC5772"/>
    <w:rsid w:val="119B6051"/>
    <w:rsid w:val="129B7938"/>
    <w:rsid w:val="12A25084"/>
    <w:rsid w:val="12A61E39"/>
    <w:rsid w:val="132614F3"/>
    <w:rsid w:val="13272F7A"/>
    <w:rsid w:val="13B10A95"/>
    <w:rsid w:val="13BC7D4B"/>
    <w:rsid w:val="142B2292"/>
    <w:rsid w:val="147A6014"/>
    <w:rsid w:val="15FB47D0"/>
    <w:rsid w:val="17163A31"/>
    <w:rsid w:val="17E84DBE"/>
    <w:rsid w:val="18DF7E53"/>
    <w:rsid w:val="190D676E"/>
    <w:rsid w:val="19A66D0D"/>
    <w:rsid w:val="1A385FE8"/>
    <w:rsid w:val="1C6860FB"/>
    <w:rsid w:val="1D8B67FB"/>
    <w:rsid w:val="1DF24CDC"/>
    <w:rsid w:val="1E12700E"/>
    <w:rsid w:val="1F5C0AB2"/>
    <w:rsid w:val="21971856"/>
    <w:rsid w:val="21E14C3C"/>
    <w:rsid w:val="22B41D95"/>
    <w:rsid w:val="22E10C1D"/>
    <w:rsid w:val="25BC57A4"/>
    <w:rsid w:val="26663961"/>
    <w:rsid w:val="268961C9"/>
    <w:rsid w:val="27C82219"/>
    <w:rsid w:val="2976571C"/>
    <w:rsid w:val="29E835CB"/>
    <w:rsid w:val="2A750617"/>
    <w:rsid w:val="2B252436"/>
    <w:rsid w:val="2B4B6FB7"/>
    <w:rsid w:val="2F0106CB"/>
    <w:rsid w:val="317452BC"/>
    <w:rsid w:val="323D1A1A"/>
    <w:rsid w:val="340C3D9A"/>
    <w:rsid w:val="344057F2"/>
    <w:rsid w:val="359B56E2"/>
    <w:rsid w:val="366D6BB6"/>
    <w:rsid w:val="371C2E89"/>
    <w:rsid w:val="380401B7"/>
    <w:rsid w:val="39024965"/>
    <w:rsid w:val="3A296D28"/>
    <w:rsid w:val="3B27182E"/>
    <w:rsid w:val="3DB86D41"/>
    <w:rsid w:val="3E41662A"/>
    <w:rsid w:val="3EB2662C"/>
    <w:rsid w:val="3EE020AB"/>
    <w:rsid w:val="3EE94DC6"/>
    <w:rsid w:val="3F516427"/>
    <w:rsid w:val="41252F70"/>
    <w:rsid w:val="423821FE"/>
    <w:rsid w:val="429C453B"/>
    <w:rsid w:val="441A43BC"/>
    <w:rsid w:val="445F60B6"/>
    <w:rsid w:val="44B32010"/>
    <w:rsid w:val="4B0B04B0"/>
    <w:rsid w:val="4C237A7B"/>
    <w:rsid w:val="4D245859"/>
    <w:rsid w:val="4E0833CC"/>
    <w:rsid w:val="4E280CF3"/>
    <w:rsid w:val="4F350BEE"/>
    <w:rsid w:val="50E517A3"/>
    <w:rsid w:val="53204D14"/>
    <w:rsid w:val="566D4594"/>
    <w:rsid w:val="57364B06"/>
    <w:rsid w:val="58242AE0"/>
    <w:rsid w:val="58382B00"/>
    <w:rsid w:val="58AB396B"/>
    <w:rsid w:val="596A669D"/>
    <w:rsid w:val="5AB87E0C"/>
    <w:rsid w:val="5BC82E6E"/>
    <w:rsid w:val="5BDE3A84"/>
    <w:rsid w:val="5C483C8E"/>
    <w:rsid w:val="5FFB68ED"/>
    <w:rsid w:val="60432042"/>
    <w:rsid w:val="61273712"/>
    <w:rsid w:val="63BD210C"/>
    <w:rsid w:val="663B31C1"/>
    <w:rsid w:val="66AC0259"/>
    <w:rsid w:val="68465D84"/>
    <w:rsid w:val="6AB9525A"/>
    <w:rsid w:val="6AFD60D5"/>
    <w:rsid w:val="6B013226"/>
    <w:rsid w:val="6C3C747C"/>
    <w:rsid w:val="6EB83BFB"/>
    <w:rsid w:val="6EFE6AAD"/>
    <w:rsid w:val="6F633413"/>
    <w:rsid w:val="6F9E571F"/>
    <w:rsid w:val="73374A1C"/>
    <w:rsid w:val="73794C1A"/>
    <w:rsid w:val="738F7392"/>
    <w:rsid w:val="75232716"/>
    <w:rsid w:val="762C283F"/>
    <w:rsid w:val="767D5D1E"/>
    <w:rsid w:val="76E03ABB"/>
    <w:rsid w:val="77E83245"/>
    <w:rsid w:val="781225CE"/>
    <w:rsid w:val="7855070D"/>
    <w:rsid w:val="79A74F98"/>
    <w:rsid w:val="7A6F030F"/>
    <w:rsid w:val="7A89169D"/>
    <w:rsid w:val="7C541E39"/>
    <w:rsid w:val="7D8E32DB"/>
    <w:rsid w:val="7DDD542C"/>
    <w:rsid w:val="7E8D2AAF"/>
    <w:rsid w:val="7EA877E8"/>
    <w:rsid w:val="7F43262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0"/>
    <w:semiHidden/>
    <w:unhideWhenUsed/>
    <w:qFormat/>
    <w:uiPriority w:val="99"/>
    <w:pPr>
      <w:jc w:val="left"/>
    </w:pPr>
  </w:style>
  <w:style w:type="paragraph" w:styleId="3">
    <w:name w:val="Body Text"/>
    <w:basedOn w:val="1"/>
    <w:link w:val="22"/>
    <w:qFormat/>
    <w:uiPriority w:val="0"/>
    <w:pPr>
      <w:adjustRightInd w:val="0"/>
      <w:snapToGrid w:val="0"/>
      <w:spacing w:line="500" w:lineRule="atLeast"/>
    </w:pPr>
    <w:rPr>
      <w:rFonts w:ascii="宋体"/>
      <w:bCs/>
      <w:sz w:val="28"/>
    </w:rPr>
  </w:style>
  <w:style w:type="paragraph" w:styleId="4">
    <w:name w:val="Plain Text"/>
    <w:basedOn w:val="1"/>
    <w:link w:val="17"/>
    <w:unhideWhenUsed/>
    <w:qFormat/>
    <w:uiPriority w:val="99"/>
    <w:rPr>
      <w:rFonts w:ascii="宋体" w:hAnsi="Courier New" w:cs="Courier New"/>
      <w:szCs w:val="21"/>
    </w:rPr>
  </w:style>
  <w:style w:type="paragraph" w:styleId="5">
    <w:name w:val="Balloon Text"/>
    <w:basedOn w:val="1"/>
    <w:link w:val="19"/>
    <w:semiHidden/>
    <w:unhideWhenUsed/>
    <w:qFormat/>
    <w:uiPriority w:val="99"/>
    <w:rPr>
      <w:sz w:val="18"/>
      <w:szCs w:val="18"/>
    </w:rPr>
  </w:style>
  <w:style w:type="paragraph" w:styleId="6">
    <w:name w:val="footer"/>
    <w:basedOn w:val="1"/>
    <w:link w:val="15"/>
    <w:unhideWhenUsed/>
    <w:qFormat/>
    <w:uiPriority w:val="99"/>
    <w:pPr>
      <w:tabs>
        <w:tab w:val="center" w:pos="4153"/>
        <w:tab w:val="right" w:pos="8306"/>
      </w:tabs>
      <w:snapToGrid w:val="0"/>
      <w:jc w:val="left"/>
    </w:pPr>
    <w:rPr>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annotation subject"/>
    <w:basedOn w:val="2"/>
    <w:next w:val="2"/>
    <w:link w:val="21"/>
    <w:semiHidden/>
    <w:unhideWhenUsed/>
    <w:qFormat/>
    <w:uiPriority w:val="99"/>
    <w:rPr>
      <w:b/>
      <w:bCs/>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qFormat/>
    <w:uiPriority w:val="0"/>
    <w:rPr>
      <w:rFonts w:ascii="Tahoma" w:hAnsi="Tahoma" w:eastAsia="宋体"/>
      <w:b/>
      <w:bCs/>
      <w:spacing w:val="10"/>
      <w:kern w:val="2"/>
      <w:sz w:val="24"/>
      <w:szCs w:val="24"/>
      <w:lang w:val="en-US" w:eastAsia="zh-CN" w:bidi="ar-SA"/>
    </w:rPr>
  </w:style>
  <w:style w:type="character" w:styleId="13">
    <w:name w:val="annotation reference"/>
    <w:basedOn w:val="11"/>
    <w:semiHidden/>
    <w:unhideWhenUsed/>
    <w:qFormat/>
    <w:uiPriority w:val="99"/>
    <w:rPr>
      <w:sz w:val="21"/>
      <w:szCs w:val="21"/>
    </w:rPr>
  </w:style>
  <w:style w:type="character" w:customStyle="1" w:styleId="14">
    <w:name w:val="页眉 Char"/>
    <w:basedOn w:val="11"/>
    <w:link w:val="7"/>
    <w:qFormat/>
    <w:uiPriority w:val="99"/>
    <w:rPr>
      <w:sz w:val="18"/>
      <w:szCs w:val="18"/>
    </w:rPr>
  </w:style>
  <w:style w:type="character" w:customStyle="1" w:styleId="15">
    <w:name w:val="页脚 Char"/>
    <w:basedOn w:val="11"/>
    <w:link w:val="6"/>
    <w:qFormat/>
    <w:uiPriority w:val="99"/>
    <w:rPr>
      <w:sz w:val="18"/>
      <w:szCs w:val="18"/>
    </w:rPr>
  </w:style>
  <w:style w:type="paragraph" w:styleId="16">
    <w:name w:val="List Paragraph"/>
    <w:basedOn w:val="1"/>
    <w:qFormat/>
    <w:uiPriority w:val="34"/>
    <w:pPr>
      <w:ind w:firstLine="420" w:firstLineChars="200"/>
    </w:pPr>
  </w:style>
  <w:style w:type="character" w:customStyle="1" w:styleId="17">
    <w:name w:val="纯文本 Char"/>
    <w:basedOn w:val="11"/>
    <w:link w:val="4"/>
    <w:qFormat/>
    <w:uiPriority w:val="99"/>
    <w:rPr>
      <w:rFonts w:ascii="宋体" w:hAnsi="Courier New" w:eastAsia="宋体" w:cs="Courier New"/>
      <w:szCs w:val="21"/>
    </w:rPr>
  </w:style>
  <w:style w:type="paragraph" w:customStyle="1" w:styleId="18">
    <w:name w:val="样式1 Char Char"/>
    <w:basedOn w:val="1"/>
    <w:next w:val="4"/>
    <w:qFormat/>
    <w:uiPriority w:val="0"/>
    <w:pPr>
      <w:spacing w:line="360" w:lineRule="auto"/>
      <w:ind w:firstLine="516" w:firstLineChars="215"/>
    </w:pPr>
    <w:rPr>
      <w:sz w:val="24"/>
    </w:rPr>
  </w:style>
  <w:style w:type="character" w:customStyle="1" w:styleId="19">
    <w:name w:val="批注框文本 Char"/>
    <w:basedOn w:val="11"/>
    <w:link w:val="5"/>
    <w:semiHidden/>
    <w:qFormat/>
    <w:uiPriority w:val="99"/>
    <w:rPr>
      <w:rFonts w:ascii="Times New Roman" w:hAnsi="Times New Roman" w:eastAsia="宋体" w:cs="Times New Roman"/>
      <w:kern w:val="2"/>
      <w:sz w:val="18"/>
      <w:szCs w:val="18"/>
    </w:rPr>
  </w:style>
  <w:style w:type="character" w:customStyle="1" w:styleId="20">
    <w:name w:val="批注文字 Char"/>
    <w:basedOn w:val="11"/>
    <w:link w:val="2"/>
    <w:semiHidden/>
    <w:qFormat/>
    <w:uiPriority w:val="99"/>
    <w:rPr>
      <w:rFonts w:ascii="Times New Roman" w:hAnsi="Times New Roman" w:eastAsia="宋体" w:cs="Times New Roman"/>
      <w:kern w:val="2"/>
      <w:sz w:val="21"/>
      <w:szCs w:val="24"/>
    </w:rPr>
  </w:style>
  <w:style w:type="character" w:customStyle="1" w:styleId="21">
    <w:name w:val="批注主题 Char"/>
    <w:basedOn w:val="20"/>
    <w:link w:val="8"/>
    <w:semiHidden/>
    <w:qFormat/>
    <w:uiPriority w:val="99"/>
    <w:rPr>
      <w:rFonts w:ascii="Times New Roman" w:hAnsi="Times New Roman" w:eastAsia="宋体" w:cs="Times New Roman"/>
      <w:b/>
      <w:bCs/>
      <w:kern w:val="2"/>
      <w:sz w:val="21"/>
      <w:szCs w:val="24"/>
    </w:rPr>
  </w:style>
  <w:style w:type="character" w:customStyle="1" w:styleId="22">
    <w:name w:val="正文文本 Char"/>
    <w:basedOn w:val="11"/>
    <w:link w:val="3"/>
    <w:qFormat/>
    <w:uiPriority w:val="0"/>
    <w:rPr>
      <w:rFonts w:ascii="宋体" w:hAnsi="Times New Roman" w:eastAsia="宋体" w:cs="Times New Roman"/>
      <w:bCs/>
      <w:kern w:val="2"/>
      <w:sz w:val="28"/>
      <w:szCs w:val="24"/>
    </w:rPr>
  </w:style>
  <w:style w:type="paragraph" w:customStyle="1" w:styleId="23">
    <w:name w:val="正文 A"/>
    <w:qFormat/>
    <w:uiPriority w:val="0"/>
    <w:pPr>
      <w:framePr w:wrap="around" w:vAnchor="margin" w:hAnchor="text" w:y="1"/>
      <w:widowControl w:val="0"/>
    </w:pPr>
    <w:rPr>
      <w:rFonts w:ascii="Microsoft JhengHei UI Light" w:hAnsi="Microsoft JhengHei UI Light" w:eastAsia="Microsoft JhengHei UI Light" w:cs="Microsoft JhengHei UI Light"/>
      <w:color w:val="000000"/>
      <w:sz w:val="22"/>
      <w:szCs w:val="22"/>
      <w:u w:color="000000"/>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732B32-8275-47FC-B073-D1ED476F4A9C}">
  <ds:schemaRefs/>
</ds:datastoreItem>
</file>

<file path=docProps/app.xml><?xml version="1.0" encoding="utf-8"?>
<Properties xmlns="http://schemas.openxmlformats.org/officeDocument/2006/extended-properties" xmlns:vt="http://schemas.openxmlformats.org/officeDocument/2006/docPropsVTypes">
  <Template>Normal.dotm</Template>
  <Pages>7</Pages>
  <Words>12950</Words>
  <Characters>13557</Characters>
  <Lines>90</Lines>
  <Paragraphs>25</Paragraphs>
  <TotalTime>0</TotalTime>
  <ScaleCrop>false</ScaleCrop>
  <LinksUpToDate>false</LinksUpToDate>
  <CharactersWithSpaces>13788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2021-12-23T07:27:00Z</dcterms:created>
  <dc:creator>Admin</dc:creator>
  <cp:lastModifiedBy>招采办</cp:lastModifiedBy>
  <cp:lastPrinted>2026-06-17T02:27:00Z</cp:lastPrinted>
  <dcterms:modified xsi:type="dcterms:W3CDTF">2026-06-18T08:09:45Z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4393230FFE6643EA8B0051D3982572A0_13</vt:lpwstr>
  </property>
  <property fmtid="{D5CDD505-2E9C-101B-9397-08002B2CF9AE}" pid="4" name="KSOTemplateDocerSaveRecord">
    <vt:lpwstr>eyJoZGlkIjoiMTYzOTc0ZjU0NThhNjU0Y2ExMTNjNmE4Yzc0YjA3ZTAiLCJ1c2VySWQiOiIxMjM0Njk1MzQ0In0=</vt:lpwstr>
  </property>
</Properties>
</file>