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B40F">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61DED045">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采购需求书（紧急）</w:t>
      </w:r>
    </w:p>
    <w:p w14:paraId="741CC8CE">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E57E3BD">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7D47B508">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6F743504">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临床心理科</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12"/>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942"/>
        <w:gridCol w:w="850"/>
        <w:gridCol w:w="1276"/>
        <w:gridCol w:w="1134"/>
        <w:gridCol w:w="1276"/>
        <w:gridCol w:w="1275"/>
        <w:gridCol w:w="1560"/>
      </w:tblGrid>
      <w:tr w14:paraId="4BE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74C14501">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850" w:type="dxa"/>
            <w:vAlign w:val="center"/>
          </w:tcPr>
          <w:p w14:paraId="18733EBF">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276" w:type="dxa"/>
            <w:vAlign w:val="center"/>
          </w:tcPr>
          <w:p w14:paraId="5C504241">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134" w:type="dxa"/>
            <w:vAlign w:val="center"/>
          </w:tcPr>
          <w:p w14:paraId="4A1E1368">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276" w:type="dxa"/>
            <w:vAlign w:val="center"/>
          </w:tcPr>
          <w:p w14:paraId="1CA32E04">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275" w:type="dxa"/>
            <w:vAlign w:val="center"/>
          </w:tcPr>
          <w:p w14:paraId="7C3FAA39">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560" w:type="dxa"/>
          </w:tcPr>
          <w:p w14:paraId="4006D107">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r>
      <w:tr w14:paraId="2E4B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67DF70EF">
            <w:pPr>
              <w:spacing w:line="276" w:lineRule="auto"/>
              <w:jc w:val="center"/>
              <w:rPr>
                <w:rFonts w:hint="eastAsia" w:asciiTheme="majorEastAsia" w:hAnsiTheme="majorEastAsia" w:eastAsiaTheme="majorEastAsia"/>
                <w:b/>
                <w:sz w:val="24"/>
                <w:szCs w:val="21"/>
                <w:lang w:eastAsia="zh-CN"/>
              </w:rPr>
            </w:pPr>
            <w:r>
              <w:rPr>
                <w:rFonts w:hint="eastAsia" w:asciiTheme="majorEastAsia" w:hAnsiTheme="majorEastAsia" w:eastAsiaTheme="majorEastAsia"/>
                <w:b/>
                <w:sz w:val="24"/>
                <w:szCs w:val="21"/>
              </w:rPr>
              <w:t>认知功能障碍评估与训练</w:t>
            </w:r>
            <w:r>
              <w:rPr>
                <w:rFonts w:hint="eastAsia" w:asciiTheme="majorEastAsia" w:hAnsiTheme="majorEastAsia" w:eastAsiaTheme="majorEastAsia"/>
                <w:b/>
                <w:sz w:val="24"/>
                <w:szCs w:val="21"/>
                <w:lang w:val="en-US" w:eastAsia="zh-CN"/>
              </w:rPr>
              <w:t>系统</w:t>
            </w:r>
          </w:p>
        </w:tc>
        <w:tc>
          <w:tcPr>
            <w:tcW w:w="850" w:type="dxa"/>
            <w:vAlign w:val="center"/>
          </w:tcPr>
          <w:p w14:paraId="11421DD2">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国产</w:t>
            </w:r>
          </w:p>
        </w:tc>
        <w:tc>
          <w:tcPr>
            <w:tcW w:w="1276" w:type="dxa"/>
            <w:vAlign w:val="center"/>
          </w:tcPr>
          <w:p w14:paraId="14C1B6E2">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w:t>
            </w:r>
          </w:p>
        </w:tc>
        <w:tc>
          <w:tcPr>
            <w:tcW w:w="1134" w:type="dxa"/>
            <w:vAlign w:val="center"/>
          </w:tcPr>
          <w:p w14:paraId="530F8292">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套</w:t>
            </w:r>
          </w:p>
        </w:tc>
        <w:tc>
          <w:tcPr>
            <w:tcW w:w="1276" w:type="dxa"/>
            <w:vAlign w:val="center"/>
          </w:tcPr>
          <w:p w14:paraId="6C01421A">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19.8</w:t>
            </w:r>
          </w:p>
        </w:tc>
        <w:tc>
          <w:tcPr>
            <w:tcW w:w="1275" w:type="dxa"/>
            <w:vAlign w:val="center"/>
          </w:tcPr>
          <w:p w14:paraId="6C48C9E9">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19.8</w:t>
            </w:r>
          </w:p>
        </w:tc>
        <w:tc>
          <w:tcPr>
            <w:tcW w:w="1560" w:type="dxa"/>
          </w:tcPr>
          <w:p w14:paraId="179FD4BA">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r>
      <w:tr w14:paraId="0BE1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53" w:type="dxa"/>
            <w:vAlign w:val="center"/>
          </w:tcPr>
          <w:p w14:paraId="5DB0953F">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8313" w:type="dxa"/>
            <w:gridSpan w:val="7"/>
            <w:vAlign w:val="center"/>
          </w:tcPr>
          <w:p w14:paraId="386F0B6C">
            <w:pPr>
              <w:spacing w:line="276" w:lineRule="auto"/>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本次购置旨在完善我院认知障碍规范化诊疗体系。该软件用于认知障碍患者神经与社会认知功能的评估与个性化康复训练，解决传统人工评估主观性强、训练方案单一、疗效无法量化追溯等问题。国内市场已有多款同类型二类医疗器械产品，临床应用成熟。我</w:t>
            </w:r>
            <w:r>
              <w:rPr>
                <w:rFonts w:hint="eastAsia" w:asciiTheme="majorEastAsia" w:hAnsiTheme="majorEastAsia" w:eastAsiaTheme="majorEastAsia"/>
                <w:b w:val="0"/>
                <w:bCs/>
                <w:sz w:val="24"/>
                <w:szCs w:val="21"/>
                <w:lang w:val="en-US" w:eastAsia="zh-CN"/>
              </w:rPr>
              <w:t>科</w:t>
            </w:r>
            <w:r>
              <w:rPr>
                <w:rFonts w:hint="eastAsia" w:asciiTheme="majorEastAsia" w:hAnsiTheme="majorEastAsia" w:eastAsiaTheme="majorEastAsia"/>
                <w:b w:val="0"/>
                <w:bCs/>
                <w:sz w:val="24"/>
                <w:szCs w:val="21"/>
              </w:rPr>
              <w:t>暂无同类设备，结合科室接诊量与诊疗需求，拟购置 1 套，可满足科室日常使用，数量配置合理，无重复采购。</w:t>
            </w:r>
          </w:p>
          <w:p w14:paraId="3E71AC55">
            <w:pPr>
              <w:spacing w:line="276" w:lineRule="auto"/>
              <w:rPr>
                <w:rFonts w:asciiTheme="majorEastAsia" w:hAnsiTheme="majorEastAsia" w:eastAsiaTheme="majorEastAsia"/>
                <w:b/>
                <w:sz w:val="24"/>
                <w:szCs w:val="21"/>
              </w:rPr>
            </w:pPr>
          </w:p>
        </w:tc>
      </w:tr>
      <w:tr w14:paraId="23B3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7D76A5AD">
            <w:pPr>
              <w:spacing w:line="276" w:lineRule="auto"/>
              <w:rPr>
                <w:rFonts w:hint="eastAsia"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p w14:paraId="17D0EBC8">
            <w:pPr>
              <w:spacing w:line="276" w:lineRule="auto"/>
              <w:rPr>
                <w:rFonts w:hint="eastAsia"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rPr>
              <w:t>认知功能障碍评估与训练软件</w:t>
            </w:r>
            <w:r>
              <w:rPr>
                <w:rFonts w:hint="eastAsia" w:cs="宋体" w:asciiTheme="majorEastAsia" w:hAnsiTheme="majorEastAsia" w:eastAsiaTheme="majorEastAsia"/>
                <w:b/>
                <w:bCs/>
                <w:sz w:val="24"/>
                <w:lang w:val="en-US" w:eastAsia="zh-CN"/>
              </w:rPr>
              <w:t xml:space="preserve">   1套 </w:t>
            </w:r>
          </w:p>
          <w:p w14:paraId="138816EB">
            <w:pPr>
              <w:spacing w:line="276" w:lineRule="auto"/>
              <w:rPr>
                <w:rFonts w:hint="eastAsia"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lang w:val="en-US" w:eastAsia="zh-CN"/>
              </w:rPr>
              <w:t xml:space="preserve">服务管理端  1台 </w:t>
            </w:r>
          </w:p>
          <w:p w14:paraId="357018B6">
            <w:pPr>
              <w:spacing w:line="276" w:lineRule="auto"/>
              <w:rPr>
                <w:rFonts w:hint="eastAsia"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lang w:val="en-US" w:eastAsia="zh-CN"/>
              </w:rPr>
              <w:t xml:space="preserve">患者端  4台  </w:t>
            </w:r>
          </w:p>
          <w:p w14:paraId="7692EB36">
            <w:pPr>
              <w:pStyle w:val="5"/>
              <w:rPr>
                <w:rFonts w:hint="eastAsia"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lang w:val="en-US" w:eastAsia="zh-CN"/>
              </w:rPr>
              <w:t>打印输出终端</w:t>
            </w:r>
            <w:r>
              <w:rPr>
                <w:rFonts w:hint="eastAsia" w:cs="宋体" w:asciiTheme="majorEastAsia" w:hAnsiTheme="majorEastAsia" w:eastAsiaTheme="majorEastAsia"/>
                <w:b/>
                <w:bCs/>
                <w:sz w:val="24"/>
                <w:lang w:val="en-US" w:eastAsia="zh-CN"/>
              </w:rPr>
              <w:t xml:space="preserve">  1台  </w:t>
            </w:r>
          </w:p>
          <w:p w14:paraId="0FBE0254">
            <w:pPr>
              <w:spacing w:line="276" w:lineRule="auto"/>
              <w:rPr>
                <w:rFonts w:hint="eastAsia"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lang w:val="en-US" w:eastAsia="zh-CN"/>
              </w:rPr>
              <w:t xml:space="preserve">路由器  1台  </w:t>
            </w:r>
            <w:bookmarkStart w:id="0" w:name="_GoBack"/>
            <w:bookmarkEnd w:id="0"/>
          </w:p>
          <w:p w14:paraId="07A39914">
            <w:pPr>
              <w:spacing w:line="276" w:lineRule="auto"/>
              <w:rPr>
                <w:rFonts w:hint="eastAsia"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lang w:val="en-US" w:eastAsia="zh-CN"/>
              </w:rPr>
              <w:t xml:space="preserve">键鼠套装  1套   </w:t>
            </w:r>
          </w:p>
          <w:p w14:paraId="6FC7D561">
            <w:pPr>
              <w:spacing w:line="276" w:lineRule="auto"/>
              <w:rPr>
                <w:rFonts w:hint="default" w:cs="宋体" w:asciiTheme="majorEastAsia" w:hAnsiTheme="majorEastAsia" w:eastAsiaTheme="majorEastAsia"/>
                <w:b/>
                <w:bCs/>
                <w:sz w:val="24"/>
                <w:lang w:val="en-US" w:eastAsia="zh-CN"/>
              </w:rPr>
            </w:pPr>
            <w:r>
              <w:rPr>
                <w:rFonts w:hint="eastAsia" w:cs="宋体" w:asciiTheme="majorEastAsia" w:hAnsiTheme="majorEastAsia" w:eastAsiaTheme="majorEastAsia"/>
                <w:b/>
                <w:bCs/>
                <w:sz w:val="24"/>
                <w:lang w:val="en-US" w:eastAsia="zh-CN"/>
              </w:rPr>
              <w:t>电源线  1根</w:t>
            </w:r>
          </w:p>
        </w:tc>
      </w:tr>
      <w:tr w14:paraId="5DE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01B06AD8">
            <w:pPr>
              <w:spacing w:line="276" w:lineRule="auto"/>
              <w:rPr>
                <w:rFonts w:cs="宋体" w:asciiTheme="majorEastAsia" w:hAnsiTheme="majorEastAsia" w:eastAsiaTheme="majorEastAsia"/>
                <w:b/>
                <w:sz w:val="24"/>
              </w:rPr>
            </w:pPr>
            <w:r>
              <w:rPr>
                <w:rFonts w:hint="eastAsia" w:asciiTheme="majorEastAsia" w:hAnsiTheme="majorEastAsia" w:eastAsiaTheme="majorEastAsia"/>
                <w:b/>
                <w:sz w:val="24"/>
                <w:szCs w:val="21"/>
                <w:highlight w:val="yellow"/>
              </w:rPr>
              <w:t>以议价/招标现场专家组确定的供应商提供的具体配置为准</w:t>
            </w:r>
          </w:p>
        </w:tc>
      </w:tr>
    </w:tbl>
    <w:p w14:paraId="3CC7F8E6">
      <w:pPr>
        <w:spacing w:before="100" w:beforeAutospacing="1" w:after="240"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4B3344AD">
      <w:pPr>
        <w:pStyle w:val="19"/>
        <w:spacing w:line="276" w:lineRule="auto"/>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7FE2EA17">
      <w:pPr>
        <w:pStyle w:val="19"/>
        <w:adjustRightInd w:val="0"/>
        <w:snapToGrid w:val="0"/>
        <w:ind w:firstLine="480"/>
        <w:rPr>
          <w:rFonts w:hint="eastAsia"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24F86DD7">
      <w:pPr>
        <w:numPr>
          <w:ilvl w:val="0"/>
          <w:numId w:val="1"/>
        </w:numPr>
        <w:spacing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010E3076">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highlight w:val="yellow"/>
        </w:rPr>
        <w:t>（核心技术要求（以</w:t>
      </w:r>
      <w:r>
        <w:rPr>
          <w:rFonts w:hint="eastAsia" w:cs="宋体" w:asciiTheme="majorEastAsia" w:hAnsiTheme="majorEastAsia" w:eastAsiaTheme="majorEastAsia"/>
          <w:sz w:val="20"/>
          <w:szCs w:val="20"/>
          <w:highlight w:val="yellow"/>
        </w:rPr>
        <w:t>★</w:t>
      </w:r>
      <w:r>
        <w:rPr>
          <w:rFonts w:hint="eastAsia" w:cs="宋体" w:asciiTheme="majorEastAsia" w:hAnsiTheme="majorEastAsia" w:eastAsiaTheme="majorEastAsia"/>
          <w:sz w:val="20"/>
          <w:highlight w:val="yellow"/>
        </w:rPr>
        <w:t>号标注）为技术条款实质性要求不允许负偏离;否则将被否决。其数量≤5条，且必须有不少于3个品牌满足，并在第四部分作出承诺。）</w:t>
      </w:r>
    </w:p>
    <w:p w14:paraId="5CF3E6FF">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号条款为重要技术参数，需议价现场与供应商逐一确定是否满足。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19C1FB35">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12"/>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7FF1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209" w:type="dxa"/>
            <w:gridSpan w:val="4"/>
            <w:vAlign w:val="center"/>
          </w:tcPr>
          <w:p w14:paraId="1B389AEC">
            <w:pPr>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02ECAC41">
            <w:pPr>
              <w:jc w:val="center"/>
              <w:rPr>
                <w:rFonts w:asciiTheme="majorEastAsia" w:hAnsiTheme="majorEastAsia" w:eastAsiaTheme="majorEastAsia"/>
                <w:b/>
                <w:sz w:val="24"/>
                <w:szCs w:val="21"/>
              </w:rPr>
            </w:pPr>
          </w:p>
        </w:tc>
      </w:tr>
      <w:tr w14:paraId="5A15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68C7F04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5643A7A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3BAE427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75A01C2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490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0B56BC8B">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tcPr>
          <w:p w14:paraId="2D6C6F70">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2"/>
                <w:szCs w:val="20"/>
              </w:rPr>
              <w:t>认知功能障碍训练与评估软件</w:t>
            </w:r>
          </w:p>
        </w:tc>
        <w:tc>
          <w:tcPr>
            <w:tcW w:w="7564" w:type="dxa"/>
            <w:gridSpan w:val="2"/>
          </w:tcPr>
          <w:p w14:paraId="1D279245">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rPr>
              <w:t>以议价/招标现场专家组确定的供应商提供的具体参数为准</w:t>
            </w:r>
          </w:p>
        </w:tc>
        <w:tc>
          <w:tcPr>
            <w:tcW w:w="817" w:type="dxa"/>
          </w:tcPr>
          <w:p w14:paraId="3FEAE5EE">
            <w:pPr>
              <w:spacing w:line="276" w:lineRule="auto"/>
              <w:rPr>
                <w:rFonts w:asciiTheme="majorEastAsia" w:hAnsiTheme="majorEastAsia" w:eastAsiaTheme="majorEastAsia"/>
                <w:b/>
                <w:sz w:val="24"/>
                <w:szCs w:val="21"/>
              </w:rPr>
            </w:pPr>
          </w:p>
        </w:tc>
      </w:tr>
      <w:tr w14:paraId="526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026" w:type="dxa"/>
            <w:gridSpan w:val="5"/>
          </w:tcPr>
          <w:p w14:paraId="568F0B36">
            <w:pPr>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2C50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gridSpan w:val="3"/>
            <w:vAlign w:val="top"/>
          </w:tcPr>
          <w:p w14:paraId="1E8DE3FB">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vAlign w:val="top"/>
          </w:tcPr>
          <w:p w14:paraId="2EC8DBBD">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lang w:val="en-US" w:eastAsia="zh-CN"/>
              </w:rPr>
              <w:t>合同签订后并接采购人通知7日历日内或更优</w:t>
            </w:r>
          </w:p>
        </w:tc>
      </w:tr>
      <w:tr w14:paraId="69FA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4F29364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vAlign w:val="top"/>
          </w:tcPr>
          <w:p w14:paraId="5BC36536">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539F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5A073D6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vAlign w:val="top"/>
          </w:tcPr>
          <w:p w14:paraId="460993A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4D05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gridSpan w:val="3"/>
            <w:vAlign w:val="top"/>
          </w:tcPr>
          <w:p w14:paraId="0D2C907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vAlign w:val="top"/>
          </w:tcPr>
          <w:p w14:paraId="561398A6">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683002F4">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合同签订后三个工作日内，乙方将采购合同总价5%（人民币    元整，¥    ）的履约保证金汇入甲方指定账户。货到清点、安装调试验收合格正常使用后，出具全额发票，甲方凭乙方提供的完整资料，自发票到达甲方财务之日起10个工作日内，支付100%合同货款到乙方指定帐户。</w:t>
            </w:r>
          </w:p>
          <w:p w14:paraId="04A9F55B">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37EF87E2">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56B4E191">
            <w:pPr>
              <w:adjustRightInd w:val="0"/>
              <w:snapToGrid w:val="0"/>
              <w:rPr>
                <w:rFonts w:asciiTheme="majorEastAsia" w:hAnsiTheme="majorEastAsia" w:eastAsiaTheme="majorEastAsia"/>
                <w:b/>
                <w:sz w:val="24"/>
                <w:szCs w:val="21"/>
              </w:rPr>
            </w:pPr>
            <w:r>
              <w:rPr>
                <w:rFonts w:hint="eastAsia" w:cs="Times New Roman"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771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33A716E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vAlign w:val="top"/>
          </w:tcPr>
          <w:p w14:paraId="4D33798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2E545F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00058F8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5CC132D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48516E0">
            <w:pPr>
              <w:adjustRightInd w:val="0"/>
              <w:snapToGrid w:val="0"/>
              <w:ind w:firstLine="420" w:firstLineChars="200"/>
              <w:rPr>
                <w:rFonts w:hint="eastAsia" w:asciiTheme="majorEastAsia" w:hAnsiTheme="majorEastAsia" w:eastAsiaTheme="majorEastAsia"/>
                <w:b/>
                <w:sz w:val="24"/>
                <w:szCs w:val="21"/>
                <w:lang w:eastAsia="zh-CN"/>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30FB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0029409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vAlign w:val="top"/>
          </w:tcPr>
          <w:p w14:paraId="17DB410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61F2E08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47B100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C388CF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7430F63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3050592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077F36B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83AE6B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4CC9A14A">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6113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3381BD9C">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7FA34141">
            <w:pPr>
              <w:adjustRightInd w:val="0"/>
              <w:snapToGrid w:val="0"/>
              <w:rPr>
                <w:rFonts w:asciiTheme="majorEastAsia" w:hAnsiTheme="majorEastAsia" w:eastAsiaTheme="majorEastAsia"/>
                <w:b/>
                <w:sz w:val="24"/>
                <w:szCs w:val="21"/>
                <w:highlight w:val="yellow"/>
              </w:rPr>
            </w:pPr>
          </w:p>
        </w:tc>
        <w:tc>
          <w:tcPr>
            <w:tcW w:w="8261" w:type="dxa"/>
            <w:gridSpan w:val="2"/>
            <w:vAlign w:val="top"/>
          </w:tcPr>
          <w:p w14:paraId="0CC47F4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宋体" w:hAnsi="宋体" w:eastAsia="宋体" w:cs="宋体"/>
                <w:bCs/>
                <w:color w:val="FF0000"/>
                <w:szCs w:val="21"/>
                <w:u w:val="single"/>
              </w:rPr>
              <w:t>≥</w:t>
            </w:r>
            <w:r>
              <w:rPr>
                <w:rFonts w:hint="eastAsia" w:asciiTheme="minorEastAsia" w:hAnsiTheme="minorEastAsia" w:eastAsiaTheme="minorEastAsia"/>
                <w:bCs/>
                <w:color w:val="FF0000"/>
                <w:szCs w:val="21"/>
                <w:u w:val="single"/>
                <w:lang w:val="en-US" w:eastAsia="zh-CN"/>
              </w:rPr>
              <w:t>3</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295F6B8F">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541C29E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04712DE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641682E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0FA661D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1386C21F">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247A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6BBAFF1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vAlign w:val="top"/>
          </w:tcPr>
          <w:p w14:paraId="551D4CF6">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3DD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3306D09E">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九、违约责任</w:t>
            </w:r>
          </w:p>
        </w:tc>
        <w:tc>
          <w:tcPr>
            <w:tcW w:w="8261" w:type="dxa"/>
            <w:gridSpan w:val="2"/>
            <w:vAlign w:val="top"/>
          </w:tcPr>
          <w:p w14:paraId="029594F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663B15FB">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501F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tcBorders>
              <w:bottom w:val="single" w:color="auto" w:sz="4" w:space="0"/>
            </w:tcBorders>
            <w:vAlign w:val="top"/>
          </w:tcPr>
          <w:p w14:paraId="746A3042">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vAlign w:val="top"/>
          </w:tcPr>
          <w:p w14:paraId="2F15633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63CFB12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71485CF3">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5D9AAABA">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46286A8F">
      <w:pPr>
        <w:spacing w:line="360" w:lineRule="auto"/>
        <w:ind w:firstLine="150" w:firstLineChars="100"/>
        <w:rPr>
          <w:rFonts w:cs="方正小标宋简体" w:asciiTheme="majorEastAsia" w:hAnsiTheme="majorEastAsia" w:eastAsiaTheme="majorEastAsia"/>
          <w:sz w:val="15"/>
          <w:szCs w:val="15"/>
        </w:rPr>
      </w:pPr>
    </w:p>
    <w:p w14:paraId="47C41F07">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04EC1159">
      <w:pPr>
        <w:pStyle w:val="6"/>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7346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A2F0EB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0F838CA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□有配套耗材（是否专机专用：□是 □否）（具体列明）：______________</w:t>
            </w:r>
          </w:p>
          <w:p w14:paraId="5FC7147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336FAF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是否需要新准入：□是 □否</w:t>
            </w:r>
          </w:p>
          <w:p w14:paraId="7E950F4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无配套耗材 </w:t>
            </w:r>
          </w:p>
        </w:tc>
      </w:tr>
      <w:tr w14:paraId="0E17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D35E9A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1207FBC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60FDE6B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4942B2D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无配套试剂 </w:t>
            </w:r>
          </w:p>
        </w:tc>
      </w:tr>
      <w:tr w14:paraId="400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524FFB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337C6A0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599D3E8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467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3DEF49F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7CDFFF8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有（具体列明）：__</w:t>
            </w:r>
            <w:r>
              <w:rPr>
                <w:rFonts w:hint="eastAsia" w:asciiTheme="majorEastAsia" w:hAnsiTheme="majorEastAsia" w:eastAsiaTheme="majorEastAsia"/>
                <w:b/>
                <w:sz w:val="24"/>
                <w:szCs w:val="21"/>
                <w:u w:val="single"/>
              </w:rPr>
              <w:t>需稳定局域网环境</w:t>
            </w:r>
            <w:r>
              <w:rPr>
                <w:rFonts w:hint="eastAsia" w:asciiTheme="majorEastAsia" w:hAnsiTheme="majorEastAsia" w:eastAsiaTheme="majorEastAsia"/>
                <w:b/>
                <w:sz w:val="24"/>
                <w:szCs w:val="21"/>
              </w:rPr>
              <w:t>___</w:t>
            </w:r>
          </w:p>
          <w:p w14:paraId="7DA89C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669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7DE15B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66557EF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是（具体列明）：□中型企业；</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小微企业</w:t>
            </w:r>
          </w:p>
          <w:p w14:paraId="76194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160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2515DD9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3F332D36">
            <w:pPr>
              <w:adjustRightInd w:val="0"/>
              <w:snapToGrid w:val="0"/>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8</w:t>
            </w:r>
          </w:p>
        </w:tc>
      </w:tr>
      <w:tr w14:paraId="50B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B6B302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7A3CCD6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有（具体列明）：□一类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二类   □三类   □至少为   类</w:t>
            </w:r>
          </w:p>
          <w:p w14:paraId="16A502EE">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0C8C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0E8C56A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5C783353">
            <w:pPr>
              <w:adjustRightInd w:val="0"/>
              <w:snapToGrid w:val="0"/>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无</w:t>
            </w:r>
          </w:p>
        </w:tc>
      </w:tr>
    </w:tbl>
    <w:p w14:paraId="30779C08">
      <w:pPr>
        <w:spacing w:line="360" w:lineRule="auto"/>
        <w:ind w:firstLine="150" w:firstLineChars="100"/>
        <w:rPr>
          <w:rFonts w:cs="方正小标宋简体" w:asciiTheme="majorEastAsia" w:hAnsiTheme="majorEastAsia" w:eastAsiaTheme="majorEastAsia"/>
          <w:sz w:val="15"/>
          <w:szCs w:val="15"/>
        </w:rPr>
      </w:pPr>
    </w:p>
    <w:p w14:paraId="608DBC55">
      <w:pPr>
        <w:spacing w:line="360" w:lineRule="auto"/>
        <w:ind w:left="400"/>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b/>
          <w:sz w:val="36"/>
          <w:szCs w:val="36"/>
        </w:rPr>
        <w:t>第四部分 零配件、消耗品和延续保修合同报价明细清单</w:t>
      </w:r>
    </w:p>
    <w:p w14:paraId="53240508">
      <w:pPr>
        <w:adjustRightInd w:val="0"/>
        <w:snapToGrid w:val="0"/>
        <w:spacing w:line="360" w:lineRule="auto"/>
        <w:jc w:val="center"/>
        <w:rPr>
          <w:rFonts w:asciiTheme="majorEastAsia" w:hAnsiTheme="majorEastAsia" w:eastAsiaTheme="majorEastAsia"/>
          <w:bCs/>
          <w:sz w:val="28"/>
        </w:rPr>
      </w:pPr>
      <w:r>
        <w:rPr>
          <w:rFonts w:hint="eastAsia" w:asciiTheme="majorEastAsia" w:hAnsiTheme="majorEastAsia" w:eastAsiaTheme="majorEastAsia"/>
          <w:bCs/>
          <w:sz w:val="28"/>
        </w:rPr>
        <w:t>（该部分报价不包括在预算总价内）</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253"/>
        <w:gridCol w:w="1658"/>
        <w:gridCol w:w="1658"/>
        <w:gridCol w:w="1658"/>
        <w:gridCol w:w="1674"/>
      </w:tblGrid>
      <w:tr w14:paraId="4DF6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Align w:val="center"/>
          </w:tcPr>
          <w:p w14:paraId="634E117A">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371" w:type="dxa"/>
            <w:vAlign w:val="center"/>
          </w:tcPr>
          <w:p w14:paraId="7CB209E1">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1737" w:type="dxa"/>
            <w:vAlign w:val="center"/>
          </w:tcPr>
          <w:p w14:paraId="1C4CE7D1">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737" w:type="dxa"/>
            <w:vAlign w:val="center"/>
          </w:tcPr>
          <w:p w14:paraId="171DCD9E">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737" w:type="dxa"/>
            <w:vAlign w:val="center"/>
          </w:tcPr>
          <w:p w14:paraId="4BA6633C">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737" w:type="dxa"/>
            <w:vAlign w:val="center"/>
          </w:tcPr>
          <w:p w14:paraId="4A96D98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4792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Pr>
          <w:p w14:paraId="3E4120D2">
            <w:pPr>
              <w:widowControl/>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371" w:type="dxa"/>
          </w:tcPr>
          <w:p w14:paraId="7551CBE2">
            <w:pPr>
              <w:widowControl/>
              <w:rPr>
                <w:rFonts w:cs="方正小标宋简体" w:asciiTheme="majorEastAsia" w:hAnsiTheme="majorEastAsia" w:eastAsiaTheme="majorEastAsia"/>
                <w:sz w:val="24"/>
              </w:rPr>
            </w:pPr>
          </w:p>
        </w:tc>
        <w:tc>
          <w:tcPr>
            <w:tcW w:w="1737" w:type="dxa"/>
          </w:tcPr>
          <w:p w14:paraId="5A4A45B8">
            <w:pPr>
              <w:widowControl/>
              <w:rPr>
                <w:rFonts w:cs="方正小标宋简体" w:asciiTheme="majorEastAsia" w:hAnsiTheme="majorEastAsia" w:eastAsiaTheme="majorEastAsia"/>
                <w:sz w:val="24"/>
              </w:rPr>
            </w:pPr>
          </w:p>
        </w:tc>
        <w:tc>
          <w:tcPr>
            <w:tcW w:w="1737" w:type="dxa"/>
          </w:tcPr>
          <w:p w14:paraId="569A8448">
            <w:pPr>
              <w:widowControl/>
              <w:rPr>
                <w:rFonts w:cs="方正小标宋简体" w:asciiTheme="majorEastAsia" w:hAnsiTheme="majorEastAsia" w:eastAsiaTheme="majorEastAsia"/>
                <w:sz w:val="24"/>
              </w:rPr>
            </w:pPr>
          </w:p>
        </w:tc>
        <w:tc>
          <w:tcPr>
            <w:tcW w:w="1737" w:type="dxa"/>
          </w:tcPr>
          <w:p w14:paraId="28546080">
            <w:pPr>
              <w:widowControl/>
              <w:rPr>
                <w:rFonts w:cs="方正小标宋简体" w:asciiTheme="majorEastAsia" w:hAnsiTheme="majorEastAsia" w:eastAsiaTheme="majorEastAsia"/>
                <w:sz w:val="24"/>
              </w:rPr>
            </w:pPr>
          </w:p>
        </w:tc>
        <w:tc>
          <w:tcPr>
            <w:tcW w:w="1737" w:type="dxa"/>
          </w:tcPr>
          <w:p w14:paraId="6BACF062">
            <w:pPr>
              <w:widowControl/>
              <w:rPr>
                <w:rFonts w:cs="方正小标宋简体" w:asciiTheme="majorEastAsia" w:hAnsiTheme="majorEastAsia" w:eastAsiaTheme="majorEastAsia"/>
                <w:sz w:val="24"/>
              </w:rPr>
            </w:pPr>
          </w:p>
        </w:tc>
      </w:tr>
      <w:tr w14:paraId="1A76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01" w:type="dxa"/>
          </w:tcPr>
          <w:p w14:paraId="12A5609E">
            <w:pPr>
              <w:widowControl/>
              <w:rPr>
                <w:rFonts w:cs="方正小标宋简体" w:asciiTheme="majorEastAsia" w:hAnsiTheme="majorEastAsia" w:eastAsiaTheme="majorEastAsia"/>
                <w:sz w:val="24"/>
              </w:rPr>
            </w:pPr>
            <w:r>
              <w:rPr>
                <w:rFonts w:cs="方正小标宋简体" w:asciiTheme="majorEastAsia" w:hAnsiTheme="majorEastAsia" w:eastAsiaTheme="majorEastAsia"/>
                <w:sz w:val="24"/>
              </w:rPr>
              <w:t>…</w:t>
            </w:r>
          </w:p>
        </w:tc>
        <w:tc>
          <w:tcPr>
            <w:tcW w:w="2371" w:type="dxa"/>
          </w:tcPr>
          <w:p w14:paraId="468C8A88">
            <w:pPr>
              <w:widowControl/>
              <w:rPr>
                <w:rFonts w:cs="方正小标宋简体" w:asciiTheme="majorEastAsia" w:hAnsiTheme="majorEastAsia" w:eastAsiaTheme="majorEastAsia"/>
                <w:sz w:val="24"/>
              </w:rPr>
            </w:pPr>
          </w:p>
        </w:tc>
        <w:tc>
          <w:tcPr>
            <w:tcW w:w="1737" w:type="dxa"/>
          </w:tcPr>
          <w:p w14:paraId="1E9B0261">
            <w:pPr>
              <w:widowControl/>
              <w:rPr>
                <w:rFonts w:cs="方正小标宋简体" w:asciiTheme="majorEastAsia" w:hAnsiTheme="majorEastAsia" w:eastAsiaTheme="majorEastAsia"/>
                <w:sz w:val="24"/>
              </w:rPr>
            </w:pPr>
          </w:p>
        </w:tc>
        <w:tc>
          <w:tcPr>
            <w:tcW w:w="1737" w:type="dxa"/>
          </w:tcPr>
          <w:p w14:paraId="319E29FA">
            <w:pPr>
              <w:widowControl/>
              <w:rPr>
                <w:rFonts w:cs="方正小标宋简体" w:asciiTheme="majorEastAsia" w:hAnsiTheme="majorEastAsia" w:eastAsiaTheme="majorEastAsia"/>
                <w:sz w:val="24"/>
              </w:rPr>
            </w:pPr>
          </w:p>
        </w:tc>
        <w:tc>
          <w:tcPr>
            <w:tcW w:w="1737" w:type="dxa"/>
          </w:tcPr>
          <w:p w14:paraId="338F2419">
            <w:pPr>
              <w:widowControl/>
              <w:rPr>
                <w:rFonts w:cs="方正小标宋简体" w:asciiTheme="majorEastAsia" w:hAnsiTheme="majorEastAsia" w:eastAsiaTheme="majorEastAsia"/>
                <w:sz w:val="24"/>
              </w:rPr>
            </w:pPr>
          </w:p>
        </w:tc>
        <w:tc>
          <w:tcPr>
            <w:tcW w:w="1737" w:type="dxa"/>
          </w:tcPr>
          <w:p w14:paraId="0D6C88D4">
            <w:pPr>
              <w:widowControl/>
              <w:rPr>
                <w:rFonts w:cs="方正小标宋简体" w:asciiTheme="majorEastAsia" w:hAnsiTheme="majorEastAsia" w:eastAsiaTheme="majorEastAsia"/>
                <w:sz w:val="24"/>
              </w:rPr>
            </w:pPr>
          </w:p>
        </w:tc>
      </w:tr>
      <w:tr w14:paraId="248A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14:paraId="5E12D385">
            <w:pPr>
              <w:widowControl/>
              <w:rPr>
                <w:rFonts w:cs="方正小标宋简体" w:asciiTheme="majorEastAsia" w:hAnsiTheme="majorEastAsia" w:eastAsiaTheme="majorEastAsia"/>
                <w:sz w:val="24"/>
              </w:rPr>
            </w:pPr>
          </w:p>
        </w:tc>
        <w:tc>
          <w:tcPr>
            <w:tcW w:w="2371" w:type="dxa"/>
          </w:tcPr>
          <w:p w14:paraId="6B86CF2E">
            <w:pPr>
              <w:widowControl/>
              <w:rPr>
                <w:rFonts w:cs="方正小标宋简体" w:asciiTheme="majorEastAsia" w:hAnsiTheme="majorEastAsia" w:eastAsiaTheme="majorEastAsia"/>
                <w:sz w:val="24"/>
              </w:rPr>
            </w:pPr>
          </w:p>
        </w:tc>
        <w:tc>
          <w:tcPr>
            <w:tcW w:w="1737" w:type="dxa"/>
          </w:tcPr>
          <w:p w14:paraId="14808062">
            <w:pPr>
              <w:widowControl/>
              <w:rPr>
                <w:rFonts w:cs="方正小标宋简体" w:asciiTheme="majorEastAsia" w:hAnsiTheme="majorEastAsia" w:eastAsiaTheme="majorEastAsia"/>
                <w:sz w:val="24"/>
              </w:rPr>
            </w:pPr>
          </w:p>
        </w:tc>
        <w:tc>
          <w:tcPr>
            <w:tcW w:w="1737" w:type="dxa"/>
          </w:tcPr>
          <w:p w14:paraId="635CD2D9">
            <w:pPr>
              <w:widowControl/>
              <w:rPr>
                <w:rFonts w:cs="方正小标宋简体" w:asciiTheme="majorEastAsia" w:hAnsiTheme="majorEastAsia" w:eastAsiaTheme="majorEastAsia"/>
                <w:sz w:val="24"/>
              </w:rPr>
            </w:pPr>
          </w:p>
        </w:tc>
        <w:tc>
          <w:tcPr>
            <w:tcW w:w="1737" w:type="dxa"/>
          </w:tcPr>
          <w:p w14:paraId="0C5AE6A0">
            <w:pPr>
              <w:widowControl/>
              <w:rPr>
                <w:rFonts w:cs="方正小标宋简体" w:asciiTheme="majorEastAsia" w:hAnsiTheme="majorEastAsia" w:eastAsiaTheme="majorEastAsia"/>
                <w:sz w:val="24"/>
              </w:rPr>
            </w:pPr>
          </w:p>
        </w:tc>
        <w:tc>
          <w:tcPr>
            <w:tcW w:w="1737" w:type="dxa"/>
          </w:tcPr>
          <w:p w14:paraId="7104202F">
            <w:pPr>
              <w:widowControl/>
              <w:rPr>
                <w:rFonts w:cs="方正小标宋简体" w:asciiTheme="majorEastAsia" w:hAnsiTheme="majorEastAsia" w:eastAsiaTheme="majorEastAsia"/>
                <w:sz w:val="24"/>
              </w:rPr>
            </w:pPr>
          </w:p>
        </w:tc>
      </w:tr>
    </w:tbl>
    <w:p w14:paraId="4DB45B07">
      <w:pPr>
        <w:adjustRightInd w:val="0"/>
        <w:snapToGrid w:val="0"/>
        <w:spacing w:line="300" w:lineRule="auto"/>
        <w:jc w:val="center"/>
        <w:rPr>
          <w:rFonts w:asciiTheme="majorEastAsia" w:hAnsiTheme="majorEastAsia" w:eastAsiaTheme="majorEastAsia"/>
          <w:b/>
          <w:sz w:val="24"/>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903"/>
        <w:gridCol w:w="2484"/>
        <w:gridCol w:w="2511"/>
      </w:tblGrid>
      <w:tr w14:paraId="5B8C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48A0F8E4">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0074DC98">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043A1017">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5C2EABE5">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272B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Align w:val="center"/>
          </w:tcPr>
          <w:p w14:paraId="74B63167">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C774967">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0F013815">
            <w:pPr>
              <w:widowControl/>
              <w:jc w:val="center"/>
              <w:rPr>
                <w:rFonts w:cs="方正小标宋简体" w:asciiTheme="majorEastAsia" w:hAnsiTheme="majorEastAsia" w:eastAsiaTheme="majorEastAsia"/>
                <w:sz w:val="24"/>
              </w:rPr>
            </w:pPr>
          </w:p>
        </w:tc>
        <w:tc>
          <w:tcPr>
            <w:tcW w:w="2605" w:type="dxa"/>
            <w:vAlign w:val="center"/>
          </w:tcPr>
          <w:p w14:paraId="411E23B4">
            <w:pPr>
              <w:widowControl/>
              <w:jc w:val="center"/>
              <w:rPr>
                <w:rFonts w:cs="方正小标宋简体" w:asciiTheme="majorEastAsia" w:hAnsiTheme="majorEastAsia" w:eastAsiaTheme="majorEastAsia"/>
                <w:sz w:val="24"/>
              </w:rPr>
            </w:pPr>
          </w:p>
        </w:tc>
      </w:tr>
      <w:tr w14:paraId="7A81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Pr>
          <w:p w14:paraId="49DA728E">
            <w:pPr>
              <w:widowControl/>
              <w:rPr>
                <w:rFonts w:cs="方正小标宋简体" w:asciiTheme="majorEastAsia" w:hAnsiTheme="majorEastAsia" w:eastAsiaTheme="majorEastAsia"/>
                <w:sz w:val="24"/>
              </w:rPr>
            </w:pPr>
          </w:p>
        </w:tc>
        <w:tc>
          <w:tcPr>
            <w:tcW w:w="4109" w:type="dxa"/>
          </w:tcPr>
          <w:p w14:paraId="083371CC">
            <w:pPr>
              <w:widowControl/>
              <w:rPr>
                <w:rFonts w:cs="方正小标宋简体" w:asciiTheme="majorEastAsia" w:hAnsiTheme="majorEastAsia" w:eastAsiaTheme="majorEastAsia"/>
                <w:sz w:val="24"/>
              </w:rPr>
            </w:pPr>
          </w:p>
        </w:tc>
        <w:tc>
          <w:tcPr>
            <w:tcW w:w="2605" w:type="dxa"/>
          </w:tcPr>
          <w:p w14:paraId="4FBD81F5">
            <w:pPr>
              <w:widowControl/>
              <w:rPr>
                <w:rFonts w:cs="方正小标宋简体" w:asciiTheme="majorEastAsia" w:hAnsiTheme="majorEastAsia" w:eastAsiaTheme="majorEastAsia"/>
                <w:sz w:val="24"/>
              </w:rPr>
            </w:pPr>
          </w:p>
        </w:tc>
        <w:tc>
          <w:tcPr>
            <w:tcW w:w="2605" w:type="dxa"/>
          </w:tcPr>
          <w:p w14:paraId="27AEB4F5">
            <w:pPr>
              <w:widowControl/>
              <w:rPr>
                <w:rFonts w:cs="方正小标宋简体" w:asciiTheme="majorEastAsia" w:hAnsiTheme="majorEastAsia" w:eastAsiaTheme="majorEastAsia"/>
                <w:sz w:val="24"/>
              </w:rPr>
            </w:pPr>
          </w:p>
        </w:tc>
      </w:tr>
    </w:tbl>
    <w:p w14:paraId="6C4307DE">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项零配件、消耗品和延续保修合同的明细需填写于此表。</w:t>
      </w:r>
    </w:p>
    <w:p w14:paraId="4BB59652">
      <w:pPr>
        <w:widowControl/>
        <w:rPr>
          <w:rFonts w:cs="方正小标宋简体" w:asciiTheme="majorEastAsia" w:hAnsiTheme="majorEastAsia" w:eastAsiaTheme="majorEastAsia"/>
          <w:sz w:val="36"/>
          <w:szCs w:val="36"/>
        </w:rPr>
      </w:pPr>
    </w:p>
    <w:p w14:paraId="34840CE5">
      <w:pPr>
        <w:widowControl/>
        <w:jc w:val="left"/>
        <w:rPr>
          <w:rFonts w:cs="方正小标宋简体" w:asciiTheme="majorEastAsia" w:hAnsiTheme="majorEastAsia" w:eastAsiaTheme="majorEastAsia"/>
          <w:b/>
          <w:sz w:val="36"/>
          <w:szCs w:val="36"/>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4526"/>
    </w:sdtPr>
    <w:sdtContent>
      <w:p w14:paraId="42E81C13">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p w14:paraId="16AD534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14A66"/>
    <w:rsid w:val="000170C1"/>
    <w:rsid w:val="00022431"/>
    <w:rsid w:val="00027A10"/>
    <w:rsid w:val="00047765"/>
    <w:rsid w:val="00056650"/>
    <w:rsid w:val="00077080"/>
    <w:rsid w:val="00094BE5"/>
    <w:rsid w:val="000D332B"/>
    <w:rsid w:val="000D528A"/>
    <w:rsid w:val="00117159"/>
    <w:rsid w:val="00122AB5"/>
    <w:rsid w:val="00127D2E"/>
    <w:rsid w:val="00141F0D"/>
    <w:rsid w:val="00147AA8"/>
    <w:rsid w:val="00147DE0"/>
    <w:rsid w:val="00183D09"/>
    <w:rsid w:val="001A6B02"/>
    <w:rsid w:val="001F5D4E"/>
    <w:rsid w:val="00201CE8"/>
    <w:rsid w:val="00213A4E"/>
    <w:rsid w:val="00214240"/>
    <w:rsid w:val="00216DBD"/>
    <w:rsid w:val="002243DF"/>
    <w:rsid w:val="0024191C"/>
    <w:rsid w:val="00251F0B"/>
    <w:rsid w:val="002850D0"/>
    <w:rsid w:val="0029701C"/>
    <w:rsid w:val="00297C31"/>
    <w:rsid w:val="002B3785"/>
    <w:rsid w:val="003148AA"/>
    <w:rsid w:val="00326BC1"/>
    <w:rsid w:val="00334AA0"/>
    <w:rsid w:val="00352B55"/>
    <w:rsid w:val="003930E9"/>
    <w:rsid w:val="003942D3"/>
    <w:rsid w:val="003D442D"/>
    <w:rsid w:val="003D4C77"/>
    <w:rsid w:val="00423853"/>
    <w:rsid w:val="00497BF4"/>
    <w:rsid w:val="004B1081"/>
    <w:rsid w:val="004B3240"/>
    <w:rsid w:val="004B3CFF"/>
    <w:rsid w:val="004D5E34"/>
    <w:rsid w:val="00523CD5"/>
    <w:rsid w:val="0053721B"/>
    <w:rsid w:val="00542363"/>
    <w:rsid w:val="0055112D"/>
    <w:rsid w:val="00553925"/>
    <w:rsid w:val="005666F4"/>
    <w:rsid w:val="005675B0"/>
    <w:rsid w:val="005772ED"/>
    <w:rsid w:val="00597CA2"/>
    <w:rsid w:val="005A54F1"/>
    <w:rsid w:val="005B3443"/>
    <w:rsid w:val="005C211C"/>
    <w:rsid w:val="005C57CC"/>
    <w:rsid w:val="00603257"/>
    <w:rsid w:val="006231CE"/>
    <w:rsid w:val="0062338B"/>
    <w:rsid w:val="00662021"/>
    <w:rsid w:val="006710A2"/>
    <w:rsid w:val="006C7CF0"/>
    <w:rsid w:val="007130B5"/>
    <w:rsid w:val="00716C4F"/>
    <w:rsid w:val="00750A3D"/>
    <w:rsid w:val="007554DF"/>
    <w:rsid w:val="007772AF"/>
    <w:rsid w:val="00793785"/>
    <w:rsid w:val="007A0C07"/>
    <w:rsid w:val="007A2E18"/>
    <w:rsid w:val="007B1DF4"/>
    <w:rsid w:val="007C4096"/>
    <w:rsid w:val="007D196F"/>
    <w:rsid w:val="007D65D9"/>
    <w:rsid w:val="0080050C"/>
    <w:rsid w:val="00820E08"/>
    <w:rsid w:val="00865E28"/>
    <w:rsid w:val="00871F5E"/>
    <w:rsid w:val="00872D2F"/>
    <w:rsid w:val="00874934"/>
    <w:rsid w:val="00876B02"/>
    <w:rsid w:val="00892E0D"/>
    <w:rsid w:val="008964A3"/>
    <w:rsid w:val="008B74EE"/>
    <w:rsid w:val="008C28A8"/>
    <w:rsid w:val="008D2C79"/>
    <w:rsid w:val="008D3E82"/>
    <w:rsid w:val="008E4143"/>
    <w:rsid w:val="008E78E8"/>
    <w:rsid w:val="0090107D"/>
    <w:rsid w:val="00904FED"/>
    <w:rsid w:val="009122AA"/>
    <w:rsid w:val="00930B23"/>
    <w:rsid w:val="009376BC"/>
    <w:rsid w:val="00937D3D"/>
    <w:rsid w:val="00953822"/>
    <w:rsid w:val="00972C2D"/>
    <w:rsid w:val="009764EB"/>
    <w:rsid w:val="009908D7"/>
    <w:rsid w:val="009B12A1"/>
    <w:rsid w:val="00A043A8"/>
    <w:rsid w:val="00A0782D"/>
    <w:rsid w:val="00A517B7"/>
    <w:rsid w:val="00A619BE"/>
    <w:rsid w:val="00A61FD6"/>
    <w:rsid w:val="00A677F1"/>
    <w:rsid w:val="00A704E6"/>
    <w:rsid w:val="00A878CB"/>
    <w:rsid w:val="00AA4B4A"/>
    <w:rsid w:val="00AB2610"/>
    <w:rsid w:val="00AD3C46"/>
    <w:rsid w:val="00B01564"/>
    <w:rsid w:val="00B06C01"/>
    <w:rsid w:val="00B21F51"/>
    <w:rsid w:val="00BB7DEE"/>
    <w:rsid w:val="00BC5AE8"/>
    <w:rsid w:val="00BC602C"/>
    <w:rsid w:val="00BD08AF"/>
    <w:rsid w:val="00C02E9F"/>
    <w:rsid w:val="00C13828"/>
    <w:rsid w:val="00C22DBC"/>
    <w:rsid w:val="00C32BEC"/>
    <w:rsid w:val="00C35949"/>
    <w:rsid w:val="00C52EBE"/>
    <w:rsid w:val="00C76410"/>
    <w:rsid w:val="00C77FD8"/>
    <w:rsid w:val="00C84938"/>
    <w:rsid w:val="00D25077"/>
    <w:rsid w:val="00D5343F"/>
    <w:rsid w:val="00D82F29"/>
    <w:rsid w:val="00D976F6"/>
    <w:rsid w:val="00DB1E59"/>
    <w:rsid w:val="00DB528F"/>
    <w:rsid w:val="00E93F8F"/>
    <w:rsid w:val="00F0149B"/>
    <w:rsid w:val="00F07294"/>
    <w:rsid w:val="00F23DB0"/>
    <w:rsid w:val="00F464BC"/>
    <w:rsid w:val="00F60CB5"/>
    <w:rsid w:val="00F65BCF"/>
    <w:rsid w:val="00F6788A"/>
    <w:rsid w:val="00F81403"/>
    <w:rsid w:val="00F83533"/>
    <w:rsid w:val="00F906F0"/>
    <w:rsid w:val="00FC40CA"/>
    <w:rsid w:val="00FD0656"/>
    <w:rsid w:val="00FD23ED"/>
    <w:rsid w:val="00FF30DB"/>
    <w:rsid w:val="060B7A81"/>
    <w:rsid w:val="0611217C"/>
    <w:rsid w:val="07AE3385"/>
    <w:rsid w:val="0D3F57BC"/>
    <w:rsid w:val="0F8E7447"/>
    <w:rsid w:val="119B6051"/>
    <w:rsid w:val="12A25084"/>
    <w:rsid w:val="142B2292"/>
    <w:rsid w:val="15FB47D0"/>
    <w:rsid w:val="167B0E9D"/>
    <w:rsid w:val="16FE38D9"/>
    <w:rsid w:val="19A66D0D"/>
    <w:rsid w:val="1A134FCE"/>
    <w:rsid w:val="1A385FE8"/>
    <w:rsid w:val="1E12700E"/>
    <w:rsid w:val="212A611D"/>
    <w:rsid w:val="21971856"/>
    <w:rsid w:val="22E10C1D"/>
    <w:rsid w:val="251903EC"/>
    <w:rsid w:val="2B252436"/>
    <w:rsid w:val="308F7DEE"/>
    <w:rsid w:val="30C324A1"/>
    <w:rsid w:val="356F0503"/>
    <w:rsid w:val="359B56E2"/>
    <w:rsid w:val="366D6BB6"/>
    <w:rsid w:val="38C74D5D"/>
    <w:rsid w:val="3EB2662C"/>
    <w:rsid w:val="40435000"/>
    <w:rsid w:val="40534AFF"/>
    <w:rsid w:val="410631D2"/>
    <w:rsid w:val="42FA1B4E"/>
    <w:rsid w:val="445F60B6"/>
    <w:rsid w:val="461C64AA"/>
    <w:rsid w:val="4E280CF3"/>
    <w:rsid w:val="566D4594"/>
    <w:rsid w:val="58242AE0"/>
    <w:rsid w:val="58AB396B"/>
    <w:rsid w:val="593A5D7B"/>
    <w:rsid w:val="5BDE3A84"/>
    <w:rsid w:val="5C483C8E"/>
    <w:rsid w:val="5DF72B16"/>
    <w:rsid w:val="622A5268"/>
    <w:rsid w:val="663B31C1"/>
    <w:rsid w:val="66AC0259"/>
    <w:rsid w:val="6AFD60D5"/>
    <w:rsid w:val="6D9F7164"/>
    <w:rsid w:val="6F633413"/>
    <w:rsid w:val="6F9E571F"/>
    <w:rsid w:val="70D42357"/>
    <w:rsid w:val="71D50BE9"/>
    <w:rsid w:val="73374A1C"/>
    <w:rsid w:val="738F7392"/>
    <w:rsid w:val="762C283F"/>
    <w:rsid w:val="767D5D1E"/>
    <w:rsid w:val="76E03ABB"/>
    <w:rsid w:val="7A6F030F"/>
    <w:rsid w:val="7A89169D"/>
    <w:rsid w:val="7EB20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w:basedOn w:val="1"/>
    <w:link w:val="25"/>
    <w:qFormat/>
    <w:uiPriority w:val="0"/>
    <w:pPr>
      <w:adjustRightInd w:val="0"/>
      <w:snapToGrid w:val="0"/>
      <w:spacing w:line="500" w:lineRule="atLeast"/>
    </w:pPr>
    <w:rPr>
      <w:rFonts w:ascii="宋体"/>
      <w:bCs/>
      <w:sz w:val="28"/>
    </w:rPr>
  </w:style>
  <w:style w:type="paragraph" w:styleId="7">
    <w:name w:val="Plain Text"/>
    <w:basedOn w:val="1"/>
    <w:link w:val="20"/>
    <w:unhideWhenUsed/>
    <w:qFormat/>
    <w:uiPriority w:val="99"/>
    <w:rPr>
      <w:rFonts w:ascii="宋体" w:hAnsi="Courier New" w:cs="Courier New"/>
      <w:szCs w:val="21"/>
    </w:rPr>
  </w:style>
  <w:style w:type="paragraph" w:styleId="8">
    <w:name w:val="Balloon Text"/>
    <w:basedOn w:val="1"/>
    <w:link w:val="22"/>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4"/>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Tahoma" w:hAnsi="Tahoma" w:eastAsia="宋体"/>
      <w:b/>
      <w:bCs/>
      <w:spacing w:val="10"/>
      <w:kern w:val="2"/>
      <w:sz w:val="24"/>
      <w:szCs w:val="24"/>
      <w:lang w:val="en-US" w:eastAsia="zh-CN" w:bidi="ar-SA"/>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纯文本 Char"/>
    <w:basedOn w:val="14"/>
    <w:link w:val="7"/>
    <w:qFormat/>
    <w:uiPriority w:val="99"/>
    <w:rPr>
      <w:rFonts w:ascii="宋体" w:hAnsi="Courier New" w:eastAsia="宋体" w:cs="Courier New"/>
      <w:szCs w:val="21"/>
    </w:rPr>
  </w:style>
  <w:style w:type="paragraph" w:customStyle="1" w:styleId="21">
    <w:name w:val="样式1 Char Char"/>
    <w:basedOn w:val="1"/>
    <w:next w:val="7"/>
    <w:qFormat/>
    <w:uiPriority w:val="0"/>
    <w:pPr>
      <w:spacing w:line="360" w:lineRule="auto"/>
      <w:ind w:firstLine="516" w:firstLineChars="215"/>
    </w:pPr>
    <w:rPr>
      <w:sz w:val="24"/>
    </w:rPr>
  </w:style>
  <w:style w:type="character" w:customStyle="1" w:styleId="22">
    <w:name w:val="批注框文本 Char"/>
    <w:basedOn w:val="14"/>
    <w:link w:val="8"/>
    <w:semiHidden/>
    <w:qFormat/>
    <w:uiPriority w:val="99"/>
    <w:rPr>
      <w:rFonts w:ascii="Times New Roman" w:hAnsi="Times New Roman" w:eastAsia="宋体" w:cs="Times New Roman"/>
      <w:kern w:val="2"/>
      <w:sz w:val="18"/>
      <w:szCs w:val="18"/>
    </w:rPr>
  </w:style>
  <w:style w:type="character" w:customStyle="1" w:styleId="23">
    <w:name w:val="批注文字 Char"/>
    <w:basedOn w:val="14"/>
    <w:link w:val="5"/>
    <w:semiHidden/>
    <w:qFormat/>
    <w:uiPriority w:val="99"/>
    <w:rPr>
      <w:rFonts w:ascii="Times New Roman" w:hAnsi="Times New Roman" w:eastAsia="宋体" w:cs="Times New Roman"/>
      <w:kern w:val="2"/>
      <w:sz w:val="21"/>
      <w:szCs w:val="24"/>
    </w:rPr>
  </w:style>
  <w:style w:type="character" w:customStyle="1" w:styleId="24">
    <w:name w:val="批注主题 Char"/>
    <w:basedOn w:val="23"/>
    <w:link w:val="11"/>
    <w:semiHidden/>
    <w:qFormat/>
    <w:uiPriority w:val="99"/>
    <w:rPr>
      <w:rFonts w:ascii="Times New Roman" w:hAnsi="Times New Roman" w:eastAsia="宋体" w:cs="Times New Roman"/>
      <w:b/>
      <w:bCs/>
      <w:kern w:val="2"/>
      <w:sz w:val="21"/>
      <w:szCs w:val="24"/>
    </w:rPr>
  </w:style>
  <w:style w:type="character" w:customStyle="1" w:styleId="25">
    <w:name w:val="正文文本 Char"/>
    <w:basedOn w:val="14"/>
    <w:link w:val="6"/>
    <w:qFormat/>
    <w:uiPriority w:val="0"/>
    <w:rPr>
      <w:rFonts w:ascii="宋体" w:hAnsi="Times New Roman" w:eastAsia="宋体" w:cs="Times New Roman"/>
      <w:bCs/>
      <w:kern w:val="2"/>
      <w:sz w:val="28"/>
      <w:szCs w:val="24"/>
    </w:rPr>
  </w:style>
  <w:style w:type="paragraph" w:customStyle="1" w:styleId="26">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27">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2B32-8275-47FC-B073-D1ED476F4A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4672</Words>
  <Characters>4794</Characters>
  <Lines>90</Lines>
  <Paragraphs>25</Paragraphs>
  <TotalTime>0</TotalTime>
  <ScaleCrop>false</ScaleCrop>
  <LinksUpToDate>false</LinksUpToDate>
  <CharactersWithSpaces>4916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2021-12-23T07:27:00Z</dcterms:created>
  <dc:creator>陈蕾</dc:creator>
  <cp:lastModifiedBy>招采办</cp:lastModifiedBy>
  <dcterms:modified xsi:type="dcterms:W3CDTF">2026-06-18T09:37:58Z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eyJoZGlkIjoiMTYzOTc0ZjU0NThhNjU0Y2ExMTNjNmE4Yzc0YjA3ZTAiLCJ1c2VySWQiOiIxMjM0Njk1MzQ0In0=</vt:lpwstr>
  </property>
  <property fmtid="{D5CDD505-2E9C-101B-9397-08002B2CF9AE}" pid="4" name="ICV">
    <vt:lpwstr>0E5D4DC4CF3F483681699AB39645381A_13</vt:lpwstr>
  </property>
</Properties>
</file>