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F08E3">
      <w:pPr>
        <w:spacing w:line="560" w:lineRule="exact"/>
        <w:jc w:val="center"/>
        <w:rPr>
          <w:rFonts w:asciiTheme="majorEastAsia" w:hAnsiTheme="majorEastAsia" w:eastAsiaTheme="majorEastAsia"/>
          <w:b/>
        </w:rPr>
      </w:pPr>
      <w:r>
        <w:commentReference w:id="0"/>
      </w:r>
      <w:r>
        <w:rPr>
          <w:rFonts w:hint="eastAsia" w:asciiTheme="majorEastAsia" w:hAnsiTheme="majorEastAsia" w:eastAsiaTheme="majorEastAsia"/>
          <w:b/>
          <w:sz w:val="44"/>
          <w:szCs w:val="44"/>
        </w:rPr>
        <w:t>中山大学附属第八医院（深圳福田）货物类</w:t>
      </w:r>
    </w:p>
    <w:p w14:paraId="29865B69">
      <w:pPr>
        <w:spacing w:line="64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采购需求书（紧急）</w:t>
      </w:r>
    </w:p>
    <w:p w14:paraId="72592F95">
      <w:pPr>
        <w:spacing w:line="540" w:lineRule="exact"/>
        <w:ind w:firstLine="240" w:firstLineChars="100"/>
        <w:rPr>
          <w:rFonts w:cs="方正小标宋简体" w:asciiTheme="majorEastAsia" w:hAnsiTheme="majorEastAsia" w:eastAsiaTheme="majorEastAsia"/>
          <w:sz w:val="36"/>
          <w:szCs w:val="36"/>
        </w:rPr>
      </w:pPr>
      <w:r>
        <w:rPr>
          <w:rFonts w:hint="eastAsia" w:cs="宋体" w:asciiTheme="majorEastAsia" w:hAnsiTheme="majorEastAsia" w:eastAsiaTheme="majorEastAsia"/>
          <w:sz w:val="24"/>
        </w:rPr>
        <w:t>说明：“★”号条款为实质性条款，必须完全满足，不满足则不予采购</w:t>
      </w:r>
    </w:p>
    <w:p w14:paraId="6EFE7BE8">
      <w:pPr>
        <w:spacing w:line="540" w:lineRule="exact"/>
        <w:ind w:firstLine="361" w:firstLineChars="1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第一部分 项目基本要求</w:t>
      </w:r>
    </w:p>
    <w:p w14:paraId="10634A80">
      <w:pPr>
        <w:spacing w:before="100" w:beforeAutospacing="1" w:line="276" w:lineRule="auto"/>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 xml:space="preserve"> 一、项目基本信息</w:t>
      </w:r>
    </w:p>
    <w:p w14:paraId="53735C82">
      <w:pPr>
        <w:spacing w:before="100" w:beforeAutospacing="1" w:line="276" w:lineRule="auto"/>
        <w:ind w:firstLine="482" w:firstLineChars="200"/>
        <w:rPr>
          <w:rFonts w:cs="方正小标宋简体" w:asciiTheme="majorEastAsia" w:hAnsiTheme="majorEastAsia" w:eastAsiaTheme="majorEastAsia"/>
          <w:sz w:val="24"/>
          <w:shd w:val="clear" w:color="auto" w:fill="FFFFFF"/>
        </w:rPr>
      </w:pPr>
      <w:r>
        <w:rPr>
          <w:rFonts w:hint="eastAsia" w:asciiTheme="majorEastAsia" w:hAnsiTheme="majorEastAsia" w:eastAsiaTheme="majorEastAsia"/>
          <w:b/>
          <w:color w:val="000000"/>
          <w:sz w:val="24"/>
          <w:szCs w:val="21"/>
        </w:rPr>
        <w:t>申请科室：</w:t>
      </w:r>
      <w:r>
        <w:rPr>
          <w:rFonts w:hint="eastAsia" w:asciiTheme="majorEastAsia" w:hAnsiTheme="majorEastAsia" w:eastAsiaTheme="majorEastAsia"/>
          <w:b/>
          <w:color w:val="000000"/>
          <w:sz w:val="24"/>
          <w:szCs w:val="21"/>
          <w:lang w:val="en-US" w:eastAsia="zh-CN"/>
        </w:rPr>
        <w:t>临床心理科</w:t>
      </w:r>
      <w:r>
        <w:rPr>
          <w:rFonts w:hint="eastAsia" w:asciiTheme="majorEastAsia" w:hAnsiTheme="majorEastAsia" w:eastAsiaTheme="majorEastAsia"/>
          <w:b/>
          <w:color w:val="000000"/>
          <w:sz w:val="24"/>
          <w:szCs w:val="21"/>
        </w:rPr>
        <w:t xml:space="preserve">       </w:t>
      </w:r>
      <w:r>
        <w:rPr>
          <w:rFonts w:hint="eastAsia" w:asciiTheme="majorEastAsia" w:hAnsiTheme="majorEastAsia" w:eastAsiaTheme="majorEastAsia"/>
          <w:b/>
          <w:color w:val="000000"/>
          <w:sz w:val="24"/>
          <w:szCs w:val="21"/>
          <w:lang w:val="en-US" w:eastAsia="zh-CN"/>
        </w:rPr>
        <w:t xml:space="preserve"> </w:t>
      </w:r>
      <w:r>
        <w:rPr>
          <w:rFonts w:hint="eastAsia" w:cs="宋体" w:asciiTheme="majorEastAsia" w:hAnsiTheme="majorEastAsia" w:eastAsiaTheme="majorEastAsia"/>
          <w:b/>
          <w:color w:val="000000"/>
          <w:sz w:val="24"/>
          <w:szCs w:val="21"/>
        </w:rPr>
        <w:t>负责人姓名：</w:t>
      </w:r>
      <w:r>
        <w:rPr>
          <w:rFonts w:hint="eastAsia" w:asciiTheme="majorEastAsia" w:hAnsiTheme="majorEastAsia" w:eastAsiaTheme="majorEastAsia"/>
          <w:b/>
          <w:color w:val="000000"/>
          <w:sz w:val="24"/>
          <w:szCs w:val="21"/>
        </w:rPr>
        <w:t xml:space="preserve">       </w:t>
      </w:r>
      <w:r>
        <w:rPr>
          <w:rFonts w:hint="eastAsia" w:asciiTheme="majorEastAsia" w:hAnsiTheme="majorEastAsia" w:eastAsiaTheme="majorEastAsia"/>
          <w:b/>
          <w:color w:val="000000"/>
          <w:sz w:val="24"/>
          <w:szCs w:val="21"/>
          <w:lang w:val="en-US" w:eastAsia="zh-CN"/>
        </w:rPr>
        <w:t xml:space="preserve"> </w:t>
      </w:r>
      <w:r>
        <w:rPr>
          <w:rFonts w:hint="eastAsia" w:cs="宋体" w:asciiTheme="majorEastAsia" w:hAnsiTheme="majorEastAsia" w:eastAsiaTheme="majorEastAsia"/>
          <w:b/>
          <w:color w:val="000000"/>
          <w:sz w:val="24"/>
          <w:szCs w:val="21"/>
        </w:rPr>
        <w:t>负责人电话：</w:t>
      </w:r>
    </w:p>
    <w:tbl>
      <w:tblPr>
        <w:tblStyle w:val="9"/>
        <w:tblW w:w="10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942"/>
        <w:gridCol w:w="850"/>
        <w:gridCol w:w="1276"/>
        <w:gridCol w:w="1134"/>
        <w:gridCol w:w="1276"/>
        <w:gridCol w:w="1275"/>
        <w:gridCol w:w="1560"/>
      </w:tblGrid>
      <w:tr w14:paraId="709C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795" w:type="dxa"/>
            <w:gridSpan w:val="2"/>
            <w:vAlign w:val="center"/>
          </w:tcPr>
          <w:p w14:paraId="25865524">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申请设备名称</w:t>
            </w:r>
          </w:p>
        </w:tc>
        <w:tc>
          <w:tcPr>
            <w:tcW w:w="850" w:type="dxa"/>
            <w:vAlign w:val="center"/>
          </w:tcPr>
          <w:p w14:paraId="66B365EB">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1276" w:type="dxa"/>
            <w:vAlign w:val="center"/>
          </w:tcPr>
          <w:p w14:paraId="3D17E772">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1134" w:type="dxa"/>
            <w:vAlign w:val="center"/>
          </w:tcPr>
          <w:p w14:paraId="4680CC10">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1276" w:type="dxa"/>
            <w:vAlign w:val="center"/>
          </w:tcPr>
          <w:p w14:paraId="6BCC9EE0">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1275" w:type="dxa"/>
            <w:vAlign w:val="center"/>
          </w:tcPr>
          <w:p w14:paraId="6F12B3CC">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c>
          <w:tcPr>
            <w:tcW w:w="1560" w:type="dxa"/>
          </w:tcPr>
          <w:p w14:paraId="35FCCC69">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是否需要注册证/备案证</w:t>
            </w:r>
          </w:p>
        </w:tc>
      </w:tr>
      <w:tr w14:paraId="2A8E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795" w:type="dxa"/>
            <w:gridSpan w:val="2"/>
            <w:vAlign w:val="center"/>
          </w:tcPr>
          <w:p w14:paraId="0DDF658E">
            <w:pPr>
              <w:spacing w:line="276" w:lineRule="auto"/>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经颅磁刺激治疗仪</w:t>
            </w:r>
          </w:p>
        </w:tc>
        <w:tc>
          <w:tcPr>
            <w:tcW w:w="850" w:type="dxa"/>
            <w:vAlign w:val="center"/>
          </w:tcPr>
          <w:p w14:paraId="212BAA93">
            <w:pPr>
              <w:spacing w:line="276" w:lineRule="auto"/>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国产</w:t>
            </w:r>
          </w:p>
        </w:tc>
        <w:tc>
          <w:tcPr>
            <w:tcW w:w="1276" w:type="dxa"/>
            <w:vAlign w:val="center"/>
          </w:tcPr>
          <w:p w14:paraId="63CDC9A6">
            <w:pPr>
              <w:spacing w:line="276" w:lineRule="auto"/>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2</w:t>
            </w:r>
          </w:p>
        </w:tc>
        <w:tc>
          <w:tcPr>
            <w:tcW w:w="1134" w:type="dxa"/>
            <w:vAlign w:val="center"/>
          </w:tcPr>
          <w:p w14:paraId="0209B42B">
            <w:pPr>
              <w:spacing w:line="276" w:lineRule="auto"/>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台</w:t>
            </w:r>
          </w:p>
        </w:tc>
        <w:tc>
          <w:tcPr>
            <w:tcW w:w="1276" w:type="dxa"/>
            <w:vAlign w:val="center"/>
          </w:tcPr>
          <w:p w14:paraId="616685F1">
            <w:pPr>
              <w:spacing w:line="276" w:lineRule="auto"/>
              <w:jc w:val="center"/>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20</w:t>
            </w:r>
          </w:p>
        </w:tc>
        <w:tc>
          <w:tcPr>
            <w:tcW w:w="1275" w:type="dxa"/>
            <w:vAlign w:val="center"/>
          </w:tcPr>
          <w:p w14:paraId="341AC62C">
            <w:pPr>
              <w:spacing w:line="276" w:lineRule="auto"/>
              <w:jc w:val="center"/>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40</w:t>
            </w:r>
          </w:p>
        </w:tc>
        <w:tc>
          <w:tcPr>
            <w:tcW w:w="1560" w:type="dxa"/>
          </w:tcPr>
          <w:p w14:paraId="41E66E66">
            <w:pPr>
              <w:spacing w:line="276" w:lineRule="auto"/>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是</w:t>
            </w:r>
          </w:p>
        </w:tc>
      </w:tr>
      <w:tr w14:paraId="4B30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853" w:type="dxa"/>
            <w:vAlign w:val="center"/>
          </w:tcPr>
          <w:p w14:paraId="0692ADBB">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项目背景</w:t>
            </w:r>
          </w:p>
        </w:tc>
        <w:tc>
          <w:tcPr>
            <w:tcW w:w="8313" w:type="dxa"/>
            <w:gridSpan w:val="7"/>
            <w:vAlign w:val="center"/>
          </w:tcPr>
          <w:p w14:paraId="3E76FE71">
            <w:pPr>
              <w:spacing w:line="276" w:lineRule="auto"/>
              <w:rPr>
                <w:rFonts w:asciiTheme="majorEastAsia" w:hAnsiTheme="majorEastAsia" w:eastAsiaTheme="majorEastAsia"/>
                <w:b/>
                <w:sz w:val="24"/>
                <w:szCs w:val="21"/>
              </w:rPr>
            </w:pPr>
            <w:r>
              <w:rPr>
                <w:rFonts w:hint="eastAsia" w:cs="宋体" w:asciiTheme="majorEastAsia" w:hAnsiTheme="majorEastAsia" w:eastAsiaTheme="majorEastAsia"/>
                <w:color w:val="000000"/>
                <w:szCs w:val="21"/>
                <w:highlight w:val="none"/>
              </w:rPr>
              <w:t>经颅磁刺激技术（TMS）因无痛、无损伤、操作简便、安全可靠等优点，在临床与研究领域发展良好，已普遍应用于</w:t>
            </w:r>
            <w:r>
              <w:rPr>
                <w:rFonts w:hint="eastAsia" w:cs="宋体" w:asciiTheme="majorEastAsia" w:hAnsiTheme="majorEastAsia" w:eastAsiaTheme="majorEastAsia"/>
                <w:color w:val="000000"/>
                <w:szCs w:val="21"/>
                <w:highlight w:val="none"/>
                <w:lang w:val="en-US" w:eastAsia="zh-CN"/>
              </w:rPr>
              <w:t>临床</w:t>
            </w:r>
            <w:r>
              <w:rPr>
                <w:rFonts w:hint="eastAsia" w:cs="宋体" w:asciiTheme="majorEastAsia" w:hAnsiTheme="majorEastAsia" w:eastAsiaTheme="majorEastAsia"/>
                <w:color w:val="000000"/>
                <w:szCs w:val="21"/>
                <w:highlight w:val="none"/>
              </w:rPr>
              <w:t>精神科、心理科等。</w:t>
            </w:r>
            <w:r>
              <w:rPr>
                <w:rFonts w:hint="eastAsia" w:cs="宋体" w:asciiTheme="majorEastAsia" w:hAnsiTheme="majorEastAsia" w:eastAsiaTheme="majorEastAsia"/>
                <w:color w:val="000000"/>
                <w:szCs w:val="21"/>
                <w:highlight w:val="none"/>
                <w:lang w:val="en-US" w:eastAsia="zh-CN"/>
              </w:rPr>
              <w:t>科室目前病人量增加，科室需采购设备满足病人使用需求</w:t>
            </w:r>
            <w:r>
              <w:rPr>
                <w:rFonts w:hint="eastAsia" w:cs="宋体" w:asciiTheme="majorEastAsia" w:hAnsiTheme="majorEastAsia" w:eastAsiaTheme="majorEastAsia"/>
                <w:color w:val="000000"/>
                <w:szCs w:val="21"/>
                <w:highlight w:val="none"/>
              </w:rPr>
              <w:t>。引进经颅磁刺激仪设备，可提高科室和医院</w:t>
            </w:r>
            <w:r>
              <w:rPr>
                <w:rFonts w:hint="eastAsia" w:cs="宋体" w:asciiTheme="majorEastAsia" w:hAnsiTheme="majorEastAsia" w:eastAsiaTheme="majorEastAsia"/>
                <w:color w:val="000000"/>
                <w:szCs w:val="21"/>
                <w:highlight w:val="none"/>
                <w:lang w:val="en-US" w:eastAsia="zh-CN"/>
              </w:rPr>
              <w:t>精神心理</w:t>
            </w:r>
            <w:r>
              <w:rPr>
                <w:rFonts w:hint="eastAsia" w:cs="宋体" w:asciiTheme="majorEastAsia" w:hAnsiTheme="majorEastAsia" w:eastAsiaTheme="majorEastAsia"/>
                <w:color w:val="000000"/>
                <w:szCs w:val="21"/>
                <w:highlight w:val="none"/>
              </w:rPr>
              <w:t>康复水平，造福患者和社会，树立区域标杆效应。</w:t>
            </w:r>
          </w:p>
        </w:tc>
      </w:tr>
      <w:tr w14:paraId="6AC3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166" w:type="dxa"/>
            <w:gridSpan w:val="8"/>
            <w:vAlign w:val="center"/>
          </w:tcPr>
          <w:p w14:paraId="22690736">
            <w:pPr>
              <w:spacing w:line="276" w:lineRule="auto"/>
              <w:rPr>
                <w:rFonts w:hint="eastAsia" w:cs="宋体" w:asciiTheme="majorEastAsia" w:hAnsiTheme="majorEastAsia" w:eastAsiaTheme="majorEastAsia"/>
                <w:b/>
                <w:bCs/>
                <w:sz w:val="24"/>
              </w:rPr>
            </w:pPr>
            <w:r>
              <w:rPr>
                <w:rFonts w:hint="eastAsia" w:cs="宋体" w:asciiTheme="majorEastAsia" w:hAnsiTheme="majorEastAsia" w:eastAsiaTheme="majorEastAsia"/>
                <w:b/>
                <w:sz w:val="24"/>
              </w:rPr>
              <w:t>★</w:t>
            </w:r>
            <w:r>
              <w:rPr>
                <w:rFonts w:hint="eastAsia" w:cs="宋体" w:asciiTheme="majorEastAsia" w:hAnsiTheme="majorEastAsia" w:eastAsiaTheme="majorEastAsia"/>
                <w:b/>
                <w:bCs/>
                <w:sz w:val="24"/>
              </w:rPr>
              <w:t>设备配置总清单（包括主机和各种配件或附件、试剂耗材及软件等，写明规格和数量）</w:t>
            </w:r>
          </w:p>
          <w:p w14:paraId="4A0F194D">
            <w:pPr>
              <w:numPr>
                <w:ilvl w:val="0"/>
                <w:numId w:val="1"/>
              </w:numPr>
              <w:spacing w:line="360" w:lineRule="auto"/>
              <w:ind w:left="425" w:leftChars="0" w:hanging="425" w:firstLineChars="0"/>
              <w:jc w:val="both"/>
              <w:rPr>
                <w:rFonts w:hint="eastAsia" w:cs="宋体" w:asciiTheme="majorEastAsia" w:hAnsiTheme="majorEastAsia" w:eastAsiaTheme="majorEastAsia"/>
                <w:b/>
                <w:bCs/>
                <w:sz w:val="24"/>
              </w:rPr>
            </w:pPr>
            <w:r>
              <w:rPr>
                <w:rFonts w:hint="eastAsia" w:cs="宋体" w:asciiTheme="majorEastAsia" w:hAnsiTheme="majorEastAsia" w:eastAsiaTheme="majorEastAsia"/>
                <w:b/>
                <w:bCs/>
                <w:sz w:val="24"/>
              </w:rPr>
              <w:t>磁刺激器主机</w:t>
            </w:r>
            <w:r>
              <w:rPr>
                <w:rFonts w:hint="eastAsia" w:cs="宋体" w:asciiTheme="majorEastAsia" w:hAnsiTheme="majorEastAsia" w:eastAsiaTheme="majorEastAsia"/>
                <w:b/>
                <w:bCs/>
                <w:sz w:val="24"/>
                <w:lang w:val="en-US" w:eastAsia="zh-CN"/>
              </w:rPr>
              <w:t xml:space="preserve">    </w:t>
            </w:r>
            <w:r>
              <w:rPr>
                <w:rFonts w:hint="eastAsia" w:cs="宋体" w:asciiTheme="majorEastAsia" w:hAnsiTheme="majorEastAsia" w:eastAsiaTheme="majorEastAsia"/>
                <w:b/>
                <w:bCs/>
                <w:sz w:val="24"/>
              </w:rPr>
              <w:t xml:space="preserve"> </w:t>
            </w:r>
            <w:r>
              <w:rPr>
                <w:rFonts w:hint="eastAsia" w:cs="宋体" w:asciiTheme="majorEastAsia" w:hAnsiTheme="majorEastAsia" w:eastAsiaTheme="majorEastAsia"/>
                <w:b/>
                <w:bCs/>
                <w:sz w:val="24"/>
                <w:lang w:val="en-US" w:eastAsia="zh-CN"/>
              </w:rPr>
              <w:t>2</w:t>
            </w:r>
            <w:r>
              <w:rPr>
                <w:rFonts w:hint="eastAsia" w:cs="宋体" w:asciiTheme="majorEastAsia" w:hAnsiTheme="majorEastAsia" w:eastAsiaTheme="majorEastAsia"/>
                <w:b/>
                <w:bCs/>
                <w:sz w:val="24"/>
              </w:rPr>
              <w:t>台</w:t>
            </w:r>
          </w:p>
          <w:p w14:paraId="26DA18D2">
            <w:pPr>
              <w:numPr>
                <w:ilvl w:val="0"/>
                <w:numId w:val="1"/>
              </w:numPr>
              <w:spacing w:line="360" w:lineRule="auto"/>
              <w:ind w:left="425" w:leftChars="0" w:hanging="425" w:firstLineChars="0"/>
              <w:jc w:val="both"/>
              <w:rPr>
                <w:rFonts w:hint="eastAsia" w:cs="宋体" w:asciiTheme="majorEastAsia" w:hAnsiTheme="majorEastAsia" w:eastAsiaTheme="majorEastAsia"/>
                <w:b/>
                <w:bCs/>
                <w:sz w:val="24"/>
              </w:rPr>
            </w:pPr>
            <w:r>
              <w:rPr>
                <w:rFonts w:hint="eastAsia" w:cs="宋体" w:asciiTheme="majorEastAsia" w:hAnsiTheme="majorEastAsia" w:eastAsiaTheme="majorEastAsia"/>
                <w:b/>
                <w:bCs/>
                <w:sz w:val="24"/>
                <w:lang w:val="en-US" w:eastAsia="zh-CN"/>
              </w:rPr>
              <w:t>内置一体式</w:t>
            </w:r>
            <w:r>
              <w:rPr>
                <w:rFonts w:hint="eastAsia" w:cs="宋体" w:asciiTheme="majorEastAsia" w:hAnsiTheme="majorEastAsia" w:eastAsiaTheme="majorEastAsia"/>
                <w:b/>
                <w:bCs/>
                <w:sz w:val="24"/>
              </w:rPr>
              <w:t>液态冷却</w:t>
            </w:r>
            <w:r>
              <w:rPr>
                <w:rFonts w:hint="eastAsia" w:cs="宋体" w:asciiTheme="majorEastAsia" w:hAnsiTheme="majorEastAsia" w:eastAsiaTheme="majorEastAsia"/>
                <w:b/>
                <w:bCs/>
                <w:sz w:val="24"/>
                <w:lang w:val="en-US" w:eastAsia="zh-CN"/>
              </w:rPr>
              <w:t>循环</w:t>
            </w:r>
            <w:r>
              <w:rPr>
                <w:rFonts w:hint="eastAsia" w:cs="宋体" w:asciiTheme="majorEastAsia" w:hAnsiTheme="majorEastAsia" w:eastAsiaTheme="majorEastAsia"/>
                <w:b/>
                <w:bCs/>
                <w:sz w:val="24"/>
              </w:rPr>
              <w:t xml:space="preserve">系统     </w:t>
            </w:r>
            <w:r>
              <w:rPr>
                <w:rFonts w:hint="eastAsia" w:cs="宋体" w:asciiTheme="majorEastAsia" w:hAnsiTheme="majorEastAsia" w:eastAsiaTheme="majorEastAsia"/>
                <w:b/>
                <w:bCs/>
                <w:sz w:val="24"/>
                <w:lang w:val="en-US" w:eastAsia="zh-CN"/>
              </w:rPr>
              <w:t xml:space="preserve">  </w:t>
            </w:r>
            <w:r>
              <w:rPr>
                <w:rFonts w:hint="eastAsia" w:cs="宋体" w:asciiTheme="majorEastAsia" w:hAnsiTheme="majorEastAsia" w:eastAsiaTheme="majorEastAsia"/>
                <w:b/>
                <w:bCs/>
                <w:sz w:val="24"/>
              </w:rPr>
              <w:t xml:space="preserve"> </w:t>
            </w:r>
            <w:r>
              <w:rPr>
                <w:rFonts w:hint="eastAsia" w:cs="宋体" w:asciiTheme="majorEastAsia" w:hAnsiTheme="majorEastAsia" w:eastAsiaTheme="majorEastAsia"/>
                <w:b/>
                <w:bCs/>
                <w:sz w:val="24"/>
                <w:lang w:val="en-US" w:eastAsia="zh-CN"/>
              </w:rPr>
              <w:t>2</w:t>
            </w:r>
            <w:r>
              <w:rPr>
                <w:rFonts w:hint="eastAsia" w:cs="宋体" w:asciiTheme="majorEastAsia" w:hAnsiTheme="majorEastAsia" w:eastAsiaTheme="majorEastAsia"/>
                <w:b/>
                <w:bCs/>
                <w:sz w:val="24"/>
              </w:rPr>
              <w:t>套</w:t>
            </w:r>
          </w:p>
          <w:p w14:paraId="50130F1B">
            <w:pPr>
              <w:numPr>
                <w:ilvl w:val="0"/>
                <w:numId w:val="1"/>
              </w:numPr>
              <w:spacing w:line="360" w:lineRule="auto"/>
              <w:ind w:left="425" w:leftChars="0" w:hanging="425" w:firstLineChars="0"/>
              <w:jc w:val="both"/>
              <w:rPr>
                <w:rFonts w:hint="eastAsia" w:cs="宋体" w:asciiTheme="majorEastAsia" w:hAnsiTheme="majorEastAsia" w:eastAsiaTheme="majorEastAsia"/>
                <w:b/>
                <w:bCs/>
                <w:sz w:val="24"/>
              </w:rPr>
            </w:pPr>
            <w:r>
              <w:rPr>
                <w:rFonts w:hint="eastAsia" w:cs="宋体" w:asciiTheme="majorEastAsia" w:hAnsiTheme="majorEastAsia" w:eastAsiaTheme="majorEastAsia"/>
                <w:b/>
                <w:bCs/>
                <w:sz w:val="24"/>
                <w:lang w:eastAsia="zh-CN"/>
              </w:rPr>
              <w:t>便携式</w:t>
            </w:r>
            <w:r>
              <w:rPr>
                <w:rFonts w:hint="eastAsia" w:cs="宋体" w:asciiTheme="majorEastAsia" w:hAnsiTheme="majorEastAsia" w:eastAsiaTheme="majorEastAsia"/>
                <w:b/>
                <w:bCs/>
                <w:sz w:val="24"/>
              </w:rPr>
              <w:t>管理与控制系统</w:t>
            </w:r>
            <w:r>
              <w:rPr>
                <w:rFonts w:hint="eastAsia" w:cs="宋体" w:asciiTheme="majorEastAsia" w:hAnsiTheme="majorEastAsia" w:eastAsiaTheme="majorEastAsia"/>
                <w:b/>
                <w:bCs/>
                <w:sz w:val="24"/>
              </w:rPr>
              <w:tab/>
            </w:r>
            <w:r>
              <w:rPr>
                <w:rFonts w:hint="eastAsia" w:cs="宋体" w:asciiTheme="majorEastAsia" w:hAnsiTheme="majorEastAsia" w:eastAsiaTheme="majorEastAsia"/>
                <w:b/>
                <w:bCs/>
                <w:sz w:val="24"/>
              </w:rPr>
              <w:t xml:space="preserve">  </w:t>
            </w:r>
            <w:r>
              <w:rPr>
                <w:rFonts w:hint="eastAsia" w:cs="宋体" w:asciiTheme="majorEastAsia" w:hAnsiTheme="majorEastAsia" w:eastAsiaTheme="majorEastAsia"/>
                <w:b/>
                <w:bCs/>
                <w:sz w:val="24"/>
                <w:lang w:val="en-US" w:eastAsia="zh-CN"/>
              </w:rPr>
              <w:t xml:space="preserve">        </w:t>
            </w:r>
            <w:r>
              <w:rPr>
                <w:rFonts w:hint="eastAsia" w:cs="宋体" w:asciiTheme="majorEastAsia" w:hAnsiTheme="majorEastAsia" w:eastAsiaTheme="majorEastAsia"/>
                <w:b/>
                <w:bCs/>
                <w:sz w:val="24"/>
              </w:rPr>
              <w:t xml:space="preserve"> </w:t>
            </w:r>
            <w:r>
              <w:rPr>
                <w:rFonts w:hint="eastAsia" w:cs="宋体" w:asciiTheme="majorEastAsia" w:hAnsiTheme="majorEastAsia" w:eastAsiaTheme="majorEastAsia"/>
                <w:b/>
                <w:bCs/>
                <w:sz w:val="24"/>
                <w:lang w:val="en-US" w:eastAsia="zh-CN"/>
              </w:rPr>
              <w:t>2</w:t>
            </w:r>
            <w:r>
              <w:rPr>
                <w:rFonts w:hint="eastAsia" w:cs="宋体" w:asciiTheme="majorEastAsia" w:hAnsiTheme="majorEastAsia" w:eastAsiaTheme="majorEastAsia"/>
                <w:b/>
                <w:bCs/>
                <w:sz w:val="24"/>
              </w:rPr>
              <w:t>套</w:t>
            </w:r>
          </w:p>
          <w:p w14:paraId="5FD0F694">
            <w:pPr>
              <w:numPr>
                <w:ilvl w:val="0"/>
                <w:numId w:val="1"/>
              </w:numPr>
              <w:spacing w:line="360" w:lineRule="auto"/>
              <w:ind w:left="425" w:leftChars="0" w:hanging="425" w:firstLineChars="0"/>
              <w:jc w:val="both"/>
              <w:rPr>
                <w:rFonts w:hint="eastAsia" w:cs="宋体" w:asciiTheme="majorEastAsia" w:hAnsiTheme="majorEastAsia" w:eastAsiaTheme="majorEastAsia"/>
                <w:b/>
                <w:bCs/>
                <w:sz w:val="24"/>
              </w:rPr>
            </w:pPr>
            <w:r>
              <w:rPr>
                <w:rFonts w:hint="eastAsia" w:cs="宋体" w:asciiTheme="majorEastAsia" w:hAnsiTheme="majorEastAsia" w:eastAsiaTheme="majorEastAsia"/>
                <w:b/>
                <w:bCs/>
                <w:sz w:val="24"/>
                <w:lang w:eastAsia="zh-CN"/>
              </w:rPr>
              <w:t>无孔</w:t>
            </w:r>
            <w:r>
              <w:rPr>
                <w:rFonts w:hint="eastAsia" w:cs="宋体" w:asciiTheme="majorEastAsia" w:hAnsiTheme="majorEastAsia" w:eastAsiaTheme="majorEastAsia"/>
                <w:b/>
                <w:bCs/>
                <w:sz w:val="24"/>
              </w:rPr>
              <w:t>刺激线圈圆形或八字形</w:t>
            </w:r>
            <w:r>
              <w:rPr>
                <w:rFonts w:hint="eastAsia" w:cs="宋体" w:asciiTheme="majorEastAsia" w:hAnsiTheme="majorEastAsia" w:eastAsiaTheme="majorEastAsia"/>
                <w:b/>
                <w:bCs/>
                <w:sz w:val="24"/>
                <w:lang w:val="en-US" w:eastAsia="zh-CN"/>
              </w:rPr>
              <w:t xml:space="preserve">        2</w:t>
            </w:r>
            <w:r>
              <w:rPr>
                <w:rFonts w:hint="eastAsia" w:cs="宋体" w:asciiTheme="majorEastAsia" w:hAnsiTheme="majorEastAsia" w:eastAsiaTheme="majorEastAsia"/>
                <w:b/>
                <w:bCs/>
                <w:sz w:val="24"/>
              </w:rPr>
              <w:t>个</w:t>
            </w:r>
          </w:p>
          <w:p w14:paraId="13D86BFA">
            <w:pPr>
              <w:numPr>
                <w:ilvl w:val="0"/>
                <w:numId w:val="1"/>
              </w:numPr>
              <w:spacing w:line="360" w:lineRule="auto"/>
              <w:ind w:left="425" w:leftChars="0" w:hanging="425" w:firstLineChars="0"/>
              <w:jc w:val="both"/>
              <w:rPr>
                <w:rFonts w:hint="eastAsia" w:cs="宋体" w:asciiTheme="majorEastAsia" w:hAnsiTheme="majorEastAsia" w:eastAsiaTheme="majorEastAsia"/>
                <w:b/>
                <w:bCs/>
                <w:sz w:val="24"/>
              </w:rPr>
            </w:pPr>
            <w:r>
              <w:rPr>
                <w:rFonts w:hint="eastAsia" w:cs="宋体" w:asciiTheme="majorEastAsia" w:hAnsiTheme="majorEastAsia" w:eastAsiaTheme="majorEastAsia"/>
                <w:b/>
                <w:bCs/>
                <w:sz w:val="24"/>
                <w:lang w:val="en-US" w:eastAsia="zh-CN"/>
              </w:rPr>
              <w:t>内置式有线双通道</w:t>
            </w:r>
            <w:r>
              <w:rPr>
                <w:rFonts w:hint="eastAsia" w:cs="宋体" w:asciiTheme="majorEastAsia" w:hAnsiTheme="majorEastAsia" w:eastAsiaTheme="majorEastAsia"/>
                <w:b/>
                <w:bCs/>
                <w:sz w:val="24"/>
              </w:rPr>
              <w:t>MEP功能模块</w:t>
            </w:r>
            <w:r>
              <w:rPr>
                <w:rFonts w:hint="eastAsia" w:cs="宋体" w:asciiTheme="majorEastAsia" w:hAnsiTheme="majorEastAsia" w:eastAsiaTheme="majorEastAsia"/>
                <w:b/>
                <w:bCs/>
                <w:sz w:val="24"/>
              </w:rPr>
              <w:tab/>
            </w:r>
            <w:r>
              <w:rPr>
                <w:rFonts w:hint="eastAsia" w:cs="宋体" w:asciiTheme="majorEastAsia" w:hAnsiTheme="majorEastAsia" w:eastAsiaTheme="majorEastAsia"/>
                <w:b/>
                <w:bCs/>
                <w:sz w:val="24"/>
                <w:lang w:val="en-US" w:eastAsia="zh-CN"/>
              </w:rPr>
              <w:t xml:space="preserve">      2</w:t>
            </w:r>
            <w:r>
              <w:rPr>
                <w:rFonts w:hint="eastAsia" w:cs="宋体" w:asciiTheme="majorEastAsia" w:hAnsiTheme="majorEastAsia" w:eastAsiaTheme="majorEastAsia"/>
                <w:b/>
                <w:bCs/>
                <w:sz w:val="24"/>
              </w:rPr>
              <w:t>套</w:t>
            </w:r>
            <w:bookmarkStart w:id="0" w:name="_GoBack"/>
            <w:bookmarkEnd w:id="0"/>
          </w:p>
          <w:p w14:paraId="5C66E7B6">
            <w:pPr>
              <w:numPr>
                <w:ilvl w:val="0"/>
                <w:numId w:val="1"/>
              </w:numPr>
              <w:spacing w:line="360" w:lineRule="auto"/>
              <w:ind w:left="425" w:leftChars="0" w:hanging="425" w:firstLineChars="0"/>
              <w:jc w:val="both"/>
              <w:rPr>
                <w:rFonts w:hint="eastAsia" w:cs="宋体" w:asciiTheme="majorEastAsia" w:hAnsiTheme="majorEastAsia" w:eastAsiaTheme="majorEastAsia"/>
                <w:b/>
                <w:bCs/>
                <w:sz w:val="24"/>
              </w:rPr>
            </w:pPr>
            <w:r>
              <w:rPr>
                <w:rFonts w:hint="eastAsia" w:cs="宋体" w:asciiTheme="majorEastAsia" w:hAnsiTheme="majorEastAsia" w:eastAsiaTheme="majorEastAsia"/>
                <w:b/>
                <w:bCs/>
                <w:sz w:val="24"/>
                <w:lang w:val="en-US" w:eastAsia="zh-CN"/>
              </w:rPr>
              <w:t>线圈</w:t>
            </w:r>
            <w:r>
              <w:rPr>
                <w:rFonts w:hint="eastAsia" w:cs="宋体" w:asciiTheme="majorEastAsia" w:hAnsiTheme="majorEastAsia" w:eastAsiaTheme="majorEastAsia"/>
                <w:b/>
                <w:bCs/>
                <w:sz w:val="24"/>
              </w:rPr>
              <w:t>支架</w:t>
            </w:r>
            <w:r>
              <w:rPr>
                <w:rFonts w:hint="eastAsia" w:cs="宋体" w:asciiTheme="majorEastAsia" w:hAnsiTheme="majorEastAsia" w:eastAsiaTheme="majorEastAsia"/>
                <w:b/>
                <w:bCs/>
                <w:sz w:val="24"/>
                <w:lang w:val="en-US" w:eastAsia="zh-CN"/>
              </w:rPr>
              <w:t xml:space="preserve">            </w:t>
            </w:r>
            <w:r>
              <w:rPr>
                <w:rFonts w:hint="eastAsia" w:cs="宋体" w:asciiTheme="majorEastAsia" w:hAnsiTheme="majorEastAsia" w:eastAsiaTheme="majorEastAsia"/>
                <w:b/>
                <w:bCs/>
                <w:sz w:val="24"/>
              </w:rPr>
              <w:t xml:space="preserve"> </w:t>
            </w:r>
            <w:r>
              <w:rPr>
                <w:rFonts w:hint="eastAsia" w:cs="宋体" w:asciiTheme="majorEastAsia" w:hAnsiTheme="majorEastAsia" w:eastAsiaTheme="majorEastAsia"/>
                <w:b/>
                <w:bCs/>
                <w:sz w:val="24"/>
                <w:lang w:val="en-US" w:eastAsia="zh-CN"/>
              </w:rPr>
              <w:t xml:space="preserve">      2</w:t>
            </w:r>
            <w:r>
              <w:rPr>
                <w:rFonts w:hint="eastAsia" w:cs="宋体" w:asciiTheme="majorEastAsia" w:hAnsiTheme="majorEastAsia" w:eastAsiaTheme="majorEastAsia"/>
                <w:b/>
                <w:bCs/>
                <w:sz w:val="24"/>
              </w:rPr>
              <w:t>个</w:t>
            </w:r>
          </w:p>
          <w:p w14:paraId="6CCC8558">
            <w:pPr>
              <w:numPr>
                <w:ilvl w:val="0"/>
                <w:numId w:val="1"/>
              </w:numPr>
              <w:spacing w:line="360" w:lineRule="auto"/>
              <w:ind w:left="425" w:leftChars="0" w:hanging="425" w:firstLineChars="0"/>
              <w:jc w:val="both"/>
              <w:rPr>
                <w:rFonts w:hint="eastAsia" w:cs="宋体" w:asciiTheme="majorEastAsia" w:hAnsiTheme="majorEastAsia" w:eastAsiaTheme="majorEastAsia"/>
                <w:b/>
                <w:bCs/>
                <w:sz w:val="24"/>
              </w:rPr>
            </w:pPr>
            <w:r>
              <w:rPr>
                <w:rFonts w:hint="eastAsia" w:cs="宋体" w:asciiTheme="majorEastAsia" w:hAnsiTheme="majorEastAsia" w:eastAsiaTheme="majorEastAsia"/>
                <w:b/>
                <w:bCs/>
                <w:sz w:val="24"/>
              </w:rPr>
              <w:t>刺激</w:t>
            </w:r>
            <w:r>
              <w:rPr>
                <w:rFonts w:hint="eastAsia" w:cs="宋体" w:asciiTheme="majorEastAsia" w:hAnsiTheme="majorEastAsia" w:eastAsiaTheme="majorEastAsia"/>
                <w:b/>
                <w:bCs/>
                <w:sz w:val="24"/>
                <w:lang w:val="en-US" w:eastAsia="zh-CN"/>
              </w:rPr>
              <w:t>线圈</w:t>
            </w:r>
            <w:r>
              <w:rPr>
                <w:rFonts w:hint="eastAsia" w:cs="宋体" w:asciiTheme="majorEastAsia" w:hAnsiTheme="majorEastAsia" w:eastAsiaTheme="majorEastAsia"/>
                <w:b/>
                <w:bCs/>
                <w:sz w:val="24"/>
              </w:rPr>
              <w:t>定位帽</w:t>
            </w:r>
            <w:r>
              <w:rPr>
                <w:rFonts w:hint="eastAsia" w:cs="宋体" w:asciiTheme="majorEastAsia" w:hAnsiTheme="majorEastAsia" w:eastAsiaTheme="majorEastAsia"/>
                <w:b/>
                <w:bCs/>
                <w:sz w:val="24"/>
              </w:rPr>
              <w:tab/>
            </w:r>
            <w:r>
              <w:rPr>
                <w:rFonts w:hint="eastAsia" w:cs="宋体" w:asciiTheme="majorEastAsia" w:hAnsiTheme="majorEastAsia" w:eastAsiaTheme="majorEastAsia"/>
                <w:b/>
                <w:bCs/>
                <w:sz w:val="24"/>
                <w:lang w:val="en-US" w:eastAsia="zh-CN"/>
              </w:rPr>
              <w:t xml:space="preserve">           10</w:t>
            </w:r>
            <w:r>
              <w:rPr>
                <w:rFonts w:hint="eastAsia" w:cs="宋体" w:asciiTheme="majorEastAsia" w:hAnsiTheme="majorEastAsia" w:eastAsiaTheme="majorEastAsia"/>
                <w:b/>
                <w:bCs/>
                <w:sz w:val="24"/>
              </w:rPr>
              <w:t>个</w:t>
            </w:r>
          </w:p>
          <w:p w14:paraId="29DB868B">
            <w:pPr>
              <w:numPr>
                <w:ilvl w:val="0"/>
                <w:numId w:val="1"/>
              </w:numPr>
              <w:spacing w:line="360" w:lineRule="auto"/>
              <w:ind w:left="425" w:leftChars="0" w:hanging="425" w:firstLineChars="0"/>
              <w:jc w:val="both"/>
              <w:rPr>
                <w:rFonts w:hint="eastAsia" w:cs="宋体" w:asciiTheme="majorEastAsia" w:hAnsiTheme="majorEastAsia" w:eastAsiaTheme="majorEastAsia"/>
                <w:b/>
                <w:bCs/>
                <w:sz w:val="24"/>
              </w:rPr>
            </w:pPr>
            <w:r>
              <w:rPr>
                <w:rFonts w:hint="eastAsia" w:cs="宋体" w:asciiTheme="majorEastAsia" w:hAnsiTheme="majorEastAsia" w:eastAsiaTheme="majorEastAsia"/>
                <w:b/>
                <w:bCs/>
                <w:sz w:val="24"/>
                <w:lang w:eastAsia="zh-CN"/>
              </w:rPr>
              <w:t>便携式电刺激仪 1台</w:t>
            </w:r>
          </w:p>
        </w:tc>
      </w:tr>
      <w:tr w14:paraId="4D76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166" w:type="dxa"/>
            <w:gridSpan w:val="8"/>
            <w:vAlign w:val="center"/>
          </w:tcPr>
          <w:p w14:paraId="499FBC24">
            <w:pPr>
              <w:spacing w:line="276" w:lineRule="auto"/>
              <w:rPr>
                <w:rFonts w:cs="宋体" w:asciiTheme="majorEastAsia" w:hAnsiTheme="majorEastAsia" w:eastAsiaTheme="majorEastAsia"/>
                <w:b/>
                <w:sz w:val="24"/>
              </w:rPr>
            </w:pPr>
            <w:r>
              <w:rPr>
                <w:rFonts w:hint="eastAsia" w:asciiTheme="majorEastAsia" w:hAnsiTheme="majorEastAsia" w:eastAsiaTheme="majorEastAsia"/>
                <w:b/>
                <w:sz w:val="24"/>
                <w:szCs w:val="21"/>
                <w:highlight w:val="yellow"/>
              </w:rPr>
              <w:t>以议价/招标现场专家组确定的供应商提供的具体配置为准</w:t>
            </w:r>
          </w:p>
        </w:tc>
      </w:tr>
    </w:tbl>
    <w:p w14:paraId="19446546">
      <w:pPr>
        <w:spacing w:before="100" w:beforeAutospacing="1" w:after="240" w:line="276" w:lineRule="auto"/>
        <w:ind w:firstLine="480" w:firstLineChars="150"/>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二、特殊资格要求说明</w:t>
      </w:r>
    </w:p>
    <w:p w14:paraId="6F45836B">
      <w:pPr>
        <w:pStyle w:val="16"/>
        <w:spacing w:line="276" w:lineRule="auto"/>
        <w:ind w:left="400" w:firstLine="0" w:firstLineChars="0"/>
        <w:rPr>
          <w:rFonts w:asciiTheme="majorEastAsia" w:hAnsiTheme="majorEastAsia" w:eastAsiaTheme="majorEastAsia"/>
          <w:bCs/>
          <w:color w:val="FF0000"/>
          <w:szCs w:val="21"/>
        </w:rPr>
      </w:pPr>
      <w:r>
        <w:rPr>
          <w:rFonts w:hint="eastAsia" w:cs="宋体" w:asciiTheme="majorEastAsia" w:hAnsiTheme="majorEastAsia" w:eastAsiaTheme="majorEastAsia"/>
          <w:sz w:val="24"/>
        </w:rPr>
        <w:t>本项目属于医疗器械目录管理,需提供：</w:t>
      </w:r>
    </w:p>
    <w:p w14:paraId="5019D5C4">
      <w:pPr>
        <w:pStyle w:val="16"/>
        <w:adjustRightInd w:val="0"/>
        <w:snapToGrid w:val="0"/>
        <w:ind w:firstLine="480"/>
        <w:rPr>
          <w:rFonts w:cs="宋体" w:asciiTheme="majorEastAsia" w:hAnsiTheme="majorEastAsia" w:eastAsiaTheme="majorEastAsia"/>
          <w:sz w:val="24"/>
        </w:rPr>
      </w:pPr>
      <w:r>
        <w:rPr>
          <w:rFonts w:hint="eastAsia" w:cs="宋体" w:asciiTheme="majorEastAsia" w:hAnsiTheme="majorEastAsia" w:eastAsiaTheme="majorEastAsia"/>
          <w:sz w:val="24"/>
        </w:rPr>
        <w:t>若投标供应商为所投产品的生产企业，必须提供《医疗器械生产企业许可（备案）证》且生产范围包含该产品，不在住所或者生产地址所在地销售的厂家还需提供医疗器械经营许可证/（第一类/二类）医疗器械经营备案凭证;若投标供应商为所投产品的代理商或授权供应商，必须提供《医疗器械经营企业许可(备案)证》 且经营范围包含该产品。</w:t>
      </w:r>
    </w:p>
    <w:p w14:paraId="5F3A51A6">
      <w:pPr>
        <w:pStyle w:val="16"/>
        <w:adjustRightInd w:val="0"/>
        <w:snapToGrid w:val="0"/>
        <w:spacing w:line="520" w:lineRule="atLeast"/>
        <w:ind w:firstLine="480"/>
        <w:rPr>
          <w:rFonts w:cs="宋体" w:asciiTheme="majorEastAsia" w:hAnsiTheme="majorEastAsia" w:eastAsiaTheme="majorEastAsia"/>
          <w:sz w:val="24"/>
        </w:rPr>
      </w:pPr>
    </w:p>
    <w:p w14:paraId="4ECCAC15">
      <w:pPr>
        <w:numPr>
          <w:ilvl w:val="0"/>
          <w:numId w:val="2"/>
        </w:numPr>
        <w:spacing w:line="540" w:lineRule="exact"/>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技术与商务需求</w:t>
      </w:r>
    </w:p>
    <w:p w14:paraId="4576BDDB">
      <w:pPr>
        <w:spacing w:before="240"/>
        <w:ind w:firstLine="241" w:firstLineChars="100"/>
        <w:rPr>
          <w:rFonts w:cs="方正小标宋简体" w:asciiTheme="majorEastAsia" w:hAnsiTheme="majorEastAsia" w:eastAsiaTheme="majorEastAsia"/>
          <w:sz w:val="24"/>
          <w:szCs w:val="36"/>
        </w:rPr>
      </w:pPr>
      <w:r>
        <w:rPr>
          <w:rFonts w:hint="eastAsia" w:cs="宋体" w:asciiTheme="majorEastAsia" w:hAnsiTheme="majorEastAsia" w:eastAsiaTheme="majorEastAsia"/>
          <w:b/>
          <w:bCs/>
          <w:sz w:val="24"/>
        </w:rPr>
        <w:t>说明：</w:t>
      </w:r>
      <w:r>
        <w:rPr>
          <w:rFonts w:hint="eastAsia" w:cs="宋体" w:asciiTheme="majorEastAsia" w:hAnsiTheme="majorEastAsia" w:eastAsiaTheme="majorEastAsia"/>
          <w:b/>
          <w:sz w:val="24"/>
        </w:rPr>
        <w:t>1.“★”号条款为实质性条款，必须完全满足，不满足则不予采购。</w:t>
      </w:r>
      <w:r>
        <w:rPr>
          <w:rFonts w:hint="eastAsia" w:cs="宋体" w:asciiTheme="majorEastAsia" w:hAnsiTheme="majorEastAsia" w:eastAsiaTheme="majorEastAsia"/>
          <w:sz w:val="20"/>
          <w:highlight w:val="yellow"/>
        </w:rPr>
        <w:t>（核心技术要求（以</w:t>
      </w:r>
      <w:r>
        <w:rPr>
          <w:rFonts w:hint="eastAsia" w:cs="宋体" w:asciiTheme="majorEastAsia" w:hAnsiTheme="majorEastAsia" w:eastAsiaTheme="majorEastAsia"/>
          <w:sz w:val="20"/>
          <w:szCs w:val="20"/>
          <w:highlight w:val="yellow"/>
        </w:rPr>
        <w:t>★</w:t>
      </w:r>
      <w:r>
        <w:rPr>
          <w:rFonts w:hint="eastAsia" w:cs="宋体" w:asciiTheme="majorEastAsia" w:hAnsiTheme="majorEastAsia" w:eastAsiaTheme="majorEastAsia"/>
          <w:sz w:val="20"/>
          <w:highlight w:val="yellow"/>
        </w:rPr>
        <w:t>号标注）为技术条款实质性要求不允许负偏离;否则将被否决。其数量≤5条，且必须有不少于3个品牌满足，并在第四部分作出承诺。）</w:t>
      </w:r>
    </w:p>
    <w:p w14:paraId="0FB52F93">
      <w:pPr>
        <w:ind w:firstLine="360" w:firstLineChars="100"/>
        <w:rPr>
          <w:rFonts w:cs="宋体" w:asciiTheme="majorEastAsia" w:hAnsiTheme="majorEastAsia" w:eastAsiaTheme="majorEastAsia"/>
          <w:bCs/>
          <w:sz w:val="20"/>
          <w:szCs w:val="20"/>
        </w:rPr>
      </w:pPr>
      <w:r>
        <w:rPr>
          <w:rFonts w:hint="eastAsia" w:cs="方正小标宋简体" w:asciiTheme="majorEastAsia" w:hAnsiTheme="majorEastAsia" w:eastAsiaTheme="majorEastAsia"/>
          <w:sz w:val="36"/>
          <w:szCs w:val="36"/>
        </w:rPr>
        <w:t xml:space="preserve">   </w:t>
      </w:r>
      <w:r>
        <w:rPr>
          <w:rFonts w:hint="eastAsia" w:cs="宋体" w:asciiTheme="majorEastAsia" w:hAnsiTheme="majorEastAsia" w:eastAsiaTheme="majorEastAsia"/>
          <w:b/>
          <w:sz w:val="24"/>
        </w:rPr>
        <w:t xml:space="preserve"> 2.“▲”</w:t>
      </w:r>
      <w:r>
        <w:rPr>
          <w:rFonts w:hint="eastAsia" w:cs="宋体" w:asciiTheme="majorEastAsia" w:hAnsiTheme="majorEastAsia" w:eastAsiaTheme="majorEastAsia"/>
          <w:b/>
          <w:bCs/>
          <w:sz w:val="24"/>
        </w:rPr>
        <w:t>号条款为重要技术参数，需议价现场与供应商逐一确定是否满足。</w:t>
      </w:r>
      <w:r>
        <w:rPr>
          <w:rFonts w:hint="eastAsia" w:cs="宋体" w:asciiTheme="majorEastAsia" w:hAnsiTheme="majorEastAsia" w:eastAsiaTheme="majorEastAsia"/>
          <w:bCs/>
          <w:sz w:val="20"/>
          <w:szCs w:val="20"/>
        </w:rPr>
        <w:t>（</w:t>
      </w:r>
      <w:r>
        <w:rPr>
          <w:rFonts w:hint="eastAsia" w:cs="宋体" w:asciiTheme="majorEastAsia" w:hAnsiTheme="majorEastAsia" w:eastAsiaTheme="majorEastAsia"/>
          <w:sz w:val="20"/>
          <w:szCs w:val="20"/>
        </w:rPr>
        <w:t>重要技术要求（以▲号标注）数量≤全部技术要求的10%。</w:t>
      </w:r>
      <w:r>
        <w:rPr>
          <w:rFonts w:hint="eastAsia" w:cs="宋体" w:asciiTheme="majorEastAsia" w:hAnsiTheme="majorEastAsia" w:eastAsiaTheme="majorEastAsia"/>
          <w:bCs/>
          <w:sz w:val="20"/>
          <w:szCs w:val="20"/>
        </w:rPr>
        <w:t>）</w:t>
      </w:r>
    </w:p>
    <w:p w14:paraId="220CAFC3">
      <w:pPr>
        <w:ind w:firstLine="201" w:firstLineChars="100"/>
        <w:rPr>
          <w:rFonts w:cs="方正小标宋简体" w:asciiTheme="majorEastAsia" w:hAnsiTheme="majorEastAsia" w:eastAsiaTheme="majorEastAsia"/>
          <w:b/>
          <w:sz w:val="20"/>
          <w:szCs w:val="20"/>
        </w:rPr>
      </w:pPr>
      <w:r>
        <w:rPr>
          <w:rFonts w:hint="eastAsia" w:cs="方正小标宋简体" w:asciiTheme="majorEastAsia" w:hAnsiTheme="majorEastAsia" w:eastAsiaTheme="majorEastAsia"/>
          <w:b/>
          <w:sz w:val="20"/>
          <w:szCs w:val="20"/>
        </w:rPr>
        <w:t>“★”号条款:所投产品如纳入医疗器械管理，投标供应商必须提供所投产品的《医疗器械注册(备案)证》的扫描件。(如有效期不足6个月的，需提供审批部门的回执。)</w:t>
      </w:r>
    </w:p>
    <w:tbl>
      <w:tblPr>
        <w:tblStyle w:val="9"/>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35"/>
        <w:gridCol w:w="120"/>
        <w:gridCol w:w="7444"/>
        <w:gridCol w:w="817"/>
      </w:tblGrid>
      <w:tr w14:paraId="1EC5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209" w:type="dxa"/>
            <w:gridSpan w:val="4"/>
            <w:vAlign w:val="center"/>
          </w:tcPr>
          <w:p w14:paraId="5854224A">
            <w:pPr>
              <w:rPr>
                <w:rFonts w:asciiTheme="majorEastAsia" w:hAnsiTheme="majorEastAsia" w:eastAsiaTheme="majorEastAsia"/>
                <w:b/>
                <w:sz w:val="28"/>
                <w:szCs w:val="21"/>
              </w:rPr>
            </w:pPr>
            <w:r>
              <w:rPr>
                <w:rFonts w:hint="eastAsia" w:asciiTheme="majorEastAsia" w:hAnsiTheme="majorEastAsia" w:eastAsiaTheme="majorEastAsia"/>
                <w:b/>
                <w:sz w:val="28"/>
                <w:szCs w:val="21"/>
              </w:rPr>
              <w:t>一、技术部分</w:t>
            </w:r>
          </w:p>
        </w:tc>
        <w:tc>
          <w:tcPr>
            <w:tcW w:w="817" w:type="dxa"/>
            <w:vAlign w:val="center"/>
          </w:tcPr>
          <w:p w14:paraId="053BDF49">
            <w:pPr>
              <w:jc w:val="center"/>
              <w:rPr>
                <w:rFonts w:asciiTheme="majorEastAsia" w:hAnsiTheme="majorEastAsia" w:eastAsiaTheme="majorEastAsia"/>
                <w:b/>
                <w:sz w:val="24"/>
                <w:szCs w:val="21"/>
              </w:rPr>
            </w:pPr>
          </w:p>
        </w:tc>
      </w:tr>
      <w:tr w14:paraId="5858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10" w:type="dxa"/>
            <w:vAlign w:val="center"/>
          </w:tcPr>
          <w:p w14:paraId="315F853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935" w:type="dxa"/>
            <w:vAlign w:val="center"/>
          </w:tcPr>
          <w:p w14:paraId="6C0DB09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7564" w:type="dxa"/>
            <w:gridSpan w:val="2"/>
            <w:vAlign w:val="center"/>
          </w:tcPr>
          <w:p w14:paraId="2CA5AEB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技术要求</w:t>
            </w:r>
          </w:p>
        </w:tc>
        <w:tc>
          <w:tcPr>
            <w:tcW w:w="817" w:type="dxa"/>
            <w:vAlign w:val="center"/>
          </w:tcPr>
          <w:p w14:paraId="3B29FFD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标注</w:t>
            </w:r>
          </w:p>
        </w:tc>
      </w:tr>
      <w:tr w14:paraId="0B33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10" w:type="dxa"/>
            <w:vAlign w:val="center"/>
          </w:tcPr>
          <w:p w14:paraId="7423E2C9">
            <w:pPr>
              <w:jc w:val="center"/>
              <w:rPr>
                <w:rFonts w:hint="eastAsia" w:asciiTheme="majorEastAsia" w:hAnsiTheme="majorEastAsia" w:eastAsiaTheme="majorEastAsia"/>
                <w:b/>
                <w:sz w:val="24"/>
                <w:szCs w:val="21"/>
              </w:rPr>
            </w:pPr>
          </w:p>
        </w:tc>
        <w:tc>
          <w:tcPr>
            <w:tcW w:w="935" w:type="dxa"/>
            <w:vAlign w:val="center"/>
          </w:tcPr>
          <w:p w14:paraId="3A92A65E">
            <w:pPr>
              <w:jc w:val="center"/>
              <w:rPr>
                <w:rFonts w:hint="eastAsia" w:asciiTheme="majorEastAsia" w:hAnsiTheme="majorEastAsia" w:eastAsiaTheme="majorEastAsia"/>
                <w:b/>
                <w:sz w:val="24"/>
                <w:szCs w:val="21"/>
              </w:rPr>
            </w:pPr>
            <w:r>
              <w:rPr>
                <w:rFonts w:hint="eastAsia" w:asciiTheme="majorEastAsia" w:hAnsiTheme="majorEastAsia" w:eastAsiaTheme="majorEastAsia"/>
                <w:b/>
                <w:sz w:val="22"/>
                <w:szCs w:val="20"/>
                <w:lang w:val="en-US" w:eastAsia="zh-CN"/>
              </w:rPr>
              <w:t>经颅磁刺激治疗仪</w:t>
            </w:r>
          </w:p>
        </w:tc>
        <w:tc>
          <w:tcPr>
            <w:tcW w:w="7564" w:type="dxa"/>
            <w:gridSpan w:val="2"/>
            <w:vAlign w:val="center"/>
          </w:tcPr>
          <w:p w14:paraId="0B35F904">
            <w:pPr>
              <w:jc w:val="center"/>
              <w:rPr>
                <w:rFonts w:hint="eastAsia" w:asciiTheme="majorEastAsia" w:hAnsiTheme="majorEastAsia" w:eastAsiaTheme="majorEastAsia"/>
                <w:b/>
                <w:sz w:val="24"/>
                <w:szCs w:val="21"/>
              </w:rPr>
            </w:pPr>
            <w:r>
              <w:rPr>
                <w:rFonts w:hint="eastAsia" w:asciiTheme="majorEastAsia" w:hAnsiTheme="majorEastAsia" w:eastAsiaTheme="majorEastAsia"/>
                <w:b/>
                <w:sz w:val="24"/>
                <w:szCs w:val="21"/>
                <w:highlight w:val="yellow"/>
              </w:rPr>
              <w:t>以议价/招标现场专家组确定的供应商提供的具体参数为准</w:t>
            </w:r>
          </w:p>
        </w:tc>
        <w:tc>
          <w:tcPr>
            <w:tcW w:w="817" w:type="dxa"/>
            <w:vAlign w:val="center"/>
          </w:tcPr>
          <w:p w14:paraId="278AF80B">
            <w:pPr>
              <w:jc w:val="center"/>
              <w:rPr>
                <w:rFonts w:hint="eastAsia" w:asciiTheme="majorEastAsia" w:hAnsiTheme="majorEastAsia" w:eastAsiaTheme="majorEastAsia"/>
                <w:b/>
                <w:sz w:val="24"/>
                <w:szCs w:val="21"/>
              </w:rPr>
            </w:pPr>
          </w:p>
        </w:tc>
      </w:tr>
      <w:tr w14:paraId="1E4E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0026" w:type="dxa"/>
            <w:gridSpan w:val="5"/>
          </w:tcPr>
          <w:p w14:paraId="32C4121D">
            <w:pPr>
              <w:rPr>
                <w:rFonts w:asciiTheme="majorEastAsia" w:hAnsiTheme="majorEastAsia" w:eastAsiaTheme="majorEastAsia"/>
                <w:b/>
                <w:sz w:val="24"/>
                <w:szCs w:val="21"/>
              </w:rPr>
            </w:pPr>
            <w:r>
              <w:rPr>
                <w:rFonts w:hint="eastAsia" w:asciiTheme="majorEastAsia" w:hAnsiTheme="majorEastAsia" w:eastAsiaTheme="majorEastAsia"/>
                <w:b/>
                <w:sz w:val="28"/>
                <w:szCs w:val="21"/>
              </w:rPr>
              <w:t>二、</w:t>
            </w:r>
            <w:r>
              <w:rPr>
                <w:rFonts w:hint="eastAsia" w:cs="宋体" w:asciiTheme="majorEastAsia" w:hAnsiTheme="majorEastAsia" w:eastAsiaTheme="majorEastAsia"/>
                <w:sz w:val="24"/>
              </w:rPr>
              <w:t>★</w:t>
            </w:r>
            <w:r>
              <w:rPr>
                <w:rFonts w:hint="eastAsia" w:asciiTheme="majorEastAsia" w:hAnsiTheme="majorEastAsia" w:eastAsiaTheme="majorEastAsia"/>
                <w:b/>
                <w:sz w:val="28"/>
                <w:szCs w:val="21"/>
              </w:rPr>
              <w:t>商务需求</w:t>
            </w:r>
          </w:p>
        </w:tc>
      </w:tr>
      <w:tr w14:paraId="2D81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765" w:type="dxa"/>
            <w:gridSpan w:val="3"/>
            <w:vAlign w:val="top"/>
          </w:tcPr>
          <w:p w14:paraId="6E72575E">
            <w:pPr>
              <w:spacing w:line="276" w:lineRule="auto"/>
              <w:rPr>
                <w:rFonts w:asciiTheme="majorEastAsia" w:hAnsiTheme="majorEastAsia" w:eastAsiaTheme="majorEastAsia"/>
                <w:b/>
                <w:sz w:val="24"/>
                <w:szCs w:val="21"/>
              </w:rPr>
            </w:pPr>
            <w:r>
              <w:rPr>
                <w:rFonts w:hint="eastAsia" w:asciiTheme="majorEastAsia" w:hAnsiTheme="majorEastAsia" w:eastAsiaTheme="majorEastAsia"/>
                <w:b/>
                <w:sz w:val="24"/>
                <w:szCs w:val="21"/>
              </w:rPr>
              <w:t>一、到货时间</w:t>
            </w:r>
            <w:r>
              <w:rPr>
                <w:rFonts w:asciiTheme="majorEastAsia" w:hAnsiTheme="majorEastAsia" w:eastAsiaTheme="majorEastAsia"/>
                <w:b/>
                <w:sz w:val="24"/>
                <w:szCs w:val="21"/>
              </w:rPr>
              <w:t xml:space="preserve"> </w:t>
            </w:r>
          </w:p>
        </w:tc>
        <w:tc>
          <w:tcPr>
            <w:tcW w:w="8261" w:type="dxa"/>
            <w:gridSpan w:val="2"/>
            <w:vAlign w:val="top"/>
          </w:tcPr>
          <w:p w14:paraId="558D6E0D">
            <w:pPr>
              <w:spacing w:line="276" w:lineRule="auto"/>
              <w:rPr>
                <w:rFonts w:asciiTheme="majorEastAsia" w:hAnsiTheme="majorEastAsia" w:eastAsiaTheme="majorEastAsia"/>
                <w:b/>
                <w:sz w:val="24"/>
                <w:szCs w:val="21"/>
              </w:rPr>
            </w:pPr>
            <w:r>
              <w:rPr>
                <w:rFonts w:hint="eastAsia" w:asciiTheme="majorEastAsia" w:hAnsiTheme="majorEastAsia" w:eastAsiaTheme="majorEastAsia"/>
                <w:b/>
                <w:sz w:val="24"/>
                <w:szCs w:val="21"/>
                <w:highlight w:val="yellow"/>
                <w:lang w:val="en-US" w:eastAsia="zh-CN"/>
              </w:rPr>
              <w:t>合同签订后并接采购人通知7日历日内或更优</w:t>
            </w:r>
          </w:p>
        </w:tc>
      </w:tr>
      <w:tr w14:paraId="0A26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765" w:type="dxa"/>
            <w:gridSpan w:val="3"/>
            <w:vAlign w:val="top"/>
          </w:tcPr>
          <w:p w14:paraId="2741EE6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二、交货地点：</w:t>
            </w:r>
          </w:p>
        </w:tc>
        <w:tc>
          <w:tcPr>
            <w:tcW w:w="8261" w:type="dxa"/>
            <w:gridSpan w:val="2"/>
            <w:vAlign w:val="top"/>
          </w:tcPr>
          <w:p w14:paraId="6F86AA7E">
            <w:pPr>
              <w:adjustRightInd w:val="0"/>
              <w:snapToGrid w:val="0"/>
              <w:rPr>
                <w:rFonts w:hint="default" w:asciiTheme="majorEastAsia" w:hAnsiTheme="majorEastAsia" w:eastAsiaTheme="majorEastAsia"/>
                <w:b/>
                <w:sz w:val="24"/>
                <w:szCs w:val="21"/>
                <w:lang w:val="en-US" w:eastAsia="zh-CN"/>
              </w:rPr>
            </w:pPr>
            <w:r>
              <w:rPr>
                <w:rFonts w:asciiTheme="majorEastAsia" w:hAnsiTheme="majorEastAsia" w:eastAsiaTheme="majorEastAsia"/>
                <w:b/>
                <w:sz w:val="24"/>
                <w:szCs w:val="21"/>
              </w:rPr>
              <w:t>采购人指定地点</w:t>
            </w:r>
          </w:p>
        </w:tc>
      </w:tr>
      <w:tr w14:paraId="1CD8A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765" w:type="dxa"/>
            <w:gridSpan w:val="3"/>
            <w:vAlign w:val="top"/>
          </w:tcPr>
          <w:p w14:paraId="1AF5A38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三、报价要求：</w:t>
            </w:r>
          </w:p>
        </w:tc>
        <w:tc>
          <w:tcPr>
            <w:tcW w:w="8261" w:type="dxa"/>
            <w:gridSpan w:val="2"/>
            <w:vAlign w:val="top"/>
          </w:tcPr>
          <w:p w14:paraId="33039A6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报价必须是完成该项目的一切费用总和，包括设备费、运输费、装卸费、保险费、技术培训费、设备安装费、调试费、售后服务费、国家规定的各项税费等全部费用</w:t>
            </w:r>
          </w:p>
        </w:tc>
      </w:tr>
      <w:tr w14:paraId="443E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65" w:type="dxa"/>
            <w:gridSpan w:val="3"/>
            <w:vAlign w:val="top"/>
          </w:tcPr>
          <w:p w14:paraId="52771F35">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四、付款方式</w:t>
            </w:r>
          </w:p>
        </w:tc>
        <w:tc>
          <w:tcPr>
            <w:tcW w:w="8261" w:type="dxa"/>
            <w:gridSpan w:val="2"/>
            <w:vAlign w:val="top"/>
          </w:tcPr>
          <w:p w14:paraId="2FBAF862">
            <w:pPr>
              <w:adjustRightInd w:val="0"/>
              <w:snapToGrid w:val="0"/>
              <w:rPr>
                <w:rFonts w:hint="eastAsia" w:cs="Times New Roman" w:asciiTheme="majorEastAsia" w:hAnsiTheme="majorEastAsia" w:eastAsiaTheme="majorEastAsia"/>
                <w:szCs w:val="21"/>
              </w:rPr>
            </w:pPr>
            <w:r>
              <w:rPr>
                <w:rFonts w:hint="eastAsia" w:cs="Times New Roman" w:asciiTheme="majorEastAsia" w:hAnsiTheme="majorEastAsia" w:eastAsiaTheme="majorEastAsia"/>
                <w:szCs w:val="21"/>
              </w:rPr>
              <w:t>合同总价≥3万付款方式：</w:t>
            </w:r>
          </w:p>
          <w:p w14:paraId="792B8A66">
            <w:pPr>
              <w:adjustRightInd w:val="0"/>
              <w:snapToGrid w:val="0"/>
              <w:rPr>
                <w:rFonts w:hint="eastAsia" w:cs="Times New Roman" w:asciiTheme="majorEastAsia" w:hAnsiTheme="majorEastAsia" w:eastAsiaTheme="majorEastAsia"/>
                <w:szCs w:val="21"/>
              </w:rPr>
            </w:pPr>
            <w:r>
              <w:rPr>
                <w:rFonts w:hint="eastAsia" w:cs="Times New Roman" w:asciiTheme="majorEastAsia" w:hAnsiTheme="majorEastAsia" w:eastAsiaTheme="majorEastAsia"/>
                <w:szCs w:val="21"/>
              </w:rPr>
              <w:t>合同签订后三个工作日内，乙方将采购合同总价5%（人民币    元整，¥    ）的履约保证金汇入甲方指定账户。货到清点、安装调试验收合格正常使用后，出具全额发票，甲方凭乙方提供的完整资料，自发票到达甲方财务之日起10个工作日内，支付100%合同货款到乙方指定帐户。</w:t>
            </w:r>
          </w:p>
          <w:p w14:paraId="3E01D95F">
            <w:pPr>
              <w:adjustRightInd w:val="0"/>
              <w:snapToGrid w:val="0"/>
              <w:rPr>
                <w:rFonts w:hint="eastAsia" w:cs="Times New Roman" w:asciiTheme="majorEastAsia" w:hAnsiTheme="majorEastAsia" w:eastAsiaTheme="majorEastAsia"/>
                <w:szCs w:val="21"/>
              </w:rPr>
            </w:pPr>
            <w:r>
              <w:rPr>
                <w:rFonts w:hint="eastAsia" w:cs="Times New Roman" w:asciiTheme="majorEastAsia" w:hAnsiTheme="majorEastAsia" w:eastAsiaTheme="majorEastAsia"/>
                <w:szCs w:val="21"/>
              </w:rPr>
              <w:t>乙方向甲方支付合同总价5%的履约保证金，用于补偿甲方因乙方不履行/不妥善履行合同约定义务而蒙受的损失，如乙方不履行/不妥善履行合同约定义务的，甲方有权直接从履约保证金中扣除相应违约金/损失赔偿款项。如果在合同签订后至乙方履行完毕合同约定义务事项期间未发生乙方不履行或不妥善履行合同约定义务的情况，在乙方履行完毕合同约定义务事项后，乙方向甲方提供完整资料到达甲方财务之日起10个工作日内，甲方将履约保证金无息返还给乙方。</w:t>
            </w:r>
          </w:p>
          <w:p w14:paraId="43F5B132">
            <w:pPr>
              <w:adjustRightInd w:val="0"/>
              <w:snapToGrid w:val="0"/>
              <w:rPr>
                <w:rFonts w:hint="eastAsia" w:cs="Times New Roman" w:asciiTheme="majorEastAsia" w:hAnsiTheme="majorEastAsia" w:eastAsiaTheme="majorEastAsia"/>
                <w:szCs w:val="21"/>
              </w:rPr>
            </w:pPr>
            <w:r>
              <w:rPr>
                <w:rFonts w:hint="eastAsia" w:cs="Times New Roman" w:asciiTheme="majorEastAsia" w:hAnsiTheme="majorEastAsia" w:eastAsiaTheme="majorEastAsia"/>
                <w:szCs w:val="21"/>
              </w:rPr>
              <w:t>合同总价＜3万付款方式：</w:t>
            </w:r>
          </w:p>
          <w:p w14:paraId="1BB72E6F">
            <w:pPr>
              <w:adjustRightInd w:val="0"/>
              <w:snapToGrid w:val="0"/>
              <w:rPr>
                <w:rFonts w:asciiTheme="majorEastAsia" w:hAnsiTheme="majorEastAsia" w:eastAsiaTheme="majorEastAsia"/>
                <w:b/>
                <w:sz w:val="24"/>
                <w:szCs w:val="21"/>
              </w:rPr>
            </w:pPr>
            <w:r>
              <w:rPr>
                <w:rFonts w:hint="eastAsia" w:cs="Times New Roman" w:asciiTheme="majorEastAsia" w:hAnsiTheme="majorEastAsia" w:eastAsiaTheme="majorEastAsia"/>
                <w:szCs w:val="21"/>
              </w:rPr>
              <w:t>货到清点、安装调试验收合格正常使用后，出具全额发票，甲方凭乙方提供的完整资料，自发票到达甲方财务之日起10个工作日内，支付100%合同货款到乙方指定帐户。</w:t>
            </w:r>
          </w:p>
        </w:tc>
      </w:tr>
      <w:tr w14:paraId="6034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vAlign w:val="top"/>
          </w:tcPr>
          <w:p w14:paraId="19B76F5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五、交货要求</w:t>
            </w:r>
          </w:p>
        </w:tc>
        <w:tc>
          <w:tcPr>
            <w:tcW w:w="8261" w:type="dxa"/>
            <w:gridSpan w:val="2"/>
            <w:vAlign w:val="top"/>
          </w:tcPr>
          <w:p w14:paraId="5ACC3552">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5.1 </w:t>
            </w:r>
            <w:r>
              <w:rPr>
                <w:rFonts w:asciiTheme="minorEastAsia" w:hAnsiTheme="minorEastAsia" w:eastAsiaTheme="minorEastAsia"/>
                <w:bCs/>
                <w:szCs w:val="21"/>
              </w:rPr>
              <w:t>中标</w:t>
            </w:r>
            <w:r>
              <w:rPr>
                <w:rFonts w:hint="eastAsia" w:asciiTheme="minorEastAsia" w:hAnsiTheme="minorEastAsia" w:eastAsiaTheme="minorEastAsia"/>
                <w:bCs/>
                <w:szCs w:val="21"/>
              </w:rPr>
              <w:t>人</w:t>
            </w:r>
            <w:r>
              <w:rPr>
                <w:rFonts w:asciiTheme="minorEastAsia" w:hAnsiTheme="minorEastAsia" w:eastAsiaTheme="minorEastAsia"/>
                <w:bCs/>
                <w:szCs w:val="21"/>
              </w:rPr>
              <w:t>应向采购人提供</w:t>
            </w:r>
            <w:r>
              <w:rPr>
                <w:rFonts w:hint="eastAsia" w:asciiTheme="minorEastAsia" w:hAnsiTheme="minorEastAsia" w:eastAsiaTheme="minorEastAsia"/>
                <w:bCs/>
                <w:szCs w:val="21"/>
              </w:rPr>
              <w:t>配置清单、产品说明书、图纸、操作手册、中文操作使用说明书、</w:t>
            </w:r>
            <w:r>
              <w:rPr>
                <w:rFonts w:asciiTheme="minorEastAsia" w:hAnsiTheme="minorEastAsia" w:eastAsiaTheme="minorEastAsia"/>
                <w:bCs/>
                <w:szCs w:val="21"/>
              </w:rPr>
              <w:t>设备原厂维护手册、维修手册、软件备份、故障代码表、备件清单、零部件、</w:t>
            </w:r>
            <w:r>
              <w:rPr>
                <w:rFonts w:hint="eastAsia" w:asciiTheme="minorEastAsia" w:hAnsiTheme="minorEastAsia" w:eastAsiaTheme="minorEastAsia"/>
                <w:bCs/>
                <w:szCs w:val="21"/>
              </w:rPr>
              <w:t>维护手册（含维修密码及接口数据）等维护维修必需的材料和信息。所有外文资料需提供中文译本。文件应随货物一并交付至采购人指定地点。</w:t>
            </w:r>
          </w:p>
          <w:p w14:paraId="3430900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5.2提供的货物必须为全新货物，出厂日期</w:t>
            </w:r>
            <w:r>
              <w:rPr>
                <w:rFonts w:hint="eastAsia" w:ascii="宋体" w:hAnsi="宋体"/>
                <w:szCs w:val="21"/>
              </w:rPr>
              <w:t>原则上</w:t>
            </w:r>
            <w:r>
              <w:rPr>
                <w:rFonts w:hint="eastAsia" w:asciiTheme="minorEastAsia" w:hAnsiTheme="minorEastAsia" w:eastAsiaTheme="minorEastAsia"/>
                <w:bCs/>
                <w:szCs w:val="21"/>
              </w:rPr>
              <w:t>在采购人收到日期前</w:t>
            </w:r>
            <w:r>
              <w:rPr>
                <w:rFonts w:asciiTheme="minorEastAsia" w:hAnsiTheme="minorEastAsia" w:eastAsiaTheme="minorEastAsia"/>
                <w:bCs/>
                <w:szCs w:val="21"/>
              </w:rPr>
              <w:t>12</w:t>
            </w:r>
            <w:r>
              <w:rPr>
                <w:rFonts w:hint="eastAsia" w:asciiTheme="minorEastAsia" w:hAnsiTheme="minorEastAsia" w:eastAsiaTheme="minorEastAsia"/>
                <w:bCs/>
                <w:szCs w:val="21"/>
              </w:rPr>
              <w:t>个月内经检验合格的产品</w:t>
            </w:r>
            <w:r>
              <w:rPr>
                <w:rFonts w:hint="eastAsia" w:ascii="宋体" w:hAnsi="宋体"/>
                <w:szCs w:val="21"/>
              </w:rPr>
              <w:t>，</w:t>
            </w:r>
            <w:r>
              <w:rPr>
                <w:rFonts w:hint="eastAsia" w:ascii="宋体" w:hAnsi="宋体"/>
                <w:color w:val="FF0000"/>
                <w:szCs w:val="21"/>
              </w:rPr>
              <w:t>若无法提供12个月内的产品，则采购人有权要求延长相应期限的产品保修期</w:t>
            </w:r>
            <w:r>
              <w:rPr>
                <w:rFonts w:hint="eastAsia" w:asciiTheme="minorEastAsia" w:hAnsiTheme="minorEastAsia" w:eastAsiaTheme="minorEastAsia"/>
                <w:bCs/>
                <w:szCs w:val="21"/>
              </w:rPr>
              <w:t>。产品如需要计量检定的应提供相关计量检定部门出具的合法检定报告。其中，进口设备必须具有报关证明文件、原产地证明和商检合格证明文件等相关证明文件，否则采购人概不接收。如国家规定的强检设备，由中标人负责完成首次计量强制检定，验收前中标人必须附上计量检定合格报告。</w:t>
            </w:r>
          </w:p>
          <w:p w14:paraId="75454021">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5.3 采购人有权检验或测试货物，以确认货物是否符合合同规格的要求，并且不承担额外的费用。如发现所交货物与投标文件中所承诺的不符或存在质量、技术缺陷等,采购人可以拒绝接收该货物,中标人应在 7 日历日内采取补足、更换或退货等措施,以满足规格的要求，由此发生的一切损失和费用由中标人承担。</w:t>
            </w:r>
          </w:p>
          <w:p w14:paraId="6485089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5.4中标人负责货物的现场安装和调试,提供货物安装、调试和维修所需的专用工具和辅助材料。中标人应在货物运至指定地点后一周内开始安装调试,并在 30 日历日内安装调试完毕。</w:t>
            </w:r>
          </w:p>
          <w:p w14:paraId="2C809F3E">
            <w:pPr>
              <w:adjustRightInd w:val="0"/>
              <w:snapToGrid w:val="0"/>
              <w:ind w:firstLine="420" w:firstLineChars="200"/>
              <w:rPr>
                <w:rFonts w:asciiTheme="majorEastAsia" w:hAnsiTheme="majorEastAsia" w:eastAsiaTheme="majorEastAsia"/>
                <w:b/>
                <w:sz w:val="24"/>
                <w:szCs w:val="21"/>
              </w:rPr>
            </w:pPr>
            <w:r>
              <w:rPr>
                <w:rFonts w:hint="eastAsia" w:asciiTheme="minorEastAsia" w:hAnsiTheme="minorEastAsia" w:eastAsiaTheme="minorEastAsia"/>
                <w:bCs/>
                <w:szCs w:val="21"/>
              </w:rPr>
              <w:t>5.5货物安装需施工的，中标人应在合同签订前提供设备安装施工图纸，采购人与中标人共同签字确定安装场地施工方案。并承担设备的包装、运输、保险、装卸、安装调试、培训、商检及计量检测、关税、增值税和进口代理等费用。</w:t>
            </w:r>
          </w:p>
        </w:tc>
      </w:tr>
      <w:tr w14:paraId="5BA0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vAlign w:val="top"/>
          </w:tcPr>
          <w:p w14:paraId="308054F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六、验收： </w:t>
            </w:r>
          </w:p>
        </w:tc>
        <w:tc>
          <w:tcPr>
            <w:tcW w:w="8261" w:type="dxa"/>
            <w:gridSpan w:val="2"/>
            <w:vAlign w:val="top"/>
          </w:tcPr>
          <w:p w14:paraId="783F3A2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6.1中标人应派有经验的技术人员到现场进行安装、调试，直到设备正常使用。由采购人按合同和招标、投标文件约定的要求和标准及中华人民共和国现行的验收规范和评定标准进行交货验收。</w:t>
            </w:r>
          </w:p>
          <w:p w14:paraId="1700EA0A">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6.2 验收要求：货物必须满足以下条件后方可被采购方接受： </w:t>
            </w:r>
          </w:p>
          <w:p w14:paraId="72B49A7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1）货物具备产品合格证。</w:t>
            </w:r>
          </w:p>
          <w:p w14:paraId="2DCEA6F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2）设备全新,外观无伤痕变形或明显修饰痕迹。</w:t>
            </w:r>
          </w:p>
          <w:p w14:paraId="71471FB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17F2A9B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4）技术文件资料、备件等已按规定数量移交完毕。</w:t>
            </w:r>
          </w:p>
          <w:p w14:paraId="56C8B32A">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5）按照招标书要求及投标文件提供的技术要求验收必须合格。</w:t>
            </w:r>
          </w:p>
          <w:p w14:paraId="7FE22D0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中标人提供的各种文件载明的内容必须真实，采购人对产品的技术数据置疑时有权要求中标人按照双方认可的第三方检测机构出具的检验方法进行检测及鉴定(检测费用由中标人承担)，检测结果必须证明中标人提供的技术数据是真实的，否则视为不合格</w:t>
            </w:r>
          </w:p>
          <w:p w14:paraId="18331133">
            <w:pPr>
              <w:adjustRightInd w:val="0"/>
              <w:snapToGrid w:val="0"/>
              <w:ind w:firstLine="420" w:firstLineChars="200"/>
              <w:rPr>
                <w:rFonts w:asciiTheme="majorEastAsia" w:hAnsiTheme="majorEastAsia" w:eastAsiaTheme="majorEastAsia"/>
                <w:b/>
                <w:sz w:val="24"/>
                <w:szCs w:val="21"/>
              </w:rPr>
            </w:pPr>
            <w:r>
              <w:rPr>
                <w:rFonts w:hint="eastAsia" w:asciiTheme="minorEastAsia" w:hAnsiTheme="minorEastAsia" w:eastAsiaTheme="minorEastAsia"/>
                <w:bCs/>
                <w:szCs w:val="21"/>
              </w:rPr>
              <w:t>7）在货物安装调试合格后，所有技术指标达到技术规范书要求，经验收合格后，双方共同签署验收报告。产品质保期自验收合格之日起算，由中标人提供产品质保文件。</w:t>
            </w:r>
          </w:p>
        </w:tc>
      </w:tr>
      <w:tr w14:paraId="7EDD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vAlign w:val="top"/>
          </w:tcPr>
          <w:p w14:paraId="12141244">
            <w:pPr>
              <w:adjustRightInd w:val="0"/>
              <w:snapToGrid w:val="0"/>
              <w:rPr>
                <w:rFonts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七、售后服务要求：</w:t>
            </w:r>
          </w:p>
          <w:p w14:paraId="6D50A177">
            <w:pPr>
              <w:adjustRightInd w:val="0"/>
              <w:snapToGrid w:val="0"/>
              <w:rPr>
                <w:rFonts w:asciiTheme="majorEastAsia" w:hAnsiTheme="majorEastAsia" w:eastAsiaTheme="majorEastAsia"/>
                <w:b/>
                <w:sz w:val="24"/>
                <w:szCs w:val="21"/>
                <w:highlight w:val="yellow"/>
              </w:rPr>
            </w:pPr>
          </w:p>
        </w:tc>
        <w:tc>
          <w:tcPr>
            <w:tcW w:w="8261" w:type="dxa"/>
            <w:gridSpan w:val="2"/>
            <w:vAlign w:val="top"/>
          </w:tcPr>
          <w:p w14:paraId="34F8702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7.1</w:t>
            </w:r>
            <w:r>
              <w:rPr>
                <w:rFonts w:hint="eastAsia" w:ascii="宋体" w:hAnsi="宋体"/>
                <w:bCs/>
                <w:color w:val="FF0000"/>
                <w:szCs w:val="21"/>
              </w:rPr>
              <w:t>各投标人应在投标文件中承诺</w:t>
            </w:r>
            <w:r>
              <w:rPr>
                <w:rFonts w:hint="eastAsia" w:ascii="宋体" w:hAnsi="宋体"/>
                <w:bCs/>
                <w:color w:val="0070C0"/>
                <w:szCs w:val="21"/>
              </w:rPr>
              <w:t>报价已包含提供整机原厂保修期</w:t>
            </w:r>
            <w:r>
              <w:rPr>
                <w:rFonts w:hint="eastAsia" w:asciiTheme="minorEastAsia" w:hAnsiTheme="minorEastAsia" w:eastAsiaTheme="minorEastAsia"/>
                <w:bCs/>
                <w:color w:val="FF0000"/>
                <w:szCs w:val="21"/>
                <w:u w:val="single"/>
              </w:rPr>
              <w:t xml:space="preserve">  </w:t>
            </w:r>
            <w:r>
              <w:rPr>
                <w:rFonts w:hint="eastAsia" w:ascii="宋体" w:hAnsi="宋体" w:eastAsia="宋体" w:cs="宋体"/>
                <w:bCs/>
                <w:color w:val="FF0000"/>
                <w:szCs w:val="21"/>
                <w:u w:val="single"/>
              </w:rPr>
              <w:t>≥</w:t>
            </w:r>
            <w:r>
              <w:rPr>
                <w:rFonts w:hint="eastAsia" w:ascii="宋体" w:hAnsi="宋体" w:eastAsia="宋体" w:cs="宋体"/>
                <w:bCs/>
                <w:color w:val="FF0000"/>
                <w:szCs w:val="21"/>
                <w:u w:val="single"/>
                <w:lang w:val="en-US" w:eastAsia="zh-CN"/>
              </w:rPr>
              <w:t>5</w:t>
            </w:r>
            <w:r>
              <w:rPr>
                <w:rFonts w:hint="eastAsia" w:asciiTheme="minorEastAsia" w:hAnsiTheme="minorEastAsia" w:eastAsiaTheme="minorEastAsia"/>
                <w:bCs/>
                <w:color w:val="FF0000"/>
                <w:szCs w:val="21"/>
                <w:u w:val="single"/>
              </w:rPr>
              <w:t xml:space="preserve">  </w:t>
            </w:r>
            <w:r>
              <w:rPr>
                <w:rFonts w:hint="eastAsia" w:asciiTheme="minorEastAsia" w:hAnsiTheme="minorEastAsia" w:eastAsiaTheme="minorEastAsia"/>
                <w:bCs/>
                <w:color w:val="FF0000"/>
                <w:szCs w:val="21"/>
              </w:rPr>
              <w:t>年</w:t>
            </w:r>
            <w:r>
              <w:rPr>
                <w:rFonts w:hint="eastAsia" w:asciiTheme="minorEastAsia" w:hAnsiTheme="minorEastAsia" w:eastAsiaTheme="minorEastAsia"/>
                <w:bCs/>
                <w:szCs w:val="21"/>
              </w:rPr>
              <w:t>，终身维修。</w:t>
            </w:r>
            <w:r>
              <w:rPr>
                <w:rFonts w:hint="eastAsia" w:ascii="宋体" w:hAnsi="宋体"/>
                <w:bCs/>
                <w:color w:val="0070C0"/>
                <w:szCs w:val="21"/>
              </w:rPr>
              <w:t>保修期</w:t>
            </w:r>
            <w:r>
              <w:rPr>
                <w:rFonts w:hint="eastAsia" w:asciiTheme="minorEastAsia" w:hAnsiTheme="minorEastAsia" w:eastAsiaTheme="minorEastAsia"/>
                <w:bCs/>
                <w:szCs w:val="21"/>
              </w:rPr>
              <w:t>内</w:t>
            </w:r>
            <w:r>
              <w:rPr>
                <w:rFonts w:asciiTheme="minorEastAsia" w:hAnsiTheme="minorEastAsia" w:eastAsiaTheme="minorEastAsia"/>
                <w:bCs/>
                <w:szCs w:val="21"/>
              </w:rPr>
              <w:t>,</w:t>
            </w:r>
            <w:r>
              <w:rPr>
                <w:rFonts w:hint="eastAsia" w:asciiTheme="minorEastAsia" w:hAnsiTheme="minorEastAsia" w:eastAsiaTheme="minorEastAsia"/>
                <w:bCs/>
                <w:szCs w:val="21"/>
              </w:rPr>
              <w:t>年度定期预防性维护保养次数应不少于 2 次并留存维护记录。</w:t>
            </w:r>
            <w:r>
              <w:rPr>
                <w:rFonts w:hint="eastAsia" w:asciiTheme="minorEastAsia" w:hAnsiTheme="minorEastAsia" w:eastAsiaTheme="minorEastAsia"/>
                <w:bCs/>
                <w:color w:val="0070C0"/>
                <w:szCs w:val="21"/>
              </w:rPr>
              <w:t>报价已包含</w:t>
            </w:r>
            <w:r>
              <w:rPr>
                <w:rFonts w:hint="eastAsia" w:ascii="宋体" w:hAnsi="宋体"/>
                <w:bCs/>
                <w:color w:val="0070C0"/>
                <w:szCs w:val="21"/>
              </w:rPr>
              <w:t>保修期</w:t>
            </w:r>
            <w:r>
              <w:rPr>
                <w:rFonts w:hint="eastAsia" w:asciiTheme="minorEastAsia" w:hAnsiTheme="minorEastAsia" w:eastAsiaTheme="minorEastAsia"/>
                <w:bCs/>
                <w:color w:val="0070C0"/>
                <w:szCs w:val="21"/>
              </w:rPr>
              <w:t>内更换零配件及工时费</w:t>
            </w:r>
            <w:r>
              <w:rPr>
                <w:rFonts w:hint="eastAsia" w:asciiTheme="minorEastAsia" w:hAnsiTheme="minorEastAsia" w:eastAsiaTheme="minorEastAsia"/>
                <w:bCs/>
                <w:szCs w:val="21"/>
              </w:rPr>
              <w:t>。</w:t>
            </w:r>
          </w:p>
          <w:p w14:paraId="426F3AA0">
            <w:pPr>
              <w:adjustRightInd w:val="0"/>
              <w:snapToGrid w:val="0"/>
              <w:ind w:firstLine="360" w:firstLineChars="200"/>
              <w:rPr>
                <w:rFonts w:asciiTheme="minorEastAsia" w:hAnsiTheme="minorEastAsia" w:eastAsiaTheme="minorEastAsia"/>
                <w:bCs/>
                <w:sz w:val="18"/>
                <w:szCs w:val="21"/>
              </w:rPr>
            </w:pPr>
            <w:r>
              <w:rPr>
                <w:rFonts w:hint="eastAsia" w:asciiTheme="minorEastAsia" w:hAnsiTheme="minorEastAsia" w:eastAsiaTheme="minorEastAsia"/>
                <w:bCs/>
                <w:sz w:val="18"/>
                <w:szCs w:val="21"/>
              </w:rPr>
              <w:t>（备注：质保期是指投标人应在该期间内对本项目下交付的所有货物提供质量保证，不包括消耗品的配送。）</w:t>
            </w:r>
          </w:p>
          <w:p w14:paraId="2FCEF2E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7.2    4小时内响应，24 小时维修到位（不可抗力情况除外）。消耗品和零配件供应及时，质保期</w:t>
            </w:r>
            <w:r>
              <w:rPr>
                <w:rFonts w:asciiTheme="minorEastAsia" w:hAnsiTheme="minorEastAsia" w:eastAsiaTheme="minorEastAsia"/>
                <w:bCs/>
                <w:szCs w:val="21"/>
              </w:rPr>
              <w:t>内及外设备出现故障不能正常使用，</w:t>
            </w:r>
            <w:r>
              <w:rPr>
                <w:rFonts w:asciiTheme="minorEastAsia" w:hAnsiTheme="minorEastAsia" w:eastAsiaTheme="minorEastAsia"/>
                <w:bCs/>
                <w:color w:val="0070C0"/>
                <w:szCs w:val="21"/>
              </w:rPr>
              <w:t>中标</w:t>
            </w:r>
            <w:r>
              <w:rPr>
                <w:rFonts w:hint="eastAsia" w:asciiTheme="minorEastAsia" w:hAnsiTheme="minorEastAsia" w:eastAsiaTheme="minorEastAsia"/>
                <w:bCs/>
                <w:color w:val="0070C0"/>
                <w:szCs w:val="21"/>
              </w:rPr>
              <w:t>人报价已包含</w:t>
            </w:r>
            <w:r>
              <w:rPr>
                <w:rFonts w:asciiTheme="minorEastAsia" w:hAnsiTheme="minorEastAsia" w:eastAsiaTheme="minorEastAsia"/>
                <w:bCs/>
                <w:color w:val="0070C0"/>
                <w:szCs w:val="21"/>
              </w:rPr>
              <w:t>提供备用机给采购人使用直至设备修复完好投入使用</w:t>
            </w:r>
            <w:r>
              <w:rPr>
                <w:rFonts w:hint="eastAsia" w:asciiTheme="minorEastAsia" w:hAnsiTheme="minorEastAsia" w:eastAsiaTheme="minorEastAsia"/>
                <w:bCs/>
                <w:color w:val="0070C0"/>
                <w:szCs w:val="21"/>
              </w:rPr>
              <w:t>的服务</w:t>
            </w:r>
            <w:r>
              <w:rPr>
                <w:rFonts w:asciiTheme="minorEastAsia" w:hAnsiTheme="minorEastAsia" w:eastAsiaTheme="minorEastAsia"/>
                <w:bCs/>
                <w:color w:val="0070C0"/>
                <w:szCs w:val="21"/>
              </w:rPr>
              <w:t>。</w:t>
            </w:r>
          </w:p>
          <w:p w14:paraId="0E44A02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7.3质保期满以后，中标人对设备终身负责维修、安装、升级软件服务，长期以优惠价提供零配件（中标供应商提供主要零配件报价单）。</w:t>
            </w:r>
          </w:p>
          <w:p w14:paraId="731EB5D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7.4</w:t>
            </w:r>
            <w:r>
              <w:rPr>
                <w:rFonts w:hint="eastAsia" w:asciiTheme="minorEastAsia" w:hAnsiTheme="minorEastAsia" w:eastAsiaTheme="minorEastAsia"/>
                <w:bCs/>
                <w:color w:val="0070C0"/>
                <w:szCs w:val="21"/>
              </w:rPr>
              <w:t>报价已包含终身提供软件升级服务,并开放设备接口，派人配合与医院各信息系统的连接工作</w:t>
            </w:r>
            <w:r>
              <w:rPr>
                <w:rFonts w:hint="eastAsia" w:asciiTheme="minorEastAsia" w:hAnsiTheme="minorEastAsia" w:eastAsiaTheme="minorEastAsia"/>
                <w:bCs/>
                <w:szCs w:val="21"/>
              </w:rPr>
              <w:t>，直至该设备与医院信息系统可进行完整的数据交换；在设备保修期内，当医院信息系统变更并需要与该设备连接时，</w:t>
            </w:r>
            <w:r>
              <w:rPr>
                <w:rFonts w:hint="eastAsia" w:asciiTheme="minorEastAsia" w:hAnsiTheme="minorEastAsia" w:eastAsiaTheme="minorEastAsia"/>
                <w:bCs/>
                <w:color w:val="0070C0"/>
                <w:szCs w:val="21"/>
              </w:rPr>
              <w:t>需派人</w:t>
            </w:r>
            <w:r>
              <w:rPr>
                <w:rFonts w:hint="eastAsia" w:asciiTheme="minorEastAsia" w:hAnsiTheme="minorEastAsia" w:eastAsiaTheme="minorEastAsia"/>
                <w:bCs/>
                <w:szCs w:val="21"/>
              </w:rPr>
              <w:t>配合直至该设备与医院信息系统可进行完整的数据交换</w:t>
            </w:r>
            <w:r>
              <w:rPr>
                <w:rFonts w:hint="eastAsia" w:asciiTheme="minorEastAsia" w:hAnsiTheme="minorEastAsia" w:eastAsiaTheme="minorEastAsia"/>
                <w:bCs/>
                <w:color w:val="0070C0"/>
                <w:szCs w:val="21"/>
              </w:rPr>
              <w:t>，且采购人无需另行支付费用。</w:t>
            </w:r>
          </w:p>
          <w:p w14:paraId="3CF36304">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7.5质保期内【设备故障率】≤【 5 】%。【设备故障率】未达要求的，每升高【1】%，质保期顺延【30 】天。当【设备故障率】≥【 10 】%时，投标人必须在采购人提出要求之日起【 30 】日内无条件更换新机，并按该设备总价的【5】%向采购人支付违约金，由此造成采购人其他损失的，中标人应另行赔偿。中标人维修的指定邮箱</w:t>
            </w:r>
            <w:r>
              <w:rPr>
                <w:rFonts w:asciiTheme="minorEastAsia" w:hAnsiTheme="minorEastAsia" w:eastAsiaTheme="minorEastAsia"/>
                <w:bCs/>
                <w:szCs w:val="21"/>
              </w:rPr>
              <w:t>，</w:t>
            </w:r>
            <w:r>
              <w:rPr>
                <w:rFonts w:hint="eastAsia" w:asciiTheme="minorEastAsia" w:hAnsiTheme="minorEastAsia" w:eastAsiaTheme="minorEastAsia"/>
                <w:bCs/>
                <w:szCs w:val="21"/>
              </w:rPr>
              <w:t>采购人维修通知的邮件发出后，视为采购人的维修通知送达中标人。</w:t>
            </w:r>
          </w:p>
          <w:p w14:paraId="00BDFC1B">
            <w:pPr>
              <w:adjustRightInd w:val="0"/>
              <w:snapToGrid w:val="0"/>
              <w:ind w:firstLine="420" w:firstLineChars="200"/>
              <w:rPr>
                <w:rFonts w:asciiTheme="majorEastAsia" w:hAnsiTheme="majorEastAsia" w:eastAsiaTheme="majorEastAsia"/>
                <w:b/>
                <w:sz w:val="24"/>
                <w:szCs w:val="21"/>
              </w:rPr>
            </w:pPr>
            <w:r>
              <w:rPr>
                <w:rFonts w:hint="eastAsia" w:asciiTheme="minorEastAsia" w:hAnsiTheme="minorEastAsia" w:eastAsiaTheme="minorEastAsia"/>
                <w:bCs/>
                <w:szCs w:val="21"/>
              </w:rPr>
              <w:t>7.6</w:t>
            </w:r>
            <w:r>
              <w:rPr>
                <w:rFonts w:hint="eastAsia"/>
              </w:rPr>
              <w:t>质保期满后，中标人应以优惠价供应维修零配件、消耗品。签订合同时填写合同模板中的《设备配套消耗材料报价单》和《设备主要维修配件报价单》。采购人可与中标人就优惠价进行谈判，但优惠价不得高于签订合同时承诺的维修零配件、消耗品的报价。</w:t>
            </w:r>
            <w:r>
              <w:rPr>
                <w:rFonts w:hint="eastAsia" w:asciiTheme="minorEastAsia" w:hAnsiTheme="minorEastAsia" w:eastAsiaTheme="minorEastAsia"/>
                <w:bCs/>
                <w:szCs w:val="21"/>
              </w:rPr>
              <w:t>质保期</w:t>
            </w:r>
            <w:r>
              <w:rPr>
                <w:rFonts w:asciiTheme="minorEastAsia" w:hAnsiTheme="minorEastAsia" w:eastAsiaTheme="minorEastAsia"/>
                <w:bCs/>
                <w:szCs w:val="21"/>
              </w:rPr>
              <w:t>满后，</w:t>
            </w:r>
            <w:r>
              <w:rPr>
                <w:rFonts w:hint="eastAsia" w:asciiTheme="minorEastAsia" w:hAnsiTheme="minorEastAsia" w:eastAsiaTheme="minorEastAsia"/>
                <w:bCs/>
                <w:szCs w:val="21"/>
              </w:rPr>
              <w:t>中标</w:t>
            </w:r>
            <w:r>
              <w:rPr>
                <w:rFonts w:asciiTheme="minorEastAsia" w:hAnsiTheme="minorEastAsia" w:eastAsiaTheme="minorEastAsia"/>
                <w:bCs/>
                <w:szCs w:val="21"/>
              </w:rPr>
              <w:t>人应以优惠价供应维修零配件、消耗品和延续保修合同。价格最高的前5项零配件、消耗品和延续保修合同的报价明细必须填写于《合同报价清单》中。采购人可与</w:t>
            </w:r>
            <w:r>
              <w:rPr>
                <w:rFonts w:hint="eastAsia" w:asciiTheme="minorEastAsia" w:hAnsiTheme="minorEastAsia" w:eastAsiaTheme="minorEastAsia"/>
                <w:bCs/>
                <w:szCs w:val="21"/>
              </w:rPr>
              <w:t>中标</w:t>
            </w:r>
            <w:r>
              <w:rPr>
                <w:rFonts w:asciiTheme="minorEastAsia" w:hAnsiTheme="minorEastAsia" w:eastAsiaTheme="minorEastAsia"/>
                <w:bCs/>
                <w:szCs w:val="21"/>
              </w:rPr>
              <w:t>人就优惠价进行谈判，但优惠价不得高于</w:t>
            </w:r>
            <w:r>
              <w:rPr>
                <w:rFonts w:hint="eastAsia" w:asciiTheme="minorEastAsia" w:hAnsiTheme="minorEastAsia" w:eastAsiaTheme="minorEastAsia"/>
                <w:bCs/>
                <w:szCs w:val="21"/>
              </w:rPr>
              <w:t>中标</w:t>
            </w:r>
            <w:r>
              <w:rPr>
                <w:rFonts w:asciiTheme="minorEastAsia" w:hAnsiTheme="minorEastAsia" w:eastAsiaTheme="minorEastAsia"/>
                <w:bCs/>
                <w:szCs w:val="21"/>
              </w:rPr>
              <w:t>人在投标文件的《零配件、消耗品和延续保修合同报价清单》中承诺的维修零配件、消耗品和延续保修合同的报价。</w:t>
            </w:r>
          </w:p>
        </w:tc>
      </w:tr>
      <w:tr w14:paraId="73B4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vAlign w:val="top"/>
          </w:tcPr>
          <w:p w14:paraId="38C07D6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八、培训要求 </w:t>
            </w:r>
          </w:p>
        </w:tc>
        <w:tc>
          <w:tcPr>
            <w:tcW w:w="8261" w:type="dxa"/>
            <w:gridSpan w:val="2"/>
            <w:vAlign w:val="top"/>
          </w:tcPr>
          <w:p w14:paraId="04672556">
            <w:pPr>
              <w:adjustRightInd w:val="0"/>
              <w:snapToGrid w:val="0"/>
              <w:ind w:firstLine="420" w:firstLineChars="200"/>
              <w:rPr>
                <w:rFonts w:asciiTheme="majorEastAsia" w:hAnsiTheme="majorEastAsia" w:eastAsiaTheme="majorEastAsia"/>
                <w:b/>
                <w:sz w:val="24"/>
                <w:szCs w:val="21"/>
              </w:rPr>
            </w:pPr>
            <w:r>
              <w:rPr>
                <w:rFonts w:hint="eastAsia" w:asciiTheme="minorEastAsia" w:hAnsiTheme="minorEastAsia" w:eastAsiaTheme="minorEastAsia"/>
                <w:bCs/>
                <w:szCs w:val="21"/>
              </w:rPr>
              <w:t>需针对临床使用人员及工程人员设计培训方案，主要内容包括但不限于：临床使用及维护保养培训：设备的基本结构、性能、主要部件的构造及修理，日常使用保养与管理，常见故障的排除，紧急情况的处理等,直至能独立操作并附培训方案。</w:t>
            </w:r>
          </w:p>
        </w:tc>
      </w:tr>
      <w:tr w14:paraId="1604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vAlign w:val="top"/>
          </w:tcPr>
          <w:p w14:paraId="7704D6F9">
            <w:pPr>
              <w:adjustRightInd w:val="0"/>
              <w:snapToGrid w:val="0"/>
              <w:rPr>
                <w:rFonts w:hint="eastAsia"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九、违约责任</w:t>
            </w:r>
          </w:p>
        </w:tc>
        <w:tc>
          <w:tcPr>
            <w:tcW w:w="8261" w:type="dxa"/>
            <w:gridSpan w:val="2"/>
            <w:vAlign w:val="top"/>
          </w:tcPr>
          <w:p w14:paraId="4213DFE4">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9.1中标人所交设备的品种、型号、规格、质量、功能、技术参数等方面不能实质性满足招标文件，</w:t>
            </w:r>
            <w:r>
              <w:rPr>
                <w:rFonts w:asciiTheme="minorEastAsia" w:hAnsiTheme="minorEastAsia" w:eastAsiaTheme="minorEastAsia"/>
                <w:bCs/>
                <w:szCs w:val="21"/>
              </w:rPr>
              <w:t>交付的货物不符合合同规定的</w:t>
            </w:r>
            <w:r>
              <w:rPr>
                <w:rFonts w:hint="eastAsia" w:asciiTheme="minorEastAsia" w:hAnsiTheme="minorEastAsia" w:eastAsiaTheme="minorEastAsia"/>
                <w:bCs/>
                <w:szCs w:val="21"/>
              </w:rPr>
              <w:t>，采购人有权拒绝收货，且中标</w:t>
            </w:r>
            <w:r>
              <w:rPr>
                <w:rFonts w:asciiTheme="minorEastAsia" w:hAnsiTheme="minorEastAsia" w:eastAsiaTheme="minorEastAsia"/>
                <w:bCs/>
                <w:szCs w:val="21"/>
              </w:rPr>
              <w:t>人向采购人支付合同总价的5%</w:t>
            </w:r>
            <w:r>
              <w:rPr>
                <w:rFonts w:hint="eastAsia" w:asciiTheme="minorEastAsia" w:hAnsiTheme="minorEastAsia" w:eastAsiaTheme="minorEastAsia"/>
                <w:bCs/>
                <w:szCs w:val="21"/>
              </w:rPr>
              <w:t>的违约金。</w:t>
            </w:r>
          </w:p>
          <w:p w14:paraId="71E3734C">
            <w:pPr>
              <w:adjustRightInd w:val="0"/>
              <w:snapToGrid w:val="0"/>
              <w:ind w:firstLine="420" w:firstLineChars="200"/>
              <w:rPr>
                <w:rFonts w:hint="eastAsia" w:asciiTheme="majorEastAsia" w:hAnsiTheme="majorEastAsia" w:eastAsiaTheme="majorEastAsia"/>
                <w:b/>
                <w:sz w:val="24"/>
                <w:szCs w:val="21"/>
                <w:highlight w:val="yellow"/>
              </w:rPr>
            </w:pPr>
            <w:r>
              <w:rPr>
                <w:rFonts w:hint="eastAsia" w:asciiTheme="minorEastAsia" w:hAnsiTheme="minorEastAsia" w:eastAsiaTheme="minorEastAsia"/>
                <w:bCs/>
                <w:szCs w:val="21"/>
              </w:rPr>
              <w:t>9.2中标人逾期交货，或逾期完成安装调试，或货物逾期通过验收的，中标人均应支付逾期违约金，每日按合同总价的5‰计算；逾期超过三十日的，中标人需向采购人另行支付合同总价的10%的违约金，且采购人有权单方解除本合同，中标人于收到采购人发出的解除通知书后三日内无条件退回采购人已支付的全部款项。此条款与9.1条同时执行。</w:t>
            </w:r>
          </w:p>
        </w:tc>
      </w:tr>
      <w:tr w14:paraId="36A7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tcBorders>
              <w:bottom w:val="single" w:color="auto" w:sz="4" w:space="0"/>
            </w:tcBorders>
            <w:vAlign w:val="top"/>
          </w:tcPr>
          <w:p w14:paraId="5D3B5D36">
            <w:pPr>
              <w:adjustRightInd w:val="0"/>
              <w:snapToGrid w:val="0"/>
              <w:rPr>
                <w:rFonts w:hint="eastAsia"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十、其他</w:t>
            </w:r>
          </w:p>
        </w:tc>
        <w:tc>
          <w:tcPr>
            <w:tcW w:w="8261" w:type="dxa"/>
            <w:gridSpan w:val="2"/>
            <w:tcBorders>
              <w:bottom w:val="single" w:color="auto" w:sz="4" w:space="0"/>
            </w:tcBorders>
            <w:vAlign w:val="top"/>
          </w:tcPr>
          <w:p w14:paraId="246F6632">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10.1如有设备相关耗材、试剂或易损器械，设备及主要维修配件，请提供并分别列出它们的优惠价格。</w:t>
            </w:r>
          </w:p>
          <w:p w14:paraId="75D0F52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10.2设备电源插头符合使用科室现有的插座，如不符合提供相应的插头转换接口。</w:t>
            </w:r>
          </w:p>
          <w:p w14:paraId="68031094">
            <w:pPr>
              <w:adjustRightInd w:val="0"/>
              <w:snapToGrid w:val="0"/>
              <w:ind w:firstLine="420" w:firstLineChars="200"/>
              <w:rPr>
                <w:rFonts w:asciiTheme="minorEastAsia" w:hAnsiTheme="minorEastAsia" w:eastAsiaTheme="minorEastAsia"/>
                <w:bCs/>
                <w:szCs w:val="21"/>
              </w:rPr>
            </w:pPr>
            <w:r>
              <w:rPr>
                <w:rFonts w:asciiTheme="minorEastAsia" w:hAnsiTheme="minorEastAsia" w:eastAsiaTheme="minorEastAsia"/>
                <w:bCs/>
                <w:szCs w:val="21"/>
              </w:rPr>
              <w:t>10.</w:t>
            </w:r>
            <w:r>
              <w:rPr>
                <w:rFonts w:hint="eastAsia" w:asciiTheme="minorEastAsia" w:hAnsiTheme="minorEastAsia" w:eastAsiaTheme="minorEastAsia"/>
                <w:bCs/>
                <w:szCs w:val="21"/>
              </w:rPr>
              <w:t>3如涉及工程类需提供相关的电路图、施工图，安装工程所涉及到的全部费用（包含但不限于装修费、旧设备拆装费、总承包管理服务费、安装如涉及外接电源、网络、给排水、排风等必须对现有设施进行改造或增加管线、材料及人工等），均由中标人承担，电源电线插座、长度和用电等需符合采购人的使用要求，所供设备均需妥善安装确保采购人可正常使用。</w:t>
            </w:r>
          </w:p>
          <w:p w14:paraId="2B40F47B">
            <w:pPr>
              <w:adjustRightInd w:val="0"/>
              <w:snapToGrid w:val="0"/>
              <w:ind w:firstLine="420" w:firstLineChars="200"/>
              <w:rPr>
                <w:rFonts w:hint="eastAsia" w:asciiTheme="majorEastAsia" w:hAnsiTheme="majorEastAsia" w:eastAsiaTheme="majorEastAsia"/>
                <w:b/>
                <w:sz w:val="24"/>
                <w:szCs w:val="21"/>
                <w:highlight w:val="yellow"/>
              </w:rPr>
            </w:pPr>
            <w:r>
              <w:rPr>
                <w:rFonts w:hint="eastAsia" w:asciiTheme="minorEastAsia" w:hAnsiTheme="minorEastAsia" w:eastAsiaTheme="minorEastAsia"/>
                <w:bCs/>
                <w:szCs w:val="21"/>
              </w:rPr>
              <w:t>10.4中标人所交付货物、工程或服务不符合其投标承诺的，或在投标阶段为中标而盲目虚假承诺、低价恶性竞争，在履约阶段则通过偷工减料、以次充好而获取利润的，将不予验收，并交主管部门遵照相关规定处理，所有责任由中标人一力承担。</w:t>
            </w:r>
          </w:p>
        </w:tc>
      </w:tr>
    </w:tbl>
    <w:p w14:paraId="117BFB3C">
      <w:pPr>
        <w:spacing w:line="360" w:lineRule="auto"/>
        <w:ind w:firstLine="150" w:firstLineChars="100"/>
        <w:rPr>
          <w:rFonts w:cs="方正小标宋简体" w:asciiTheme="majorEastAsia" w:hAnsiTheme="majorEastAsia" w:eastAsiaTheme="majorEastAsia"/>
          <w:sz w:val="15"/>
          <w:szCs w:val="15"/>
        </w:rPr>
      </w:pPr>
    </w:p>
    <w:p w14:paraId="04C3D69F">
      <w:pPr>
        <w:spacing w:line="540" w:lineRule="exact"/>
        <w:ind w:left="4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第三部分</w:t>
      </w:r>
      <w:r>
        <w:rPr>
          <w:rFonts w:cs="方正小标宋简体" w:asciiTheme="majorEastAsia" w:hAnsiTheme="majorEastAsia" w:eastAsiaTheme="majorEastAsia"/>
          <w:b/>
          <w:sz w:val="36"/>
          <w:szCs w:val="36"/>
        </w:rPr>
        <w:t xml:space="preserve"> </w:t>
      </w:r>
      <w:r>
        <w:rPr>
          <w:rFonts w:hint="eastAsia" w:cs="方正小标宋简体" w:asciiTheme="majorEastAsia" w:hAnsiTheme="majorEastAsia" w:eastAsiaTheme="majorEastAsia"/>
          <w:b/>
          <w:sz w:val="36"/>
          <w:szCs w:val="36"/>
        </w:rPr>
        <w:t>其他说明</w:t>
      </w:r>
    </w:p>
    <w:p w14:paraId="3A9FE8A3">
      <w:pPr>
        <w:pStyle w:val="3"/>
        <w:ind w:left="400"/>
        <w:rPr>
          <w:rFonts w:asciiTheme="majorEastAsia" w:hAnsiTheme="majorEastAsia" w:eastAsiaTheme="majorEastAsia"/>
        </w:rPr>
      </w:pPr>
      <w:r>
        <w:rPr>
          <w:rFonts w:hint="eastAsia" w:asciiTheme="majorEastAsia" w:hAnsiTheme="majorEastAsia" w:eastAsiaTheme="majorEastAsia"/>
        </w:rPr>
        <w:t>（如有需特殊说明的情况，请列明，包括但不限于设备有专机专用试剂耗材、安装场地要求、信息系统等特殊需求）</w:t>
      </w:r>
    </w:p>
    <w:tbl>
      <w:tblPr>
        <w:tblStyle w:val="9"/>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7760"/>
      </w:tblGrid>
      <w:tr w14:paraId="2675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40D9A35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有无配套耗材</w:t>
            </w:r>
          </w:p>
        </w:tc>
        <w:tc>
          <w:tcPr>
            <w:tcW w:w="7760" w:type="dxa"/>
            <w:vAlign w:val="center"/>
          </w:tcPr>
          <w:p w14:paraId="6441627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□有配套耗材（是否专机专用：□是 □否）（具体列明）：______________</w:t>
            </w:r>
          </w:p>
          <w:p w14:paraId="32E0ABC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  是否有同类在库：□是 □否</w:t>
            </w:r>
          </w:p>
          <w:p w14:paraId="09FE3E4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  是否需要新准入：□是 □否</w:t>
            </w:r>
          </w:p>
          <w:p w14:paraId="1641E732">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无配套耗材 </w:t>
            </w:r>
          </w:p>
        </w:tc>
      </w:tr>
      <w:tr w14:paraId="4384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5589C673">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有无配套试剂</w:t>
            </w:r>
          </w:p>
        </w:tc>
        <w:tc>
          <w:tcPr>
            <w:tcW w:w="7760" w:type="dxa"/>
            <w:vAlign w:val="center"/>
          </w:tcPr>
          <w:p w14:paraId="1A4B1AF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□有配套试剂（是否专机专用：□是 □否）（具体列明）：___________</w:t>
            </w:r>
          </w:p>
          <w:p w14:paraId="11112FEC">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  是否有同类在库：□是 □否</w:t>
            </w:r>
          </w:p>
          <w:p w14:paraId="43AB2CB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无配套试剂 </w:t>
            </w:r>
          </w:p>
        </w:tc>
      </w:tr>
      <w:tr w14:paraId="77D5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5EC042C2">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安装场地特殊条件</w:t>
            </w:r>
          </w:p>
        </w:tc>
        <w:tc>
          <w:tcPr>
            <w:tcW w:w="7760" w:type="dxa"/>
            <w:vAlign w:val="center"/>
          </w:tcPr>
          <w:p w14:paraId="3E6099D3">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□有（具体列明）：______________________</w:t>
            </w:r>
          </w:p>
          <w:p w14:paraId="178A8252">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无   </w:t>
            </w:r>
          </w:p>
        </w:tc>
      </w:tr>
      <w:tr w14:paraId="5599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205DAF6C">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信息系统配套设施（接口费等）</w:t>
            </w:r>
          </w:p>
        </w:tc>
        <w:tc>
          <w:tcPr>
            <w:tcW w:w="7760" w:type="dxa"/>
            <w:vAlign w:val="center"/>
          </w:tcPr>
          <w:p w14:paraId="62FF885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□有（具体列明）：______________________</w:t>
            </w:r>
          </w:p>
          <w:p w14:paraId="7AE921FB">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无   </w:t>
            </w:r>
          </w:p>
        </w:tc>
      </w:tr>
      <w:tr w14:paraId="1EB2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62274E82">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是否三家以上生产厂家为中小微企业</w:t>
            </w:r>
          </w:p>
        </w:tc>
        <w:tc>
          <w:tcPr>
            <w:tcW w:w="7760" w:type="dxa"/>
            <w:vAlign w:val="center"/>
          </w:tcPr>
          <w:p w14:paraId="234B0B1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是（具体列明）：□中型企业；</w:t>
            </w: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小微企业</w:t>
            </w:r>
          </w:p>
          <w:p w14:paraId="1EF6018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r>
      <w:tr w14:paraId="3541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60" w:type="dxa"/>
            <w:vAlign w:val="center"/>
          </w:tcPr>
          <w:p w14:paraId="41B0945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设备使用年限</w:t>
            </w:r>
          </w:p>
        </w:tc>
        <w:tc>
          <w:tcPr>
            <w:tcW w:w="7760" w:type="dxa"/>
            <w:vAlign w:val="center"/>
          </w:tcPr>
          <w:p w14:paraId="75A8DDD3">
            <w:pPr>
              <w:adjustRightInd w:val="0"/>
              <w:snapToGrid w:val="0"/>
              <w:rPr>
                <w:rFonts w:hint="default" w:ascii="宋体" w:hAnsi="宋体" w:eastAsia="宋体" w:cs="宋体"/>
                <w:bCs/>
                <w:color w:val="000000"/>
                <w:szCs w:val="21"/>
                <w:lang w:val="en-US" w:eastAsia="zh-CN"/>
              </w:rPr>
            </w:pPr>
            <w:r>
              <w:rPr>
                <w:rFonts w:hint="eastAsia" w:ascii="宋体" w:hAnsi="宋体" w:cs="宋体"/>
                <w:bCs/>
                <w:color w:val="000000"/>
                <w:szCs w:val="21"/>
                <w:lang w:val="en-US" w:eastAsia="zh-CN"/>
              </w:rPr>
              <w:t>10</w:t>
            </w:r>
          </w:p>
        </w:tc>
      </w:tr>
      <w:tr w14:paraId="28BC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660" w:type="dxa"/>
            <w:vAlign w:val="center"/>
          </w:tcPr>
          <w:p w14:paraId="4F3F3FBB">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是否纳入医疗器械目录</w:t>
            </w:r>
          </w:p>
        </w:tc>
        <w:tc>
          <w:tcPr>
            <w:tcW w:w="7760" w:type="dxa"/>
            <w:vAlign w:val="center"/>
          </w:tcPr>
          <w:p w14:paraId="4AEE1245">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有（具体列明）：□一类  </w:t>
            </w:r>
            <w:r>
              <w:rPr>
                <w:rFonts w:hint="eastAsia" w:asciiTheme="majorEastAsia" w:hAnsiTheme="majorEastAsia" w:eastAsiaTheme="majorEastAsia"/>
                <w:b/>
                <w:sz w:val="24"/>
                <w:szCs w:val="21"/>
                <w:lang w:eastAsia="zh"/>
              </w:rPr>
              <w:t>☑</w:t>
            </w:r>
            <w:r>
              <w:rPr>
                <w:rFonts w:hint="eastAsia" w:asciiTheme="majorEastAsia" w:hAnsiTheme="majorEastAsia" w:eastAsiaTheme="majorEastAsia"/>
                <w:b/>
                <w:sz w:val="24"/>
                <w:szCs w:val="21"/>
              </w:rPr>
              <w:t>二类   □三类   □至少为   类</w:t>
            </w:r>
          </w:p>
          <w:p w14:paraId="3612A58F">
            <w:pPr>
              <w:adjustRightInd w:val="0"/>
              <w:snapToGrid w:val="0"/>
              <w:rPr>
                <w:rFonts w:ascii="宋体" w:hAnsi="宋体" w:cs="宋体"/>
                <w:bCs/>
                <w:color w:val="000000"/>
                <w:szCs w:val="21"/>
              </w:rPr>
            </w:pPr>
            <w:r>
              <w:rPr>
                <w:rFonts w:hint="eastAsia" w:asciiTheme="majorEastAsia" w:hAnsiTheme="majorEastAsia" w:eastAsiaTheme="majorEastAsia"/>
                <w:b/>
                <w:sz w:val="24"/>
                <w:szCs w:val="21"/>
              </w:rPr>
              <w:t xml:space="preserve">□无  </w:t>
            </w:r>
          </w:p>
        </w:tc>
      </w:tr>
      <w:tr w14:paraId="3271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660" w:type="dxa"/>
            <w:vAlign w:val="center"/>
          </w:tcPr>
          <w:p w14:paraId="26E4F1F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其他设备特殊资格要求</w:t>
            </w:r>
          </w:p>
        </w:tc>
        <w:tc>
          <w:tcPr>
            <w:tcW w:w="7760" w:type="dxa"/>
            <w:vAlign w:val="center"/>
          </w:tcPr>
          <w:p w14:paraId="10A4B23B">
            <w:pPr>
              <w:adjustRightInd w:val="0"/>
              <w:snapToGrid w:val="0"/>
              <w:rPr>
                <w:rFonts w:asciiTheme="majorEastAsia" w:hAnsiTheme="majorEastAsia" w:eastAsiaTheme="majorEastAsia"/>
                <w:b/>
                <w:sz w:val="24"/>
                <w:szCs w:val="21"/>
              </w:rPr>
            </w:pPr>
          </w:p>
        </w:tc>
      </w:tr>
    </w:tbl>
    <w:p w14:paraId="66F4AA8C">
      <w:pPr>
        <w:spacing w:line="540" w:lineRule="exact"/>
        <w:ind w:left="400"/>
        <w:jc w:val="center"/>
        <w:rPr>
          <w:rFonts w:hint="eastAsia" w:cs="方正小标宋简体" w:asciiTheme="majorEastAsia" w:hAnsiTheme="majorEastAsia" w:eastAsiaTheme="majorEastAsia"/>
          <w:b/>
          <w:sz w:val="36"/>
          <w:szCs w:val="36"/>
        </w:rPr>
      </w:pPr>
    </w:p>
    <w:p w14:paraId="5578430D">
      <w:pPr>
        <w:spacing w:line="360" w:lineRule="auto"/>
        <w:ind w:left="400"/>
        <w:jc w:val="center"/>
        <w:rPr>
          <w:rFonts w:cs="方正小标宋简体" w:asciiTheme="majorEastAsia" w:hAnsiTheme="majorEastAsia" w:eastAsiaTheme="majorEastAsia"/>
          <w:sz w:val="36"/>
          <w:szCs w:val="36"/>
        </w:rPr>
      </w:pPr>
      <w:r>
        <w:rPr>
          <w:rFonts w:hint="eastAsia" w:cs="方正小标宋简体" w:asciiTheme="majorEastAsia" w:hAnsiTheme="majorEastAsia" w:eastAsiaTheme="majorEastAsia"/>
          <w:b/>
          <w:sz w:val="36"/>
          <w:szCs w:val="36"/>
        </w:rPr>
        <w:t>第四部分 零配件、消耗品和延续保修合同报价明细清单</w:t>
      </w:r>
    </w:p>
    <w:p w14:paraId="2EA5AFDB">
      <w:pPr>
        <w:adjustRightInd w:val="0"/>
        <w:snapToGrid w:val="0"/>
        <w:spacing w:line="360" w:lineRule="auto"/>
        <w:jc w:val="center"/>
        <w:rPr>
          <w:rFonts w:asciiTheme="majorEastAsia" w:hAnsiTheme="majorEastAsia" w:eastAsiaTheme="majorEastAsia"/>
          <w:bCs/>
          <w:sz w:val="28"/>
        </w:rPr>
      </w:pPr>
      <w:r>
        <w:rPr>
          <w:rFonts w:hint="eastAsia" w:asciiTheme="majorEastAsia" w:hAnsiTheme="majorEastAsia" w:eastAsiaTheme="majorEastAsia"/>
          <w:bCs/>
          <w:sz w:val="28"/>
        </w:rPr>
        <w:t>（该部分报价不包括在预算总价内）</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371"/>
        <w:gridCol w:w="1737"/>
        <w:gridCol w:w="1737"/>
        <w:gridCol w:w="1737"/>
        <w:gridCol w:w="1737"/>
      </w:tblGrid>
      <w:tr w14:paraId="006B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01" w:type="dxa"/>
            <w:vAlign w:val="center"/>
          </w:tcPr>
          <w:p w14:paraId="61A7F990">
            <w:pPr>
              <w:adjustRightInd w:val="0"/>
              <w:snapToGrid w:val="0"/>
              <w:spacing w:line="300" w:lineRule="auto"/>
              <w:jc w:val="center"/>
              <w:rPr>
                <w:rFonts w:asciiTheme="majorEastAsia" w:hAnsiTheme="majorEastAsia" w:eastAsiaTheme="majorEastAsia"/>
                <w:b/>
                <w:sz w:val="24"/>
                <w:szCs w:val="21"/>
              </w:rPr>
            </w:pPr>
            <w:r>
              <w:rPr>
                <w:rFonts w:asciiTheme="majorEastAsia" w:hAnsiTheme="majorEastAsia" w:eastAsiaTheme="majorEastAsia"/>
                <w:b/>
                <w:sz w:val="24"/>
                <w:szCs w:val="21"/>
              </w:rPr>
              <w:t>序号</w:t>
            </w:r>
          </w:p>
        </w:tc>
        <w:tc>
          <w:tcPr>
            <w:tcW w:w="2371" w:type="dxa"/>
            <w:vAlign w:val="center"/>
          </w:tcPr>
          <w:p w14:paraId="24183C4D">
            <w:pPr>
              <w:adjustRightInd w:val="0"/>
              <w:snapToGrid w:val="0"/>
              <w:spacing w:line="300"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w:t>
            </w:r>
            <w:r>
              <w:rPr>
                <w:rFonts w:asciiTheme="majorEastAsia" w:hAnsiTheme="majorEastAsia" w:eastAsiaTheme="majorEastAsia"/>
                <w:b/>
                <w:sz w:val="24"/>
                <w:szCs w:val="21"/>
              </w:rPr>
              <w:t>名称</w:t>
            </w:r>
          </w:p>
        </w:tc>
        <w:tc>
          <w:tcPr>
            <w:tcW w:w="1737" w:type="dxa"/>
            <w:vAlign w:val="center"/>
          </w:tcPr>
          <w:p w14:paraId="337EC26F">
            <w:pPr>
              <w:adjustRightInd w:val="0"/>
              <w:snapToGrid w:val="0"/>
              <w:spacing w:line="300"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规格/型号</w:t>
            </w:r>
          </w:p>
        </w:tc>
        <w:tc>
          <w:tcPr>
            <w:tcW w:w="1737" w:type="dxa"/>
            <w:vAlign w:val="center"/>
          </w:tcPr>
          <w:p w14:paraId="3CC52E59">
            <w:pPr>
              <w:adjustRightInd w:val="0"/>
              <w:snapToGrid w:val="0"/>
              <w:spacing w:line="300" w:lineRule="auto"/>
              <w:jc w:val="center"/>
              <w:rPr>
                <w:rFonts w:asciiTheme="majorEastAsia" w:hAnsiTheme="majorEastAsia" w:eastAsiaTheme="majorEastAsia"/>
                <w:b/>
                <w:sz w:val="24"/>
                <w:szCs w:val="21"/>
              </w:rPr>
            </w:pPr>
            <w:r>
              <w:rPr>
                <w:rFonts w:asciiTheme="majorEastAsia" w:hAnsiTheme="majorEastAsia" w:eastAsiaTheme="majorEastAsia"/>
                <w:b/>
                <w:sz w:val="24"/>
                <w:szCs w:val="21"/>
              </w:rPr>
              <w:t>制造厂商</w:t>
            </w:r>
          </w:p>
        </w:tc>
        <w:tc>
          <w:tcPr>
            <w:tcW w:w="1737" w:type="dxa"/>
            <w:vAlign w:val="center"/>
          </w:tcPr>
          <w:p w14:paraId="196EE5E9">
            <w:pPr>
              <w:adjustRightInd w:val="0"/>
              <w:snapToGrid w:val="0"/>
              <w:spacing w:line="300"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原产地</w:t>
            </w:r>
          </w:p>
        </w:tc>
        <w:tc>
          <w:tcPr>
            <w:tcW w:w="1737" w:type="dxa"/>
            <w:vAlign w:val="center"/>
          </w:tcPr>
          <w:p w14:paraId="43477F3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单价(元)</w:t>
            </w:r>
          </w:p>
        </w:tc>
      </w:tr>
      <w:tr w14:paraId="42CC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01" w:type="dxa"/>
          </w:tcPr>
          <w:p w14:paraId="52D34468">
            <w:pPr>
              <w:widowControl/>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1</w:t>
            </w:r>
          </w:p>
        </w:tc>
        <w:tc>
          <w:tcPr>
            <w:tcW w:w="2371" w:type="dxa"/>
          </w:tcPr>
          <w:p w14:paraId="34EE3F52">
            <w:pPr>
              <w:widowControl/>
              <w:rPr>
                <w:rFonts w:hint="default" w:cs="方正小标宋简体" w:asciiTheme="majorEastAsia" w:hAnsiTheme="majorEastAsia" w:eastAsiaTheme="majorEastAsia"/>
                <w:sz w:val="24"/>
                <w:lang w:val="en-US" w:eastAsia="zh-CN"/>
              </w:rPr>
            </w:pPr>
            <w:r>
              <w:rPr>
                <w:rFonts w:hint="eastAsia" w:cs="方正小标宋简体" w:asciiTheme="majorEastAsia" w:hAnsiTheme="majorEastAsia" w:eastAsiaTheme="majorEastAsia"/>
                <w:sz w:val="24"/>
                <w:lang w:val="en-US" w:eastAsia="zh-CN"/>
              </w:rPr>
              <w:t>线圈拍</w:t>
            </w:r>
          </w:p>
        </w:tc>
        <w:tc>
          <w:tcPr>
            <w:tcW w:w="1737" w:type="dxa"/>
          </w:tcPr>
          <w:p w14:paraId="7DB6B28F">
            <w:pPr>
              <w:widowControl/>
              <w:rPr>
                <w:rFonts w:hint="default" w:cs="方正小标宋简体" w:asciiTheme="majorEastAsia" w:hAnsiTheme="majorEastAsia" w:eastAsiaTheme="majorEastAsia"/>
                <w:sz w:val="24"/>
                <w:lang w:val="en-US" w:eastAsia="zh-CN"/>
              </w:rPr>
            </w:pPr>
          </w:p>
        </w:tc>
        <w:tc>
          <w:tcPr>
            <w:tcW w:w="1737" w:type="dxa"/>
          </w:tcPr>
          <w:p w14:paraId="5FDA81FA">
            <w:pPr>
              <w:widowControl/>
              <w:rPr>
                <w:rFonts w:hint="default" w:cs="方正小标宋简体" w:asciiTheme="majorEastAsia" w:hAnsiTheme="majorEastAsia" w:eastAsiaTheme="majorEastAsia"/>
                <w:sz w:val="24"/>
                <w:lang w:val="en-US" w:eastAsia="zh-CN"/>
              </w:rPr>
            </w:pPr>
          </w:p>
        </w:tc>
        <w:tc>
          <w:tcPr>
            <w:tcW w:w="1737" w:type="dxa"/>
          </w:tcPr>
          <w:p w14:paraId="60CF0AA3">
            <w:pPr>
              <w:widowControl/>
              <w:rPr>
                <w:rFonts w:hint="eastAsia" w:cs="方正小标宋简体" w:asciiTheme="majorEastAsia" w:hAnsiTheme="majorEastAsia" w:eastAsiaTheme="majorEastAsia"/>
                <w:sz w:val="24"/>
                <w:lang w:val="en-US" w:eastAsia="zh-CN"/>
              </w:rPr>
            </w:pPr>
          </w:p>
        </w:tc>
        <w:tc>
          <w:tcPr>
            <w:tcW w:w="1737" w:type="dxa"/>
          </w:tcPr>
          <w:p w14:paraId="4B5AFE50">
            <w:pPr>
              <w:widowControl/>
              <w:rPr>
                <w:rFonts w:hint="default" w:cs="方正小标宋简体" w:asciiTheme="majorEastAsia" w:hAnsiTheme="majorEastAsia" w:eastAsiaTheme="majorEastAsia"/>
                <w:sz w:val="24"/>
                <w:lang w:val="en-US" w:eastAsia="zh-CN"/>
              </w:rPr>
            </w:pPr>
          </w:p>
        </w:tc>
      </w:tr>
      <w:tr w14:paraId="68C7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01" w:type="dxa"/>
          </w:tcPr>
          <w:p w14:paraId="2145DA8C">
            <w:pPr>
              <w:widowControl/>
              <w:rPr>
                <w:rFonts w:hint="eastAsia" w:cs="方正小标宋简体" w:asciiTheme="majorEastAsia" w:hAnsiTheme="majorEastAsia" w:eastAsiaTheme="majorEastAsia"/>
                <w:sz w:val="24"/>
                <w:lang w:eastAsia="zh-CN"/>
              </w:rPr>
            </w:pPr>
            <w:r>
              <w:rPr>
                <w:rFonts w:hint="eastAsia" w:cs="方正小标宋简体" w:asciiTheme="majorEastAsia" w:hAnsiTheme="majorEastAsia" w:eastAsiaTheme="majorEastAsia"/>
                <w:sz w:val="24"/>
                <w:lang w:val="en-US" w:eastAsia="zh-CN"/>
              </w:rPr>
              <w:t>2</w:t>
            </w:r>
          </w:p>
        </w:tc>
        <w:tc>
          <w:tcPr>
            <w:tcW w:w="2371" w:type="dxa"/>
          </w:tcPr>
          <w:p w14:paraId="312B7457">
            <w:pPr>
              <w:widowControl/>
              <w:rPr>
                <w:rFonts w:hint="default" w:cs="方正小标宋简体" w:asciiTheme="majorEastAsia" w:hAnsiTheme="majorEastAsia" w:eastAsiaTheme="majorEastAsia"/>
                <w:sz w:val="24"/>
                <w:lang w:val="en-US" w:eastAsia="zh-CN"/>
              </w:rPr>
            </w:pPr>
            <w:r>
              <w:rPr>
                <w:rFonts w:hint="eastAsia" w:cs="方正小标宋简体" w:asciiTheme="majorEastAsia" w:hAnsiTheme="majorEastAsia" w:eastAsiaTheme="majorEastAsia"/>
                <w:sz w:val="24"/>
                <w:lang w:val="en-US" w:eastAsia="zh-CN"/>
              </w:rPr>
              <w:t>线圈支架</w:t>
            </w:r>
          </w:p>
        </w:tc>
        <w:tc>
          <w:tcPr>
            <w:tcW w:w="1737" w:type="dxa"/>
          </w:tcPr>
          <w:p w14:paraId="72BC0921">
            <w:pPr>
              <w:widowControl/>
              <w:rPr>
                <w:rFonts w:hint="eastAsia" w:cs="方正小标宋简体" w:asciiTheme="majorEastAsia" w:hAnsiTheme="majorEastAsia" w:eastAsiaTheme="majorEastAsia"/>
                <w:sz w:val="24"/>
                <w:lang w:val="en-US" w:eastAsia="zh-CN"/>
              </w:rPr>
            </w:pPr>
          </w:p>
        </w:tc>
        <w:tc>
          <w:tcPr>
            <w:tcW w:w="1737" w:type="dxa"/>
          </w:tcPr>
          <w:p w14:paraId="53C29CC9">
            <w:pPr>
              <w:widowControl/>
              <w:rPr>
                <w:rFonts w:cs="方正小标宋简体" w:asciiTheme="majorEastAsia" w:hAnsiTheme="majorEastAsia" w:eastAsiaTheme="majorEastAsia"/>
                <w:sz w:val="24"/>
              </w:rPr>
            </w:pPr>
          </w:p>
        </w:tc>
        <w:tc>
          <w:tcPr>
            <w:tcW w:w="1737" w:type="dxa"/>
          </w:tcPr>
          <w:p w14:paraId="27DA3D3D">
            <w:pPr>
              <w:widowControl/>
              <w:rPr>
                <w:rFonts w:hint="eastAsia" w:cs="方正小标宋简体" w:asciiTheme="majorEastAsia" w:hAnsiTheme="majorEastAsia" w:eastAsiaTheme="majorEastAsia"/>
                <w:sz w:val="24"/>
                <w:lang w:val="en-US" w:eastAsia="zh-CN"/>
              </w:rPr>
            </w:pPr>
          </w:p>
        </w:tc>
        <w:tc>
          <w:tcPr>
            <w:tcW w:w="1737" w:type="dxa"/>
          </w:tcPr>
          <w:p w14:paraId="620AF123">
            <w:pPr>
              <w:widowControl/>
              <w:rPr>
                <w:rFonts w:hint="default" w:cs="方正小标宋简体" w:asciiTheme="majorEastAsia" w:hAnsiTheme="majorEastAsia" w:eastAsiaTheme="majorEastAsia"/>
                <w:sz w:val="24"/>
                <w:lang w:val="en-US" w:eastAsia="zh-CN"/>
              </w:rPr>
            </w:pPr>
          </w:p>
        </w:tc>
      </w:tr>
      <w:tr w14:paraId="7C9E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tcPr>
          <w:p w14:paraId="192244AD">
            <w:pPr>
              <w:widowControl/>
              <w:rPr>
                <w:rFonts w:hint="eastAsia" w:cs="方正小标宋简体" w:asciiTheme="majorEastAsia" w:hAnsiTheme="majorEastAsia" w:eastAsiaTheme="majorEastAsia"/>
                <w:sz w:val="24"/>
                <w:lang w:val="en-US" w:eastAsia="zh-CN"/>
              </w:rPr>
            </w:pPr>
            <w:r>
              <w:rPr>
                <w:rFonts w:hint="eastAsia" w:cs="方正小标宋简体" w:asciiTheme="majorEastAsia" w:hAnsiTheme="majorEastAsia" w:eastAsiaTheme="majorEastAsia"/>
                <w:sz w:val="24"/>
                <w:lang w:val="en-US" w:eastAsia="zh-CN"/>
              </w:rPr>
              <w:t>3</w:t>
            </w:r>
          </w:p>
        </w:tc>
        <w:tc>
          <w:tcPr>
            <w:tcW w:w="2371" w:type="dxa"/>
          </w:tcPr>
          <w:p w14:paraId="00B7BE9F">
            <w:pPr>
              <w:widowControl/>
              <w:rPr>
                <w:rFonts w:cs="方正小标宋简体" w:asciiTheme="majorEastAsia" w:hAnsiTheme="majorEastAsia" w:eastAsiaTheme="majorEastAsia"/>
                <w:sz w:val="24"/>
              </w:rPr>
            </w:pPr>
          </w:p>
        </w:tc>
        <w:tc>
          <w:tcPr>
            <w:tcW w:w="1737" w:type="dxa"/>
          </w:tcPr>
          <w:p w14:paraId="449DF8B3">
            <w:pPr>
              <w:widowControl/>
              <w:rPr>
                <w:rFonts w:cs="方正小标宋简体" w:asciiTheme="majorEastAsia" w:hAnsiTheme="majorEastAsia" w:eastAsiaTheme="majorEastAsia"/>
                <w:sz w:val="24"/>
              </w:rPr>
            </w:pPr>
          </w:p>
        </w:tc>
        <w:tc>
          <w:tcPr>
            <w:tcW w:w="1737" w:type="dxa"/>
          </w:tcPr>
          <w:p w14:paraId="063D8A26">
            <w:pPr>
              <w:widowControl/>
              <w:rPr>
                <w:rFonts w:cs="方正小标宋简体" w:asciiTheme="majorEastAsia" w:hAnsiTheme="majorEastAsia" w:eastAsiaTheme="majorEastAsia"/>
                <w:sz w:val="24"/>
              </w:rPr>
            </w:pPr>
          </w:p>
        </w:tc>
        <w:tc>
          <w:tcPr>
            <w:tcW w:w="1737" w:type="dxa"/>
          </w:tcPr>
          <w:p w14:paraId="3E4A704D">
            <w:pPr>
              <w:widowControl/>
              <w:rPr>
                <w:rFonts w:cs="方正小标宋简体" w:asciiTheme="majorEastAsia" w:hAnsiTheme="majorEastAsia" w:eastAsiaTheme="majorEastAsia"/>
                <w:sz w:val="24"/>
              </w:rPr>
            </w:pPr>
          </w:p>
        </w:tc>
        <w:tc>
          <w:tcPr>
            <w:tcW w:w="1737" w:type="dxa"/>
          </w:tcPr>
          <w:p w14:paraId="4B1F2913">
            <w:pPr>
              <w:widowControl/>
              <w:rPr>
                <w:rFonts w:cs="方正小标宋简体" w:asciiTheme="majorEastAsia" w:hAnsiTheme="majorEastAsia" w:eastAsiaTheme="majorEastAsia"/>
                <w:sz w:val="24"/>
              </w:rPr>
            </w:pPr>
          </w:p>
        </w:tc>
      </w:tr>
    </w:tbl>
    <w:p w14:paraId="421AFABA">
      <w:pPr>
        <w:adjustRightInd w:val="0"/>
        <w:snapToGrid w:val="0"/>
        <w:spacing w:line="300" w:lineRule="auto"/>
        <w:jc w:val="center"/>
        <w:rPr>
          <w:rFonts w:asciiTheme="majorEastAsia" w:hAnsiTheme="majorEastAsia" w:eastAsiaTheme="majorEastAsia"/>
          <w:b/>
          <w:sz w:val="24"/>
          <w:szCs w:val="21"/>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109"/>
        <w:gridCol w:w="2605"/>
        <w:gridCol w:w="2605"/>
      </w:tblGrid>
      <w:tr w14:paraId="51D7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01" w:type="dxa"/>
            <w:vAlign w:val="center"/>
          </w:tcPr>
          <w:p w14:paraId="44BAD757">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序号</w:t>
            </w:r>
          </w:p>
        </w:tc>
        <w:tc>
          <w:tcPr>
            <w:tcW w:w="4109" w:type="dxa"/>
            <w:vAlign w:val="center"/>
          </w:tcPr>
          <w:p w14:paraId="3EAE233E">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服务名称</w:t>
            </w:r>
          </w:p>
        </w:tc>
        <w:tc>
          <w:tcPr>
            <w:tcW w:w="2605" w:type="dxa"/>
            <w:vAlign w:val="center"/>
          </w:tcPr>
          <w:p w14:paraId="6CC8E8F6">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服务内容</w:t>
            </w:r>
          </w:p>
        </w:tc>
        <w:tc>
          <w:tcPr>
            <w:tcW w:w="2605" w:type="dxa"/>
            <w:vAlign w:val="center"/>
          </w:tcPr>
          <w:p w14:paraId="09746494">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价格（元）</w:t>
            </w:r>
          </w:p>
        </w:tc>
      </w:tr>
      <w:tr w14:paraId="6D5D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01" w:type="dxa"/>
            <w:vAlign w:val="center"/>
          </w:tcPr>
          <w:p w14:paraId="4C411D4A">
            <w:pPr>
              <w:widowControl/>
              <w:jc w:val="center"/>
              <w:rPr>
                <w:rFonts w:asciiTheme="majorEastAsia" w:hAnsiTheme="majorEastAsia" w:eastAsiaTheme="majorEastAsia"/>
                <w:b/>
                <w:sz w:val="24"/>
              </w:rPr>
            </w:pPr>
            <w:r>
              <w:rPr>
                <w:rFonts w:hint="eastAsia" w:asciiTheme="majorEastAsia" w:hAnsiTheme="majorEastAsia" w:eastAsiaTheme="majorEastAsia"/>
                <w:b/>
                <w:sz w:val="24"/>
              </w:rPr>
              <w:t>1</w:t>
            </w:r>
          </w:p>
        </w:tc>
        <w:tc>
          <w:tcPr>
            <w:tcW w:w="4109" w:type="dxa"/>
            <w:vAlign w:val="center"/>
          </w:tcPr>
          <w:p w14:paraId="5F55D4EF">
            <w:pPr>
              <w:widowControl/>
              <w:jc w:val="center"/>
              <w:rPr>
                <w:rFonts w:asciiTheme="majorEastAsia" w:hAnsiTheme="majorEastAsia" w:eastAsiaTheme="majorEastAsia"/>
                <w:b/>
                <w:sz w:val="24"/>
              </w:rPr>
            </w:pPr>
            <w:r>
              <w:rPr>
                <w:rFonts w:hint="eastAsia" w:asciiTheme="majorEastAsia" w:hAnsiTheme="majorEastAsia" w:eastAsiaTheme="majorEastAsia"/>
                <w:b/>
                <w:sz w:val="24"/>
              </w:rPr>
              <w:t>三年延续保修合同</w:t>
            </w:r>
          </w:p>
        </w:tc>
        <w:tc>
          <w:tcPr>
            <w:tcW w:w="2605" w:type="dxa"/>
            <w:vAlign w:val="center"/>
          </w:tcPr>
          <w:p w14:paraId="4E1E979C">
            <w:pPr>
              <w:widowControl/>
              <w:jc w:val="center"/>
              <w:rPr>
                <w:rFonts w:hint="default" w:cs="方正小标宋简体" w:asciiTheme="majorEastAsia" w:hAnsiTheme="majorEastAsia" w:eastAsiaTheme="majorEastAsia"/>
                <w:sz w:val="24"/>
                <w:lang w:val="en-US" w:eastAsia="zh-CN"/>
              </w:rPr>
            </w:pPr>
            <w:r>
              <w:rPr>
                <w:rFonts w:hint="eastAsia" w:cs="方正小标宋简体" w:asciiTheme="majorEastAsia" w:hAnsiTheme="majorEastAsia" w:eastAsiaTheme="majorEastAsia"/>
                <w:sz w:val="24"/>
                <w:lang w:val="en-US" w:eastAsia="zh-CN"/>
              </w:rPr>
              <w:t>整机检测与维修</w:t>
            </w:r>
          </w:p>
        </w:tc>
        <w:tc>
          <w:tcPr>
            <w:tcW w:w="2605" w:type="dxa"/>
            <w:vAlign w:val="center"/>
          </w:tcPr>
          <w:p w14:paraId="131A252A">
            <w:pPr>
              <w:widowControl/>
              <w:jc w:val="center"/>
              <w:rPr>
                <w:rFonts w:hint="default" w:cs="方正小标宋简体" w:asciiTheme="majorEastAsia" w:hAnsiTheme="majorEastAsia" w:eastAsiaTheme="majorEastAsia"/>
                <w:sz w:val="24"/>
                <w:lang w:val="en-US" w:eastAsia="zh-CN"/>
              </w:rPr>
            </w:pPr>
          </w:p>
        </w:tc>
      </w:tr>
      <w:tr w14:paraId="3CB9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Pr>
          <w:p w14:paraId="730AD713">
            <w:pPr>
              <w:widowControl/>
              <w:rPr>
                <w:rFonts w:cs="方正小标宋简体" w:asciiTheme="majorEastAsia" w:hAnsiTheme="majorEastAsia" w:eastAsiaTheme="majorEastAsia"/>
                <w:sz w:val="24"/>
              </w:rPr>
            </w:pPr>
          </w:p>
        </w:tc>
        <w:tc>
          <w:tcPr>
            <w:tcW w:w="4109" w:type="dxa"/>
          </w:tcPr>
          <w:p w14:paraId="5B3AFC0C">
            <w:pPr>
              <w:widowControl/>
              <w:rPr>
                <w:rFonts w:cs="方正小标宋简体" w:asciiTheme="majorEastAsia" w:hAnsiTheme="majorEastAsia" w:eastAsiaTheme="majorEastAsia"/>
                <w:sz w:val="24"/>
              </w:rPr>
            </w:pPr>
          </w:p>
        </w:tc>
        <w:tc>
          <w:tcPr>
            <w:tcW w:w="2605" w:type="dxa"/>
          </w:tcPr>
          <w:p w14:paraId="025DA5AB">
            <w:pPr>
              <w:widowControl/>
              <w:rPr>
                <w:rFonts w:cs="方正小标宋简体" w:asciiTheme="majorEastAsia" w:hAnsiTheme="majorEastAsia" w:eastAsiaTheme="majorEastAsia"/>
                <w:sz w:val="24"/>
              </w:rPr>
            </w:pPr>
          </w:p>
        </w:tc>
        <w:tc>
          <w:tcPr>
            <w:tcW w:w="2605" w:type="dxa"/>
          </w:tcPr>
          <w:p w14:paraId="21FDBCC0">
            <w:pPr>
              <w:widowControl/>
              <w:rPr>
                <w:rFonts w:cs="方正小标宋简体" w:asciiTheme="majorEastAsia" w:hAnsiTheme="majorEastAsia" w:eastAsiaTheme="majorEastAsia"/>
                <w:sz w:val="24"/>
              </w:rPr>
            </w:pPr>
          </w:p>
        </w:tc>
      </w:tr>
    </w:tbl>
    <w:p w14:paraId="4245ABBD">
      <w:pPr>
        <w:adjustRightInd w:val="0"/>
        <w:snapToGrid w:val="0"/>
        <w:spacing w:line="300" w:lineRule="auto"/>
        <w:ind w:firstLine="285" w:firstLineChars="135"/>
        <w:jc w:val="left"/>
        <w:rPr>
          <w:rFonts w:cs="方正小标宋简体" w:asciiTheme="majorEastAsia" w:hAnsiTheme="majorEastAsia" w:eastAsiaTheme="majorEastAsia"/>
          <w:b/>
          <w:sz w:val="36"/>
          <w:szCs w:val="36"/>
        </w:rPr>
      </w:pPr>
      <w:r>
        <w:rPr>
          <w:rFonts w:hint="eastAsia" w:asciiTheme="minorEastAsia" w:hAnsiTheme="minorEastAsia" w:eastAsiaTheme="minorEastAsia"/>
          <w:b/>
          <w:snapToGrid w:val="0"/>
          <w:color w:val="000000"/>
          <w:kern w:val="0"/>
        </w:rPr>
        <w:t>注：价格最高的前</w:t>
      </w:r>
      <w:r>
        <w:rPr>
          <w:rFonts w:asciiTheme="minorEastAsia" w:hAnsiTheme="minorEastAsia" w:eastAsiaTheme="minorEastAsia"/>
          <w:b/>
          <w:snapToGrid w:val="0"/>
          <w:color w:val="000000"/>
          <w:kern w:val="0"/>
        </w:rPr>
        <w:t>5</w:t>
      </w:r>
      <w:r>
        <w:rPr>
          <w:rFonts w:hint="eastAsia" w:asciiTheme="minorEastAsia" w:hAnsiTheme="minorEastAsia" w:eastAsiaTheme="minorEastAsia"/>
          <w:b/>
          <w:snapToGrid w:val="0"/>
          <w:color w:val="000000"/>
          <w:kern w:val="0"/>
        </w:rPr>
        <w:t>项零配件、消耗品和延续保修合同的明细需填写于此表。</w:t>
      </w:r>
    </w:p>
    <w:p w14:paraId="1D8079F8"/>
    <w:sectPr>
      <w:footerReference r:id="rId5" w:type="default"/>
      <w:pgSz w:w="11906" w:h="16838"/>
      <w:pgMar w:top="1440" w:right="1080" w:bottom="1440" w:left="108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招采办" w:date="2026-06-18T17:23:18Z" w:initials="">
    <w:p w14:paraId="43C5CC74">
      <w:pPr>
        <w:pStyle w:val="2"/>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3C5CC7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JhengHei UI Light">
    <w:panose1 w:val="020B0304030504040204"/>
    <w:charset w:val="88"/>
    <w:family w:val="swiss"/>
    <w:pitch w:val="default"/>
    <w:sig w:usb0="800002A7" w:usb1="28CF4400" w:usb2="00000016" w:usb3="00000000" w:csb0="00100009"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94526"/>
    </w:sdtPr>
    <w:sdtContent>
      <w:p w14:paraId="7B353E8F">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14:paraId="48387BAD">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F9507"/>
    <w:multiLevelType w:val="singleLevel"/>
    <w:tmpl w:val="D39F9507"/>
    <w:lvl w:ilvl="0" w:tentative="0">
      <w:start w:val="1"/>
      <w:numFmt w:val="decimal"/>
      <w:lvlText w:val="%1."/>
      <w:lvlJc w:val="left"/>
      <w:pPr>
        <w:ind w:left="425" w:hanging="425"/>
      </w:pPr>
      <w:rPr>
        <w:rFonts w:hint="default"/>
      </w:rPr>
    </w:lvl>
  </w:abstractNum>
  <w:abstractNum w:abstractNumId="1">
    <w:nsid w:val="5B870740"/>
    <w:multiLevelType w:val="singleLevel"/>
    <w:tmpl w:val="5B87074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招采办">
    <w15:presenceInfo w15:providerId="WPS Office" w15:userId="51695823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B1346"/>
    <w:rsid w:val="0D686F77"/>
    <w:rsid w:val="359650AE"/>
    <w:rsid w:val="381877A2"/>
    <w:rsid w:val="38543F62"/>
    <w:rsid w:val="3FFBEA86"/>
    <w:rsid w:val="41825C99"/>
    <w:rsid w:val="507C1936"/>
    <w:rsid w:val="539176B7"/>
    <w:rsid w:val="5C7D00A2"/>
    <w:rsid w:val="62013CD6"/>
    <w:rsid w:val="657E520F"/>
    <w:rsid w:val="77261394"/>
    <w:rsid w:val="7ACF6306"/>
    <w:rsid w:val="FDAA949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20"/>
    <w:unhideWhenUsed/>
    <w:qFormat/>
    <w:uiPriority w:val="99"/>
    <w:pPr>
      <w:jc w:val="left"/>
    </w:pPr>
  </w:style>
  <w:style w:type="paragraph" w:styleId="3">
    <w:name w:val="Body Text"/>
    <w:basedOn w:val="1"/>
    <w:link w:val="22"/>
    <w:qFormat/>
    <w:uiPriority w:val="0"/>
    <w:pPr>
      <w:adjustRightInd w:val="0"/>
      <w:snapToGrid w:val="0"/>
      <w:spacing w:line="500" w:lineRule="atLeast"/>
    </w:pPr>
    <w:rPr>
      <w:rFonts w:ascii="宋体"/>
      <w:bCs/>
      <w:sz w:val="28"/>
    </w:rPr>
  </w:style>
  <w:style w:type="paragraph" w:styleId="4">
    <w:name w:val="Plain Text"/>
    <w:basedOn w:val="1"/>
    <w:link w:val="17"/>
    <w:unhideWhenUsed/>
    <w:qFormat/>
    <w:uiPriority w:val="99"/>
    <w:rPr>
      <w:rFonts w:ascii="宋体" w:hAnsi="Courier New" w:cs="Courier New"/>
      <w:szCs w:val="21"/>
    </w:rPr>
  </w:style>
  <w:style w:type="paragraph" w:styleId="5">
    <w:name w:val="Balloon Text"/>
    <w:basedOn w:val="1"/>
    <w:link w:val="19"/>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1"/>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rFonts w:ascii="Tahoma" w:hAnsi="Tahoma" w:eastAsia="宋体"/>
      <w:b/>
      <w:bCs/>
      <w:spacing w:val="10"/>
      <w:kern w:val="2"/>
      <w:sz w:val="24"/>
      <w:szCs w:val="24"/>
      <w:lang w:val="en-US" w:eastAsia="zh-CN" w:bidi="ar-SA"/>
    </w:rPr>
  </w:style>
  <w:style w:type="character" w:styleId="13">
    <w:name w:val="annotation reference"/>
    <w:basedOn w:val="11"/>
    <w:unhideWhenUsed/>
    <w:qFormat/>
    <w:uiPriority w:val="99"/>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paragraph" w:customStyle="1" w:styleId="16">
    <w:name w:val="List Paragraph"/>
    <w:basedOn w:val="1"/>
    <w:qFormat/>
    <w:uiPriority w:val="34"/>
    <w:pPr>
      <w:ind w:firstLine="420" w:firstLineChars="200"/>
    </w:pPr>
  </w:style>
  <w:style w:type="character" w:customStyle="1" w:styleId="17">
    <w:name w:val="纯文本 Char"/>
    <w:basedOn w:val="11"/>
    <w:link w:val="4"/>
    <w:qFormat/>
    <w:uiPriority w:val="99"/>
    <w:rPr>
      <w:rFonts w:ascii="宋体" w:hAnsi="Courier New" w:eastAsia="宋体" w:cs="Courier New"/>
      <w:szCs w:val="21"/>
    </w:rPr>
  </w:style>
  <w:style w:type="paragraph" w:customStyle="1" w:styleId="18">
    <w:name w:val="样式1 Char Char"/>
    <w:basedOn w:val="1"/>
    <w:next w:val="4"/>
    <w:qFormat/>
    <w:uiPriority w:val="0"/>
    <w:pPr>
      <w:spacing w:line="360" w:lineRule="auto"/>
      <w:ind w:firstLine="516" w:firstLineChars="215"/>
    </w:pPr>
    <w:rPr>
      <w:sz w:val="24"/>
    </w:rPr>
  </w:style>
  <w:style w:type="character" w:customStyle="1" w:styleId="19">
    <w:name w:val="批注框文本 Char"/>
    <w:basedOn w:val="11"/>
    <w:link w:val="5"/>
    <w:semiHidden/>
    <w:qFormat/>
    <w:uiPriority w:val="99"/>
    <w:rPr>
      <w:rFonts w:ascii="Times New Roman" w:hAnsi="Times New Roman" w:eastAsia="宋体" w:cs="Times New Roman"/>
      <w:kern w:val="2"/>
      <w:sz w:val="18"/>
      <w:szCs w:val="18"/>
    </w:rPr>
  </w:style>
  <w:style w:type="character" w:customStyle="1" w:styleId="20">
    <w:name w:val="批注文字 Char"/>
    <w:basedOn w:val="11"/>
    <w:link w:val="2"/>
    <w:semiHidden/>
    <w:qFormat/>
    <w:uiPriority w:val="99"/>
    <w:rPr>
      <w:rFonts w:ascii="Times New Roman" w:hAnsi="Times New Roman" w:eastAsia="宋体" w:cs="Times New Roman"/>
      <w:kern w:val="2"/>
      <w:sz w:val="21"/>
      <w:szCs w:val="24"/>
    </w:rPr>
  </w:style>
  <w:style w:type="character" w:customStyle="1" w:styleId="21">
    <w:name w:val="批注主题 Char"/>
    <w:basedOn w:val="20"/>
    <w:link w:val="8"/>
    <w:semiHidden/>
    <w:qFormat/>
    <w:uiPriority w:val="99"/>
    <w:rPr>
      <w:rFonts w:ascii="Times New Roman" w:hAnsi="Times New Roman" w:eastAsia="宋体" w:cs="Times New Roman"/>
      <w:b/>
      <w:bCs/>
      <w:kern w:val="2"/>
      <w:sz w:val="21"/>
      <w:szCs w:val="24"/>
    </w:rPr>
  </w:style>
  <w:style w:type="character" w:customStyle="1" w:styleId="22">
    <w:name w:val="正文文本 Char"/>
    <w:basedOn w:val="11"/>
    <w:link w:val="3"/>
    <w:qFormat/>
    <w:uiPriority w:val="0"/>
    <w:rPr>
      <w:rFonts w:ascii="宋体" w:hAnsi="Times New Roman" w:eastAsia="宋体" w:cs="Times New Roman"/>
      <w:bCs/>
      <w:kern w:val="2"/>
      <w:sz w:val="28"/>
      <w:szCs w:val="24"/>
    </w:rPr>
  </w:style>
  <w:style w:type="paragraph" w:customStyle="1" w:styleId="23">
    <w:name w:val="正文 A"/>
    <w:qFormat/>
    <w:uiPriority w:val="0"/>
    <w:pPr>
      <w:framePr w:wrap="around" w:vAnchor="margin" w:hAnchor="text" w:y="1"/>
      <w:widowControl w:val="0"/>
    </w:pPr>
    <w:rPr>
      <w:rFonts w:ascii="Microsoft JhengHei UI Light" w:hAnsi="Microsoft JhengHei UI Light" w:eastAsia="Microsoft JhengHei UI Light" w:cs="Microsoft JhengHei UI Light"/>
      <w:color w:val="000000"/>
      <w:sz w:val="22"/>
      <w:szCs w:val="22"/>
      <w:u w:color="000000"/>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5</Pages>
  <Words>4688</Words>
  <Characters>4830</Characters>
  <Lines>90</Lines>
  <Paragraphs>25</Paragraphs>
  <TotalTime>2</TotalTime>
  <ScaleCrop>false</ScaleCrop>
  <LinksUpToDate>false</LinksUpToDate>
  <CharactersWithSpaces>4998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2021-12-24T15:27:00Z</dcterms:created>
  <dc:creator>陈蕾</dc:creator>
  <cp:lastModifiedBy>招采办</cp:lastModifiedBy>
  <dcterms:modified xsi:type="dcterms:W3CDTF">2026-06-18T09:43:41Z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EBA049E2172C479DA3BF853869797EEA_13</vt:lpwstr>
  </property>
  <property fmtid="{D5CDD505-2E9C-101B-9397-08002B2CF9AE}" pid="4" name="KSOTemplateDocerSaveRecord">
    <vt:lpwstr>eyJoZGlkIjoiMTYzOTc0ZjU0NThhNjU0Y2ExMTNjNmE4Yzc0YjA3ZTAiLCJ1c2VySWQiOiIxMjM0Njk1MzQ0In0=</vt:lpwstr>
  </property>
</Properties>
</file>