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06329">
      <w:pPr>
        <w:spacing w:line="560" w:lineRule="exact"/>
        <w:jc w:val="center"/>
        <w:rPr>
          <w:rFonts w:asciiTheme="majorEastAsia" w:hAnsiTheme="majorEastAsia" w:eastAsiaTheme="majorEastAsia"/>
          <w:b/>
        </w:rPr>
      </w:pPr>
      <w:r>
        <w:rPr>
          <w:rFonts w:hint="eastAsia" w:asciiTheme="majorEastAsia" w:hAnsiTheme="majorEastAsia" w:eastAsiaTheme="majorEastAsia"/>
          <w:b/>
          <w:sz w:val="44"/>
          <w:szCs w:val="44"/>
        </w:rPr>
        <w:t>中山大学附属第八医院（深圳福田）货物类</w:t>
      </w:r>
    </w:p>
    <w:p w14:paraId="4A5C6C96">
      <w:pPr>
        <w:spacing w:line="640" w:lineRule="exact"/>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采购需求书（紧急）</w:t>
      </w:r>
    </w:p>
    <w:p w14:paraId="0868F710">
      <w:pPr>
        <w:spacing w:line="540" w:lineRule="exact"/>
        <w:ind w:firstLine="240" w:firstLineChars="100"/>
        <w:rPr>
          <w:rFonts w:cs="方正小标宋简体" w:asciiTheme="majorEastAsia" w:hAnsiTheme="majorEastAsia" w:eastAsiaTheme="majorEastAsia"/>
          <w:sz w:val="36"/>
          <w:szCs w:val="36"/>
        </w:rPr>
      </w:pPr>
      <w:r>
        <w:rPr>
          <w:rFonts w:hint="eastAsia" w:cs="宋体" w:asciiTheme="majorEastAsia" w:hAnsiTheme="majorEastAsia" w:eastAsiaTheme="majorEastAsia"/>
          <w:sz w:val="24"/>
        </w:rPr>
        <w:t>说明：“★”号条款为实质性条款，必须完全满足，不满足则不予采购</w:t>
      </w:r>
    </w:p>
    <w:p w14:paraId="79248810">
      <w:pPr>
        <w:spacing w:line="540" w:lineRule="exact"/>
        <w:ind w:firstLine="361" w:firstLineChars="1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第一部分 项目基本要求</w:t>
      </w:r>
    </w:p>
    <w:p w14:paraId="2B78041F">
      <w:pPr>
        <w:spacing w:before="100" w:beforeAutospacing="1" w:line="276" w:lineRule="auto"/>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 xml:space="preserve"> 一、项目基本信息</w:t>
      </w:r>
    </w:p>
    <w:p w14:paraId="618A02F9">
      <w:pPr>
        <w:spacing w:before="100" w:beforeAutospacing="1" w:line="276" w:lineRule="auto"/>
        <w:ind w:firstLine="482" w:firstLineChars="200"/>
        <w:rPr>
          <w:rFonts w:hint="default" w:cs="方正小标宋简体" w:asciiTheme="majorEastAsia" w:hAnsiTheme="majorEastAsia" w:eastAsiaTheme="majorEastAsia"/>
          <w:sz w:val="24"/>
          <w:shd w:val="clear" w:color="auto" w:fill="FFFFFF"/>
          <w:lang w:val="en-US" w:eastAsia="zh-CN"/>
        </w:rPr>
      </w:pPr>
      <w:r>
        <w:rPr>
          <w:rFonts w:hint="eastAsia" w:asciiTheme="majorEastAsia" w:hAnsiTheme="majorEastAsia" w:eastAsiaTheme="majorEastAsia"/>
          <w:b/>
          <w:color w:val="000000"/>
          <w:sz w:val="24"/>
          <w:szCs w:val="21"/>
        </w:rPr>
        <w:t xml:space="preserve">申请科室： 临床心理科       </w:t>
      </w:r>
      <w:r>
        <w:rPr>
          <w:rFonts w:hint="eastAsia" w:cs="宋体" w:asciiTheme="majorEastAsia" w:hAnsiTheme="majorEastAsia" w:eastAsiaTheme="majorEastAsia"/>
          <w:b/>
          <w:color w:val="000000"/>
          <w:sz w:val="24"/>
          <w:szCs w:val="21"/>
        </w:rPr>
        <w:t>负责人姓名</w:t>
      </w:r>
      <w:r>
        <w:rPr>
          <w:rFonts w:hint="eastAsia" w:cs="宋体" w:asciiTheme="majorEastAsia" w:hAnsiTheme="majorEastAsia" w:eastAsiaTheme="majorEastAsia"/>
          <w:b/>
          <w:color w:val="000000"/>
          <w:sz w:val="24"/>
          <w:szCs w:val="21"/>
          <w:lang w:eastAsia="zh-CN"/>
        </w:rPr>
        <w:t>：</w:t>
      </w:r>
      <w:r>
        <w:rPr>
          <w:rFonts w:hint="eastAsia" w:asciiTheme="majorEastAsia" w:hAnsiTheme="majorEastAsia" w:eastAsiaTheme="majorEastAsia"/>
          <w:b/>
          <w:color w:val="000000"/>
          <w:sz w:val="24"/>
          <w:szCs w:val="21"/>
        </w:rPr>
        <w:t xml:space="preserve">      </w:t>
      </w:r>
      <w:r>
        <w:rPr>
          <w:rFonts w:hint="eastAsia" w:cs="宋体" w:asciiTheme="majorEastAsia" w:hAnsiTheme="majorEastAsia" w:eastAsiaTheme="majorEastAsia"/>
          <w:b/>
          <w:color w:val="000000"/>
          <w:sz w:val="24"/>
          <w:szCs w:val="21"/>
        </w:rPr>
        <w:t>负责人电话：</w:t>
      </w:r>
    </w:p>
    <w:tbl>
      <w:tblPr>
        <w:tblStyle w:val="9"/>
        <w:tblW w:w="10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3"/>
        <w:gridCol w:w="942"/>
        <w:gridCol w:w="850"/>
        <w:gridCol w:w="1276"/>
        <w:gridCol w:w="1134"/>
        <w:gridCol w:w="1276"/>
        <w:gridCol w:w="1275"/>
        <w:gridCol w:w="1560"/>
      </w:tblGrid>
      <w:tr w14:paraId="67ED8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6E193C68">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申请设备名称</w:t>
            </w:r>
          </w:p>
        </w:tc>
        <w:tc>
          <w:tcPr>
            <w:tcW w:w="850" w:type="dxa"/>
            <w:vAlign w:val="center"/>
          </w:tcPr>
          <w:p w14:paraId="62AD06D1">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进口/国产</w:t>
            </w:r>
          </w:p>
        </w:tc>
        <w:tc>
          <w:tcPr>
            <w:tcW w:w="1276" w:type="dxa"/>
            <w:vAlign w:val="center"/>
          </w:tcPr>
          <w:p w14:paraId="72566127">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数量</w:t>
            </w:r>
          </w:p>
        </w:tc>
        <w:tc>
          <w:tcPr>
            <w:tcW w:w="1134" w:type="dxa"/>
            <w:vAlign w:val="center"/>
          </w:tcPr>
          <w:p w14:paraId="668C19B9">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单位</w:t>
            </w:r>
          </w:p>
        </w:tc>
        <w:tc>
          <w:tcPr>
            <w:tcW w:w="1276" w:type="dxa"/>
            <w:vAlign w:val="center"/>
          </w:tcPr>
          <w:p w14:paraId="2F2786C0">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预算单价（万元）</w:t>
            </w:r>
          </w:p>
        </w:tc>
        <w:tc>
          <w:tcPr>
            <w:tcW w:w="1275" w:type="dxa"/>
            <w:vAlign w:val="center"/>
          </w:tcPr>
          <w:p w14:paraId="27300497">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预算总价（万元）</w:t>
            </w:r>
          </w:p>
        </w:tc>
        <w:tc>
          <w:tcPr>
            <w:tcW w:w="1560" w:type="dxa"/>
          </w:tcPr>
          <w:p w14:paraId="03BEFC48">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是否需要注册证/备案证</w:t>
            </w:r>
          </w:p>
        </w:tc>
      </w:tr>
      <w:tr w14:paraId="0E2B6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795" w:type="dxa"/>
            <w:gridSpan w:val="2"/>
            <w:vAlign w:val="center"/>
          </w:tcPr>
          <w:p w14:paraId="2C27A167">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经颅直流电刺激仪</w:t>
            </w:r>
          </w:p>
        </w:tc>
        <w:tc>
          <w:tcPr>
            <w:tcW w:w="850" w:type="dxa"/>
            <w:vAlign w:val="center"/>
          </w:tcPr>
          <w:p w14:paraId="47DB14C2">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国产</w:t>
            </w:r>
          </w:p>
        </w:tc>
        <w:tc>
          <w:tcPr>
            <w:tcW w:w="1276" w:type="dxa"/>
            <w:vAlign w:val="center"/>
          </w:tcPr>
          <w:p w14:paraId="008D5989">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1</w:t>
            </w:r>
          </w:p>
        </w:tc>
        <w:tc>
          <w:tcPr>
            <w:tcW w:w="1134" w:type="dxa"/>
            <w:vAlign w:val="center"/>
          </w:tcPr>
          <w:p w14:paraId="38A5959E">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台</w:t>
            </w:r>
          </w:p>
        </w:tc>
        <w:tc>
          <w:tcPr>
            <w:tcW w:w="1276" w:type="dxa"/>
            <w:vAlign w:val="center"/>
          </w:tcPr>
          <w:p w14:paraId="73FDCDED">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20</w:t>
            </w:r>
          </w:p>
        </w:tc>
        <w:tc>
          <w:tcPr>
            <w:tcW w:w="1275" w:type="dxa"/>
            <w:vAlign w:val="center"/>
          </w:tcPr>
          <w:p w14:paraId="17C0C12F">
            <w:pPr>
              <w:spacing w:line="276" w:lineRule="auto"/>
              <w:jc w:val="center"/>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20</w:t>
            </w:r>
          </w:p>
        </w:tc>
        <w:tc>
          <w:tcPr>
            <w:tcW w:w="1560" w:type="dxa"/>
          </w:tcPr>
          <w:p w14:paraId="51894D68">
            <w:pPr>
              <w:spacing w:line="276" w:lineRule="auto"/>
              <w:jc w:val="center"/>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是</w:t>
            </w:r>
          </w:p>
        </w:tc>
      </w:tr>
      <w:tr w14:paraId="7E01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853" w:type="dxa"/>
            <w:vAlign w:val="center"/>
          </w:tcPr>
          <w:p w14:paraId="72AC50C2">
            <w:pPr>
              <w:spacing w:line="276"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项目背景</w:t>
            </w:r>
          </w:p>
        </w:tc>
        <w:tc>
          <w:tcPr>
            <w:tcW w:w="8313" w:type="dxa"/>
            <w:gridSpan w:val="7"/>
            <w:vAlign w:val="center"/>
          </w:tcPr>
          <w:p w14:paraId="6062579B">
            <w:pPr>
              <w:spacing w:line="276" w:lineRule="auto"/>
              <w:rPr>
                <w:rFonts w:asciiTheme="majorEastAsia" w:hAnsiTheme="majorEastAsia" w:eastAsiaTheme="majorEastAsia"/>
                <w:b/>
                <w:sz w:val="24"/>
                <w:szCs w:val="21"/>
              </w:rPr>
            </w:pPr>
            <w:r>
              <w:rPr>
                <w:rFonts w:hint="eastAsia" w:ascii="宋体" w:hAnsi="宋体" w:cs="T3Font_1"/>
                <w:b w:val="0"/>
                <w:bCs/>
                <w:color w:val="auto"/>
                <w:kern w:val="0"/>
                <w:szCs w:val="21"/>
                <w:lang w:val="en-US" w:eastAsia="zh-CN"/>
              </w:rPr>
              <w:t>目前科室主要依靠药物、心理咨询开展诊疗，大量药物不耐受、青少年情绪障碍患者外流。经颅电刺激仪为心理疾病无创二类调控设备，已纳入本地医保收费目录。购入设备后可搭建“药物+心理干预+神经调控”一体化诊疗模式，依托现有人员即可开展诊疗，无需新增人力，每年可回笼外流患者资源，稳定科室营收；同时能降低精神药物不良反应引发的医患纠纷，减少轻症患者外转。提升心身疾病诊疗覆盖面，提升区域医疗服务口碑，设备门诊使用不占用床位，资源投入利用率极高。</w:t>
            </w:r>
          </w:p>
        </w:tc>
      </w:tr>
      <w:tr w14:paraId="7D6D1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657048FA">
            <w:pPr>
              <w:spacing w:line="276" w:lineRule="auto"/>
              <w:rPr>
                <w:rFonts w:cs="宋体" w:asciiTheme="majorEastAsia" w:hAnsiTheme="majorEastAsia" w:eastAsiaTheme="majorEastAsia"/>
                <w:b/>
                <w:sz w:val="24"/>
              </w:rPr>
            </w:pPr>
            <w:r>
              <w:rPr>
                <w:rFonts w:hint="eastAsia" w:cs="宋体" w:asciiTheme="majorEastAsia" w:hAnsiTheme="majorEastAsia" w:eastAsiaTheme="majorEastAsia"/>
                <w:b/>
                <w:sz w:val="24"/>
              </w:rPr>
              <w:t>★</w:t>
            </w:r>
            <w:r>
              <w:rPr>
                <w:rFonts w:hint="eastAsia" w:cs="宋体" w:asciiTheme="majorEastAsia" w:hAnsiTheme="majorEastAsia" w:eastAsiaTheme="majorEastAsia"/>
                <w:b/>
                <w:bCs/>
                <w:sz w:val="24"/>
              </w:rPr>
              <w:t>设备配置总清单（包括主机和各种配件或附件、试剂耗材及软件等，写明规格和数量）</w:t>
            </w:r>
          </w:p>
        </w:tc>
      </w:tr>
      <w:tr w14:paraId="7A39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0166" w:type="dxa"/>
            <w:gridSpan w:val="8"/>
            <w:vAlign w:val="center"/>
          </w:tcPr>
          <w:p w14:paraId="6B74EB2A">
            <w:pPr>
              <w:spacing w:line="276" w:lineRule="auto"/>
              <w:rPr>
                <w:rFonts w:hint="eastAsia" w:asciiTheme="majorEastAsia" w:hAnsiTheme="majorEastAsia" w:eastAsiaTheme="majorEastAsia"/>
                <w:b/>
                <w:sz w:val="24"/>
                <w:szCs w:val="21"/>
                <w:highlight w:val="yellow"/>
              </w:rPr>
            </w:pPr>
            <w:r>
              <w:rPr>
                <w:rFonts w:hint="eastAsia" w:asciiTheme="majorEastAsia" w:hAnsiTheme="majorEastAsia" w:eastAsiaTheme="majorEastAsia"/>
                <w:b/>
                <w:sz w:val="24"/>
                <w:szCs w:val="21"/>
                <w:highlight w:val="yellow"/>
              </w:rPr>
              <w:t>以议价/招标现场专家组确定的供应商提供的具体配置为准</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4808"/>
              <w:gridCol w:w="992"/>
              <w:gridCol w:w="893"/>
            </w:tblGrid>
            <w:tr w14:paraId="5EE9F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38FAE87">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序号</w:t>
                  </w:r>
                </w:p>
              </w:tc>
              <w:tc>
                <w:tcPr>
                  <w:tcW w:w="4808" w:type="dxa"/>
                  <w:vAlign w:val="center"/>
                </w:tcPr>
                <w:p w14:paraId="228E9BA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名称</w:t>
                  </w:r>
                </w:p>
              </w:tc>
              <w:tc>
                <w:tcPr>
                  <w:tcW w:w="992" w:type="dxa"/>
                  <w:vAlign w:val="center"/>
                </w:tcPr>
                <w:p w14:paraId="755E4CD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单位</w:t>
                  </w:r>
                </w:p>
              </w:tc>
              <w:tc>
                <w:tcPr>
                  <w:tcW w:w="893" w:type="dxa"/>
                  <w:vAlign w:val="center"/>
                </w:tcPr>
                <w:p w14:paraId="2B3EBDEC">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数量</w:t>
                  </w:r>
                </w:p>
              </w:tc>
            </w:tr>
            <w:tr w14:paraId="4D45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5EF681E">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c>
                <w:tcPr>
                  <w:tcW w:w="4808" w:type="dxa"/>
                  <w:vAlign w:val="center"/>
                </w:tcPr>
                <w:p w14:paraId="17C6F9CD">
                  <w:pPr>
                    <w:spacing w:line="260" w:lineRule="exact"/>
                    <w:jc w:val="center"/>
                    <w:rPr>
                      <w:rFonts w:hint="eastAsia" w:ascii="Times New Roman" w:hAnsi="Times New Roman" w:eastAsia="宋体" w:cs="Times New Roman"/>
                      <w:kern w:val="0"/>
                      <w:sz w:val="22"/>
                      <w:szCs w:val="22"/>
                      <w:lang w:val="en-US" w:eastAsia="zh-CN"/>
                    </w:rPr>
                  </w:pPr>
                  <w:r>
                    <w:rPr>
                      <w:rFonts w:hint="eastAsia" w:asciiTheme="majorEastAsia" w:hAnsiTheme="majorEastAsia" w:eastAsiaTheme="majorEastAsia"/>
                      <w:b w:val="0"/>
                      <w:bCs/>
                      <w:sz w:val="24"/>
                      <w:szCs w:val="21"/>
                      <w:highlight w:val="none"/>
                      <w:lang w:val="en-US" w:eastAsia="zh-CN"/>
                    </w:rPr>
                    <w:t>主机</w:t>
                  </w:r>
                </w:p>
              </w:tc>
              <w:tc>
                <w:tcPr>
                  <w:tcW w:w="992" w:type="dxa"/>
                  <w:vAlign w:val="center"/>
                </w:tcPr>
                <w:p w14:paraId="0614A114">
                  <w:pPr>
                    <w:spacing w:line="26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台</w:t>
                  </w:r>
                </w:p>
              </w:tc>
              <w:tc>
                <w:tcPr>
                  <w:tcW w:w="893" w:type="dxa"/>
                  <w:vAlign w:val="center"/>
                </w:tcPr>
                <w:p w14:paraId="426E4D23">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1</w:t>
                  </w:r>
                </w:p>
              </w:tc>
            </w:tr>
            <w:tr w14:paraId="33A1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36A363B">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2</w:t>
                  </w:r>
                </w:p>
              </w:tc>
              <w:tc>
                <w:tcPr>
                  <w:tcW w:w="4808" w:type="dxa"/>
                  <w:vAlign w:val="center"/>
                </w:tcPr>
                <w:p w14:paraId="576A3F37">
                  <w:pPr>
                    <w:spacing w:line="260" w:lineRule="exact"/>
                    <w:jc w:val="center"/>
                    <w:rPr>
                      <w:rFonts w:hint="eastAsia" w:ascii="Times New Roman" w:hAnsi="Times New Roman" w:eastAsia="宋体" w:cs="Times New Roman"/>
                      <w:kern w:val="0"/>
                      <w:sz w:val="22"/>
                      <w:szCs w:val="22"/>
                      <w:lang w:eastAsia="zh-CN"/>
                    </w:rPr>
                  </w:pPr>
                  <w:r>
                    <w:rPr>
                      <w:rFonts w:hint="eastAsia" w:asciiTheme="majorEastAsia" w:hAnsiTheme="majorEastAsia" w:eastAsiaTheme="majorEastAsia"/>
                      <w:b w:val="0"/>
                      <w:bCs/>
                      <w:sz w:val="24"/>
                      <w:szCs w:val="21"/>
                      <w:highlight w:val="none"/>
                      <w:lang w:val="en-US" w:eastAsia="zh-CN"/>
                    </w:rPr>
                    <w:t>电源线</w:t>
                  </w:r>
                </w:p>
              </w:tc>
              <w:tc>
                <w:tcPr>
                  <w:tcW w:w="992" w:type="dxa"/>
                  <w:vAlign w:val="center"/>
                </w:tcPr>
                <w:p w14:paraId="46A1CEA0">
                  <w:pPr>
                    <w:spacing w:line="26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条</w:t>
                  </w:r>
                </w:p>
              </w:tc>
              <w:tc>
                <w:tcPr>
                  <w:tcW w:w="893" w:type="dxa"/>
                  <w:vAlign w:val="center"/>
                </w:tcPr>
                <w:p w14:paraId="3A09EB90">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w:t>
                  </w:r>
                </w:p>
              </w:tc>
            </w:tr>
            <w:tr w14:paraId="29673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1D8C1203">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3</w:t>
                  </w:r>
                </w:p>
              </w:tc>
              <w:tc>
                <w:tcPr>
                  <w:tcW w:w="4808" w:type="dxa"/>
                  <w:vAlign w:val="center"/>
                </w:tcPr>
                <w:p w14:paraId="257276DB">
                  <w:pPr>
                    <w:spacing w:line="260" w:lineRule="exact"/>
                    <w:jc w:val="center"/>
                    <w:rPr>
                      <w:rFonts w:hint="default" w:ascii="Times New Roman" w:hAnsi="Times New Roman" w:eastAsia="宋体" w:cs="Times New Roman"/>
                      <w:kern w:val="0"/>
                      <w:sz w:val="22"/>
                      <w:szCs w:val="22"/>
                    </w:rPr>
                  </w:pPr>
                  <w:r>
                    <w:rPr>
                      <w:rFonts w:hint="eastAsia" w:asciiTheme="majorEastAsia" w:hAnsiTheme="majorEastAsia" w:eastAsiaTheme="majorEastAsia"/>
                      <w:b w:val="0"/>
                      <w:bCs/>
                      <w:sz w:val="24"/>
                      <w:szCs w:val="21"/>
                      <w:highlight w:val="none"/>
                      <w:lang w:val="en-US" w:eastAsia="zh-CN"/>
                    </w:rPr>
                    <w:t>电极线（易耗品）</w:t>
                  </w:r>
                </w:p>
              </w:tc>
              <w:tc>
                <w:tcPr>
                  <w:tcW w:w="992" w:type="dxa"/>
                  <w:vAlign w:val="center"/>
                </w:tcPr>
                <w:p w14:paraId="763C441C">
                  <w:pPr>
                    <w:spacing w:line="26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条</w:t>
                  </w:r>
                </w:p>
              </w:tc>
              <w:tc>
                <w:tcPr>
                  <w:tcW w:w="893" w:type="dxa"/>
                  <w:vAlign w:val="center"/>
                </w:tcPr>
                <w:p w14:paraId="0A5CA02B">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w:t>
                  </w:r>
                </w:p>
              </w:tc>
            </w:tr>
            <w:tr w14:paraId="689D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522F8B4D">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4</w:t>
                  </w:r>
                </w:p>
              </w:tc>
              <w:tc>
                <w:tcPr>
                  <w:tcW w:w="4808" w:type="dxa"/>
                  <w:vAlign w:val="center"/>
                </w:tcPr>
                <w:p w14:paraId="5A0B7352">
                  <w:pPr>
                    <w:spacing w:line="260" w:lineRule="exact"/>
                    <w:jc w:val="center"/>
                    <w:rPr>
                      <w:rFonts w:hint="default" w:ascii="Times New Roman" w:hAnsi="Times New Roman" w:eastAsia="宋体" w:cs="Times New Roman"/>
                      <w:kern w:val="0"/>
                      <w:sz w:val="22"/>
                      <w:szCs w:val="22"/>
                    </w:rPr>
                  </w:pPr>
                  <w:r>
                    <w:rPr>
                      <w:rFonts w:hint="eastAsia" w:asciiTheme="majorEastAsia" w:hAnsiTheme="majorEastAsia" w:eastAsiaTheme="majorEastAsia"/>
                      <w:b w:val="0"/>
                      <w:bCs/>
                      <w:sz w:val="24"/>
                      <w:szCs w:val="21"/>
                      <w:highlight w:val="none"/>
                      <w:lang w:val="en-US" w:eastAsia="zh-CN"/>
                    </w:rPr>
                    <w:t>耳夹电极（易耗品）</w:t>
                  </w:r>
                </w:p>
              </w:tc>
              <w:tc>
                <w:tcPr>
                  <w:tcW w:w="992" w:type="dxa"/>
                  <w:vAlign w:val="center"/>
                </w:tcPr>
                <w:p w14:paraId="31617C5F">
                  <w:pPr>
                    <w:spacing w:line="26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对</w:t>
                  </w:r>
                </w:p>
              </w:tc>
              <w:tc>
                <w:tcPr>
                  <w:tcW w:w="893" w:type="dxa"/>
                  <w:vAlign w:val="center"/>
                </w:tcPr>
                <w:p w14:paraId="03098366">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6</w:t>
                  </w:r>
                </w:p>
              </w:tc>
            </w:tr>
            <w:tr w14:paraId="35AF3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38D58AD6">
                  <w:pPr>
                    <w:spacing w:line="260" w:lineRule="exact"/>
                    <w:jc w:val="center"/>
                    <w:rPr>
                      <w:rFonts w:hint="eastAsia" w:ascii="Times New Roman" w:hAnsi="Times New Roman" w:eastAsia="宋体" w:cs="Times New Roman"/>
                      <w:sz w:val="22"/>
                      <w:szCs w:val="22"/>
                      <w:lang w:val="en-US" w:eastAsia="zh-CN"/>
                    </w:rPr>
                  </w:pPr>
                  <w:r>
                    <w:rPr>
                      <w:rFonts w:hint="eastAsia" w:cs="Times New Roman"/>
                      <w:sz w:val="22"/>
                      <w:szCs w:val="22"/>
                      <w:lang w:val="en-US" w:eastAsia="zh-CN"/>
                    </w:rPr>
                    <w:t>5</w:t>
                  </w:r>
                </w:p>
              </w:tc>
              <w:tc>
                <w:tcPr>
                  <w:tcW w:w="4808" w:type="dxa"/>
                  <w:vAlign w:val="center"/>
                </w:tcPr>
                <w:p w14:paraId="307479D4">
                  <w:pPr>
                    <w:tabs>
                      <w:tab w:val="left" w:pos="1184"/>
                    </w:tabs>
                    <w:spacing w:line="260" w:lineRule="exact"/>
                    <w:jc w:val="center"/>
                    <w:rPr>
                      <w:rFonts w:hint="default" w:ascii="Times New Roman" w:hAnsi="Times New Roman" w:eastAsia="宋体" w:cs="Times New Roman"/>
                      <w:kern w:val="0"/>
                      <w:sz w:val="22"/>
                      <w:szCs w:val="22"/>
                      <w:lang w:val="en-US" w:eastAsia="zh-CN"/>
                    </w:rPr>
                  </w:pPr>
                  <w:r>
                    <w:rPr>
                      <w:rFonts w:hint="eastAsia" w:asciiTheme="majorEastAsia" w:hAnsiTheme="majorEastAsia" w:eastAsiaTheme="majorEastAsia"/>
                      <w:b w:val="0"/>
                      <w:bCs/>
                      <w:sz w:val="24"/>
                      <w:szCs w:val="21"/>
                      <w:highlight w:val="none"/>
                      <w:lang w:val="en-US" w:eastAsia="zh-CN"/>
                    </w:rPr>
                    <w:t>垫圈（易耗品）</w:t>
                  </w:r>
                </w:p>
              </w:tc>
              <w:tc>
                <w:tcPr>
                  <w:tcW w:w="992" w:type="dxa"/>
                  <w:shd w:val="clear" w:color="auto" w:fill="auto"/>
                  <w:vAlign w:val="center"/>
                </w:tcPr>
                <w:p w14:paraId="6A9F09B6">
                  <w:pPr>
                    <w:spacing w:line="26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包</w:t>
                  </w:r>
                </w:p>
              </w:tc>
              <w:tc>
                <w:tcPr>
                  <w:tcW w:w="893" w:type="dxa"/>
                  <w:shd w:val="clear" w:color="auto" w:fill="auto"/>
                  <w:vAlign w:val="center"/>
                </w:tcPr>
                <w:p w14:paraId="0A7ABB6A">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6</w:t>
                  </w:r>
                </w:p>
              </w:tc>
            </w:tr>
            <w:tr w14:paraId="0F491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28625778">
                  <w:pPr>
                    <w:spacing w:line="260" w:lineRule="exact"/>
                    <w:jc w:val="center"/>
                    <w:rPr>
                      <w:rFonts w:hint="eastAsia" w:ascii="Times New Roman" w:hAnsi="Times New Roman" w:eastAsia="宋体" w:cs="Times New Roman"/>
                      <w:sz w:val="22"/>
                      <w:szCs w:val="22"/>
                      <w:lang w:val="en-US" w:eastAsia="zh-CN"/>
                    </w:rPr>
                  </w:pPr>
                  <w:r>
                    <w:rPr>
                      <w:rFonts w:hint="eastAsia" w:cs="Times New Roman"/>
                      <w:sz w:val="22"/>
                      <w:szCs w:val="22"/>
                      <w:lang w:val="en-US" w:eastAsia="zh-CN"/>
                    </w:rPr>
                    <w:t>6</w:t>
                  </w:r>
                </w:p>
              </w:tc>
              <w:tc>
                <w:tcPr>
                  <w:tcW w:w="4808" w:type="dxa"/>
                  <w:vAlign w:val="center"/>
                </w:tcPr>
                <w:p w14:paraId="3354814B">
                  <w:pPr>
                    <w:tabs>
                      <w:tab w:val="left" w:pos="1184"/>
                    </w:tabs>
                    <w:spacing w:line="260" w:lineRule="exact"/>
                    <w:jc w:val="center"/>
                    <w:rPr>
                      <w:rFonts w:hint="default" w:cs="Times New Roman"/>
                      <w:kern w:val="0"/>
                      <w:sz w:val="22"/>
                      <w:szCs w:val="22"/>
                      <w:lang w:val="en-US" w:eastAsia="zh-CN"/>
                    </w:rPr>
                  </w:pPr>
                  <w:r>
                    <w:rPr>
                      <w:rFonts w:hint="eastAsia" w:asciiTheme="majorEastAsia" w:hAnsiTheme="majorEastAsia" w:eastAsiaTheme="majorEastAsia"/>
                      <w:b w:val="0"/>
                      <w:bCs/>
                      <w:sz w:val="24"/>
                      <w:szCs w:val="21"/>
                      <w:highlight w:val="none"/>
                      <w:lang w:val="en-US" w:eastAsia="zh-CN"/>
                    </w:rPr>
                    <w:t>矩形理疗电极片（易耗品）</w:t>
                  </w:r>
                </w:p>
              </w:tc>
              <w:tc>
                <w:tcPr>
                  <w:tcW w:w="992" w:type="dxa"/>
                  <w:shd w:val="clear" w:color="auto" w:fill="auto"/>
                  <w:vAlign w:val="center"/>
                </w:tcPr>
                <w:p w14:paraId="143BA7E1">
                  <w:pPr>
                    <w:spacing w:line="26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对</w:t>
                  </w:r>
                </w:p>
              </w:tc>
              <w:tc>
                <w:tcPr>
                  <w:tcW w:w="893" w:type="dxa"/>
                  <w:shd w:val="clear" w:color="auto" w:fill="auto"/>
                  <w:vAlign w:val="center"/>
                </w:tcPr>
                <w:p w14:paraId="582FC416">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6</w:t>
                  </w:r>
                </w:p>
              </w:tc>
            </w:tr>
            <w:tr w14:paraId="7F12D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1C0443A2">
                  <w:pPr>
                    <w:spacing w:line="260" w:lineRule="exact"/>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7</w:t>
                  </w:r>
                </w:p>
              </w:tc>
              <w:tc>
                <w:tcPr>
                  <w:tcW w:w="4808" w:type="dxa"/>
                  <w:vAlign w:val="center"/>
                </w:tcPr>
                <w:p w14:paraId="5EC62B99">
                  <w:pPr>
                    <w:tabs>
                      <w:tab w:val="left" w:pos="1184"/>
                    </w:tabs>
                    <w:spacing w:line="260" w:lineRule="exact"/>
                    <w:jc w:val="center"/>
                    <w:rPr>
                      <w:rFonts w:hint="default" w:cs="Times New Roman"/>
                      <w:kern w:val="0"/>
                      <w:sz w:val="22"/>
                      <w:szCs w:val="22"/>
                      <w:lang w:val="en-US" w:eastAsia="zh-CN"/>
                    </w:rPr>
                  </w:pPr>
                  <w:r>
                    <w:rPr>
                      <w:rFonts w:hint="eastAsia" w:asciiTheme="majorEastAsia" w:hAnsiTheme="majorEastAsia" w:eastAsiaTheme="majorEastAsia"/>
                      <w:b w:val="0"/>
                      <w:bCs/>
                      <w:sz w:val="24"/>
                      <w:szCs w:val="21"/>
                      <w:highlight w:val="none"/>
                      <w:lang w:val="en-US" w:eastAsia="zh-CN"/>
                    </w:rPr>
                    <w:t>矩形海绵套（易耗品）</w:t>
                  </w:r>
                </w:p>
              </w:tc>
              <w:tc>
                <w:tcPr>
                  <w:tcW w:w="992" w:type="dxa"/>
                  <w:shd w:val="clear" w:color="auto" w:fill="auto"/>
                  <w:vAlign w:val="center"/>
                </w:tcPr>
                <w:p w14:paraId="02D0E278">
                  <w:pPr>
                    <w:spacing w:line="260" w:lineRule="exact"/>
                    <w:jc w:val="center"/>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对</w:t>
                  </w:r>
                </w:p>
              </w:tc>
              <w:tc>
                <w:tcPr>
                  <w:tcW w:w="893" w:type="dxa"/>
                  <w:shd w:val="clear" w:color="auto" w:fill="auto"/>
                  <w:vAlign w:val="center"/>
                </w:tcPr>
                <w:p w14:paraId="79294C4F">
                  <w:pPr>
                    <w:spacing w:line="260" w:lineRule="exact"/>
                    <w:jc w:val="center"/>
                    <w:rPr>
                      <w:rFonts w:hint="default" w:ascii="Times New Roman" w:hAnsi="Times New Roman" w:eastAsia="宋体" w:cs="Times New Roman"/>
                      <w:kern w:val="2"/>
                      <w:sz w:val="22"/>
                      <w:szCs w:val="22"/>
                      <w:lang w:val="en-US" w:eastAsia="zh-CN" w:bidi="ar-SA"/>
                    </w:rPr>
                  </w:pPr>
                  <w:r>
                    <w:rPr>
                      <w:rFonts w:hint="eastAsia" w:ascii="Times New Roman" w:hAnsi="Times New Roman" w:eastAsia="宋体" w:cs="Times New Roman"/>
                      <w:sz w:val="22"/>
                      <w:szCs w:val="22"/>
                      <w:lang w:val="en-US" w:eastAsia="zh-CN"/>
                    </w:rPr>
                    <w:t>30</w:t>
                  </w:r>
                </w:p>
              </w:tc>
            </w:tr>
            <w:tr w14:paraId="3CFFF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A0065E8">
                  <w:pPr>
                    <w:spacing w:line="260" w:lineRule="exact"/>
                    <w:jc w:val="center"/>
                    <w:rPr>
                      <w:rFonts w:hint="eastAsia" w:ascii="Times New Roman" w:hAnsi="Times New Roman" w:eastAsia="宋体" w:cs="Times New Roman"/>
                      <w:sz w:val="22"/>
                      <w:szCs w:val="22"/>
                      <w:lang w:eastAsia="zh-CN"/>
                    </w:rPr>
                  </w:pPr>
                  <w:r>
                    <w:rPr>
                      <w:rFonts w:hint="eastAsia" w:cs="Times New Roman"/>
                      <w:sz w:val="22"/>
                      <w:szCs w:val="22"/>
                      <w:lang w:val="en-US" w:eastAsia="zh-CN"/>
                    </w:rPr>
                    <w:t>8</w:t>
                  </w:r>
                </w:p>
              </w:tc>
              <w:tc>
                <w:tcPr>
                  <w:tcW w:w="4808" w:type="dxa"/>
                  <w:vAlign w:val="center"/>
                </w:tcPr>
                <w:p w14:paraId="0E2EA4FE">
                  <w:pPr>
                    <w:spacing w:line="260" w:lineRule="exact"/>
                    <w:jc w:val="center"/>
                    <w:rPr>
                      <w:rFonts w:hint="default" w:ascii="Times New Roman" w:hAnsi="Times New Roman" w:eastAsia="宋体" w:cs="Times New Roman"/>
                      <w:kern w:val="0"/>
                      <w:sz w:val="22"/>
                      <w:szCs w:val="22"/>
                    </w:rPr>
                  </w:pPr>
                  <w:r>
                    <w:rPr>
                      <w:rFonts w:hint="eastAsia" w:asciiTheme="majorEastAsia" w:hAnsiTheme="majorEastAsia" w:eastAsiaTheme="majorEastAsia"/>
                      <w:b w:val="0"/>
                      <w:bCs/>
                      <w:sz w:val="24"/>
                      <w:szCs w:val="21"/>
                      <w:highlight w:val="none"/>
                      <w:lang w:val="en-US" w:eastAsia="zh-CN"/>
                    </w:rPr>
                    <w:t>绑带</w:t>
                  </w:r>
                </w:p>
              </w:tc>
              <w:tc>
                <w:tcPr>
                  <w:tcW w:w="992" w:type="dxa"/>
                  <w:vAlign w:val="center"/>
                </w:tcPr>
                <w:p w14:paraId="361C7212">
                  <w:pPr>
                    <w:spacing w:line="260" w:lineRule="exact"/>
                    <w:jc w:val="center"/>
                    <w:rPr>
                      <w:rFonts w:hint="eastAsia" w:ascii="Times New Roman" w:hAnsi="Times New Roman" w:eastAsia="宋体" w:cs="Times New Roman"/>
                      <w:sz w:val="22"/>
                      <w:szCs w:val="22"/>
                      <w:lang w:eastAsia="zh-CN"/>
                    </w:rPr>
                  </w:pPr>
                  <w:r>
                    <w:rPr>
                      <w:rFonts w:hint="eastAsia" w:ascii="Times New Roman" w:hAnsi="Times New Roman" w:eastAsia="宋体" w:cs="Times New Roman"/>
                      <w:sz w:val="22"/>
                      <w:szCs w:val="22"/>
                      <w:lang w:val="en-US" w:eastAsia="zh-CN"/>
                    </w:rPr>
                    <w:t>套</w:t>
                  </w:r>
                </w:p>
              </w:tc>
              <w:tc>
                <w:tcPr>
                  <w:tcW w:w="893" w:type="dxa"/>
                  <w:vAlign w:val="center"/>
                </w:tcPr>
                <w:p w14:paraId="3F6E17AB">
                  <w:pPr>
                    <w:spacing w:line="260" w:lineRule="exact"/>
                    <w:jc w:val="center"/>
                    <w:rPr>
                      <w:rFonts w:hint="default" w:ascii="Times New Roman" w:hAnsi="Times New Roman" w:eastAsia="宋体" w:cs="Times New Roman"/>
                      <w:sz w:val="22"/>
                      <w:szCs w:val="22"/>
                    </w:rPr>
                  </w:pPr>
                  <w:r>
                    <w:rPr>
                      <w:rFonts w:hint="eastAsia" w:asciiTheme="majorEastAsia" w:hAnsiTheme="majorEastAsia" w:eastAsiaTheme="majorEastAsia"/>
                      <w:b w:val="0"/>
                      <w:bCs/>
                      <w:sz w:val="24"/>
                      <w:szCs w:val="21"/>
                      <w:highlight w:val="none"/>
                      <w:lang w:val="en-US" w:eastAsia="zh-CN"/>
                    </w:rPr>
                    <w:t>6</w:t>
                  </w:r>
                </w:p>
              </w:tc>
            </w:tr>
            <w:tr w14:paraId="05EA1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77CBF98C">
                  <w:pPr>
                    <w:spacing w:line="260" w:lineRule="exact"/>
                    <w:jc w:val="center"/>
                    <w:rPr>
                      <w:rFonts w:hint="default" w:ascii="Times New Roman" w:hAnsi="Times New Roman" w:eastAsia="宋体" w:cs="Times New Roman"/>
                      <w:sz w:val="22"/>
                      <w:szCs w:val="22"/>
                      <w:lang w:val="en-US" w:eastAsia="zh-CN"/>
                    </w:rPr>
                  </w:pPr>
                  <w:r>
                    <w:rPr>
                      <w:rFonts w:hint="eastAsia" w:cs="Times New Roman"/>
                      <w:sz w:val="22"/>
                      <w:szCs w:val="22"/>
                      <w:lang w:val="en-US" w:eastAsia="zh-CN"/>
                    </w:rPr>
                    <w:t>9</w:t>
                  </w:r>
                </w:p>
              </w:tc>
              <w:tc>
                <w:tcPr>
                  <w:tcW w:w="4808" w:type="dxa"/>
                  <w:vAlign w:val="center"/>
                </w:tcPr>
                <w:p w14:paraId="4A795341">
                  <w:pPr>
                    <w:spacing w:line="260" w:lineRule="exact"/>
                    <w:jc w:val="center"/>
                    <w:rPr>
                      <w:rFonts w:hint="default" w:ascii="Times New Roman" w:hAnsi="Times New Roman" w:eastAsia="宋体" w:cs="Times New Roman"/>
                      <w:kern w:val="0"/>
                      <w:sz w:val="22"/>
                      <w:szCs w:val="22"/>
                    </w:rPr>
                  </w:pPr>
                  <w:r>
                    <w:rPr>
                      <w:rFonts w:hint="eastAsia" w:asciiTheme="majorEastAsia" w:hAnsiTheme="majorEastAsia" w:eastAsiaTheme="majorEastAsia"/>
                      <w:b w:val="0"/>
                      <w:bCs/>
                      <w:sz w:val="24"/>
                      <w:szCs w:val="21"/>
                      <w:highlight w:val="none"/>
                      <w:lang w:val="en-US" w:eastAsia="zh-CN"/>
                    </w:rPr>
                    <w:t>推车</w:t>
                  </w:r>
                </w:p>
              </w:tc>
              <w:tc>
                <w:tcPr>
                  <w:tcW w:w="992" w:type="dxa"/>
                  <w:vAlign w:val="center"/>
                </w:tcPr>
                <w:p w14:paraId="72326602">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台</w:t>
                  </w:r>
                </w:p>
              </w:tc>
              <w:tc>
                <w:tcPr>
                  <w:tcW w:w="893" w:type="dxa"/>
                  <w:vAlign w:val="center"/>
                </w:tcPr>
                <w:p w14:paraId="64FD45C1">
                  <w:pPr>
                    <w:spacing w:line="260" w:lineRule="exact"/>
                    <w:jc w:val="center"/>
                    <w:rPr>
                      <w:rFonts w:hint="default" w:ascii="Times New Roman" w:hAnsi="Times New Roman" w:eastAsia="宋体" w:cs="Times New Roman"/>
                      <w:sz w:val="22"/>
                      <w:szCs w:val="22"/>
                    </w:rPr>
                  </w:pPr>
                  <w:r>
                    <w:rPr>
                      <w:rFonts w:hint="eastAsia" w:asciiTheme="majorEastAsia" w:hAnsiTheme="majorEastAsia" w:eastAsiaTheme="majorEastAsia"/>
                      <w:b w:val="0"/>
                      <w:bCs/>
                      <w:sz w:val="24"/>
                      <w:szCs w:val="21"/>
                      <w:highlight w:val="none"/>
                      <w:lang w:val="en-US" w:eastAsia="zh-CN"/>
                    </w:rPr>
                    <w:t>1</w:t>
                  </w:r>
                </w:p>
              </w:tc>
            </w:tr>
            <w:tr w14:paraId="76E63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766" w:type="dxa"/>
                  <w:vAlign w:val="center"/>
                </w:tcPr>
                <w:p w14:paraId="2D8C960F">
                  <w:pPr>
                    <w:spacing w:line="260" w:lineRule="exact"/>
                    <w:jc w:val="center"/>
                    <w:rPr>
                      <w:rFonts w:hint="default" w:ascii="Times New Roman" w:hAnsi="Times New Roman" w:eastAsia="宋体" w:cs="Times New Roman"/>
                      <w:sz w:val="22"/>
                      <w:szCs w:val="22"/>
                      <w:lang w:val="en-US" w:eastAsia="zh-CN"/>
                    </w:rPr>
                  </w:pPr>
                  <w:r>
                    <w:rPr>
                      <w:rFonts w:hint="eastAsia" w:ascii="Times New Roman" w:hAnsi="Times New Roman" w:eastAsia="宋体" w:cs="Times New Roman"/>
                      <w:sz w:val="22"/>
                      <w:szCs w:val="22"/>
                      <w:lang w:val="en-US" w:eastAsia="zh-CN"/>
                    </w:rPr>
                    <w:t>1</w:t>
                  </w:r>
                  <w:r>
                    <w:rPr>
                      <w:rFonts w:hint="eastAsia" w:cs="Times New Roman"/>
                      <w:sz w:val="22"/>
                      <w:szCs w:val="22"/>
                      <w:lang w:val="en-US" w:eastAsia="zh-CN"/>
                    </w:rPr>
                    <w:t>0</w:t>
                  </w:r>
                </w:p>
              </w:tc>
              <w:tc>
                <w:tcPr>
                  <w:tcW w:w="4808" w:type="dxa"/>
                  <w:vAlign w:val="center"/>
                </w:tcPr>
                <w:p w14:paraId="3353C17A">
                  <w:pPr>
                    <w:spacing w:line="260" w:lineRule="exact"/>
                    <w:jc w:val="center"/>
                    <w:rPr>
                      <w:rFonts w:hint="default" w:ascii="Times New Roman" w:hAnsi="Times New Roman" w:eastAsia="宋体" w:cs="Times New Roman"/>
                      <w:kern w:val="0"/>
                      <w:sz w:val="22"/>
                      <w:szCs w:val="22"/>
                    </w:rPr>
                  </w:pPr>
                  <w:r>
                    <w:rPr>
                      <w:rFonts w:hint="eastAsia" w:asciiTheme="majorEastAsia" w:hAnsiTheme="majorEastAsia" w:eastAsiaTheme="majorEastAsia"/>
                      <w:b w:val="0"/>
                      <w:bCs/>
                      <w:sz w:val="24"/>
                      <w:szCs w:val="21"/>
                      <w:highlight w:val="none"/>
                      <w:lang w:val="en-US" w:eastAsia="zh-CN"/>
                    </w:rPr>
                    <w:t>便携设备（（子机）</w:t>
                  </w:r>
                  <w:bookmarkStart w:id="0" w:name="_GoBack"/>
                  <w:bookmarkEnd w:id="0"/>
                  <w:r>
                    <w:rPr>
                      <w:rFonts w:hint="eastAsia" w:asciiTheme="majorEastAsia" w:hAnsiTheme="majorEastAsia" w:eastAsiaTheme="majorEastAsia"/>
                      <w:b w:val="0"/>
                      <w:bCs/>
                      <w:sz w:val="24"/>
                      <w:szCs w:val="21"/>
                      <w:highlight w:val="none"/>
                      <w:lang w:val="en-US" w:eastAsia="zh-CN"/>
                    </w:rPr>
                    <w:t>）</w:t>
                  </w:r>
                </w:p>
              </w:tc>
              <w:tc>
                <w:tcPr>
                  <w:tcW w:w="992" w:type="dxa"/>
                  <w:vAlign w:val="center"/>
                </w:tcPr>
                <w:p w14:paraId="7CBD75C4">
                  <w:pPr>
                    <w:spacing w:line="260" w:lineRule="exact"/>
                    <w:jc w:val="center"/>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台</w:t>
                  </w:r>
                </w:p>
              </w:tc>
              <w:tc>
                <w:tcPr>
                  <w:tcW w:w="893" w:type="dxa"/>
                  <w:vAlign w:val="center"/>
                </w:tcPr>
                <w:p w14:paraId="681A60D1">
                  <w:pPr>
                    <w:spacing w:line="260" w:lineRule="exact"/>
                    <w:jc w:val="center"/>
                    <w:rPr>
                      <w:rFonts w:hint="default" w:ascii="Times New Roman" w:hAnsi="Times New Roman" w:eastAsia="宋体" w:cs="Times New Roman"/>
                      <w:color w:val="C00000"/>
                      <w:sz w:val="22"/>
                      <w:szCs w:val="22"/>
                      <w:lang w:val="en-US" w:eastAsia="zh-CN"/>
                    </w:rPr>
                  </w:pPr>
                  <w:r>
                    <w:rPr>
                      <w:rFonts w:hint="eastAsia" w:ascii="Times New Roman" w:hAnsi="Times New Roman" w:eastAsia="宋体" w:cs="Times New Roman"/>
                      <w:sz w:val="22"/>
                      <w:szCs w:val="22"/>
                      <w:lang w:val="en-US" w:eastAsia="zh-CN"/>
                    </w:rPr>
                    <w:t>3</w:t>
                  </w:r>
                </w:p>
              </w:tc>
            </w:tr>
          </w:tbl>
          <w:p w14:paraId="4BEA7400">
            <w:pPr>
              <w:spacing w:line="276" w:lineRule="auto"/>
              <w:rPr>
                <w:rFonts w:hint="default" w:asciiTheme="majorEastAsia" w:hAnsiTheme="majorEastAsia" w:eastAsiaTheme="majorEastAsia"/>
                <w:b/>
                <w:sz w:val="24"/>
                <w:szCs w:val="21"/>
                <w:highlight w:val="yellow"/>
                <w:lang w:val="en-US" w:eastAsia="zh-CN"/>
              </w:rPr>
            </w:pPr>
          </w:p>
        </w:tc>
      </w:tr>
    </w:tbl>
    <w:p w14:paraId="0C66925A">
      <w:pPr>
        <w:spacing w:before="100" w:beforeAutospacing="1" w:after="240" w:line="276" w:lineRule="auto"/>
        <w:ind w:firstLine="480" w:firstLineChars="150"/>
        <w:rPr>
          <w:rFonts w:cs="方正小标宋简体" w:asciiTheme="majorEastAsia" w:hAnsiTheme="majorEastAsia" w:eastAsiaTheme="majorEastAsia"/>
          <w:sz w:val="32"/>
          <w:szCs w:val="32"/>
        </w:rPr>
      </w:pPr>
      <w:r>
        <w:rPr>
          <w:rFonts w:hint="eastAsia" w:cs="方正小标宋简体" w:asciiTheme="majorEastAsia" w:hAnsiTheme="majorEastAsia" w:eastAsiaTheme="majorEastAsia"/>
          <w:sz w:val="32"/>
          <w:szCs w:val="32"/>
        </w:rPr>
        <w:t>二、特殊资格要求说明</w:t>
      </w:r>
    </w:p>
    <w:p w14:paraId="1FCB44C7">
      <w:pPr>
        <w:pStyle w:val="16"/>
        <w:spacing w:line="276" w:lineRule="auto"/>
        <w:ind w:left="400" w:firstLine="0" w:firstLineChars="0"/>
        <w:rPr>
          <w:rFonts w:asciiTheme="majorEastAsia" w:hAnsiTheme="majorEastAsia" w:eastAsiaTheme="majorEastAsia"/>
          <w:bCs/>
          <w:color w:val="FF0000"/>
          <w:szCs w:val="21"/>
        </w:rPr>
      </w:pPr>
      <w:r>
        <w:rPr>
          <w:rFonts w:hint="eastAsia" w:cs="宋体" w:asciiTheme="majorEastAsia" w:hAnsiTheme="majorEastAsia" w:eastAsiaTheme="majorEastAsia"/>
          <w:sz w:val="24"/>
        </w:rPr>
        <w:t>本项目属于医疗器械目录管理,需提供：</w:t>
      </w:r>
    </w:p>
    <w:p w14:paraId="781C4AFD">
      <w:pPr>
        <w:pStyle w:val="16"/>
        <w:adjustRightInd w:val="0"/>
        <w:snapToGrid w:val="0"/>
        <w:ind w:firstLine="480"/>
        <w:rPr>
          <w:rFonts w:cs="宋体" w:asciiTheme="majorEastAsia" w:hAnsiTheme="majorEastAsia" w:eastAsiaTheme="majorEastAsia"/>
          <w:sz w:val="24"/>
        </w:rPr>
      </w:pPr>
      <w:r>
        <w:rPr>
          <w:rFonts w:hint="eastAsia" w:cs="宋体" w:asciiTheme="majorEastAsia" w:hAnsiTheme="majorEastAsia" w:eastAsiaTheme="majorEastAsia"/>
          <w:sz w:val="24"/>
        </w:rPr>
        <w:t>若投标供应商为所投产品的生产企业，必须提供《医疗器械生产企业许可（备案）证》且生产范围包含该产品，不在住所或者生产地址所在地销售的厂家还需提供医疗器械经营许可证/（第一类/二类）医疗器械经营备案凭证;若投标供应商为所投产品的代理商或授权供应商，必须提供《医疗器械经营企业许可(备案)证》 且经营范围包含该产品。</w:t>
      </w:r>
    </w:p>
    <w:p w14:paraId="0F36C003">
      <w:pPr>
        <w:pStyle w:val="16"/>
        <w:adjustRightInd w:val="0"/>
        <w:snapToGrid w:val="0"/>
        <w:spacing w:line="520" w:lineRule="atLeast"/>
        <w:ind w:firstLine="480"/>
        <w:rPr>
          <w:rFonts w:cs="宋体" w:asciiTheme="majorEastAsia" w:hAnsiTheme="majorEastAsia" w:eastAsiaTheme="majorEastAsia"/>
          <w:sz w:val="24"/>
        </w:rPr>
      </w:pPr>
    </w:p>
    <w:p w14:paraId="724CFD5B">
      <w:pPr>
        <w:numPr>
          <w:ilvl w:val="0"/>
          <w:numId w:val="1"/>
        </w:numPr>
        <w:spacing w:line="540" w:lineRule="exact"/>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技术与商务需求</w:t>
      </w:r>
    </w:p>
    <w:p w14:paraId="46F98B03">
      <w:pPr>
        <w:spacing w:before="240"/>
        <w:ind w:firstLine="241" w:firstLineChars="100"/>
        <w:rPr>
          <w:rFonts w:cs="方正小标宋简体" w:asciiTheme="majorEastAsia" w:hAnsiTheme="majorEastAsia" w:eastAsiaTheme="majorEastAsia"/>
          <w:sz w:val="24"/>
          <w:szCs w:val="36"/>
        </w:rPr>
      </w:pPr>
      <w:r>
        <w:rPr>
          <w:rFonts w:hint="eastAsia" w:cs="宋体" w:asciiTheme="majorEastAsia" w:hAnsiTheme="majorEastAsia" w:eastAsiaTheme="majorEastAsia"/>
          <w:b/>
          <w:bCs/>
          <w:sz w:val="24"/>
        </w:rPr>
        <w:t>说明：</w:t>
      </w:r>
      <w:r>
        <w:rPr>
          <w:rFonts w:hint="eastAsia" w:cs="宋体" w:asciiTheme="majorEastAsia" w:hAnsiTheme="majorEastAsia" w:eastAsiaTheme="majorEastAsia"/>
          <w:b/>
          <w:sz w:val="24"/>
        </w:rPr>
        <w:t>1.“★”号条款为实质性条款，必须完全满足，不满足则不予采购。</w:t>
      </w:r>
      <w:r>
        <w:rPr>
          <w:rFonts w:hint="eastAsia" w:cs="宋体" w:asciiTheme="majorEastAsia" w:hAnsiTheme="majorEastAsia" w:eastAsiaTheme="majorEastAsia"/>
          <w:sz w:val="20"/>
          <w:highlight w:val="yellow"/>
        </w:rPr>
        <w:t>（核心技术要求（以</w:t>
      </w:r>
      <w:r>
        <w:rPr>
          <w:rFonts w:hint="eastAsia" w:cs="宋体" w:asciiTheme="majorEastAsia" w:hAnsiTheme="majorEastAsia" w:eastAsiaTheme="majorEastAsia"/>
          <w:sz w:val="20"/>
          <w:szCs w:val="20"/>
          <w:highlight w:val="yellow"/>
        </w:rPr>
        <w:t>★</w:t>
      </w:r>
      <w:r>
        <w:rPr>
          <w:rFonts w:hint="eastAsia" w:cs="宋体" w:asciiTheme="majorEastAsia" w:hAnsiTheme="majorEastAsia" w:eastAsiaTheme="majorEastAsia"/>
          <w:sz w:val="20"/>
          <w:highlight w:val="yellow"/>
        </w:rPr>
        <w:t>号标注）为技术条款实质性要求不允许负偏离;否则将被否决。其数量≤5条，且必须有不少于3个品牌满足，并在第四部分作出承诺。）</w:t>
      </w:r>
    </w:p>
    <w:p w14:paraId="2106196B">
      <w:pPr>
        <w:ind w:firstLine="360" w:firstLineChars="100"/>
        <w:rPr>
          <w:rFonts w:cs="宋体" w:asciiTheme="majorEastAsia" w:hAnsiTheme="majorEastAsia" w:eastAsiaTheme="majorEastAsia"/>
          <w:bCs/>
          <w:sz w:val="20"/>
          <w:szCs w:val="20"/>
        </w:rPr>
      </w:pPr>
      <w:r>
        <w:rPr>
          <w:rFonts w:hint="eastAsia" w:cs="方正小标宋简体" w:asciiTheme="majorEastAsia" w:hAnsiTheme="majorEastAsia" w:eastAsiaTheme="majorEastAsia"/>
          <w:sz w:val="36"/>
          <w:szCs w:val="36"/>
        </w:rPr>
        <w:t xml:space="preserve">   </w:t>
      </w:r>
      <w:r>
        <w:rPr>
          <w:rFonts w:hint="eastAsia" w:cs="宋体" w:asciiTheme="majorEastAsia" w:hAnsiTheme="majorEastAsia" w:eastAsiaTheme="majorEastAsia"/>
          <w:b/>
          <w:sz w:val="24"/>
        </w:rPr>
        <w:t xml:space="preserve"> 2.“▲”</w:t>
      </w:r>
      <w:r>
        <w:rPr>
          <w:rFonts w:hint="eastAsia" w:cs="宋体" w:asciiTheme="majorEastAsia" w:hAnsiTheme="majorEastAsia" w:eastAsiaTheme="majorEastAsia"/>
          <w:b/>
          <w:bCs/>
          <w:sz w:val="24"/>
        </w:rPr>
        <w:t>号条款为重要技术参数，需议价现场与供应商逐一确定是否满足。</w:t>
      </w:r>
      <w:r>
        <w:rPr>
          <w:rFonts w:hint="eastAsia" w:cs="宋体" w:asciiTheme="majorEastAsia" w:hAnsiTheme="majorEastAsia" w:eastAsiaTheme="majorEastAsia"/>
          <w:bCs/>
          <w:sz w:val="20"/>
          <w:szCs w:val="20"/>
        </w:rPr>
        <w:t>（</w:t>
      </w:r>
      <w:r>
        <w:rPr>
          <w:rFonts w:hint="eastAsia" w:cs="宋体" w:asciiTheme="majorEastAsia" w:hAnsiTheme="majorEastAsia" w:eastAsiaTheme="majorEastAsia"/>
          <w:sz w:val="20"/>
          <w:szCs w:val="20"/>
        </w:rPr>
        <w:t>重要技术要求（以▲号标注）数量≤全部技术要求的10%。</w:t>
      </w:r>
      <w:r>
        <w:rPr>
          <w:rFonts w:hint="eastAsia" w:cs="宋体" w:asciiTheme="majorEastAsia" w:hAnsiTheme="majorEastAsia" w:eastAsiaTheme="majorEastAsia"/>
          <w:bCs/>
          <w:sz w:val="20"/>
          <w:szCs w:val="20"/>
        </w:rPr>
        <w:t>）</w:t>
      </w:r>
    </w:p>
    <w:p w14:paraId="7C5DD857">
      <w:pPr>
        <w:ind w:firstLine="201" w:firstLineChars="100"/>
        <w:rPr>
          <w:rFonts w:cs="方正小标宋简体" w:asciiTheme="majorEastAsia" w:hAnsiTheme="majorEastAsia" w:eastAsiaTheme="majorEastAsia"/>
          <w:b/>
          <w:sz w:val="20"/>
          <w:szCs w:val="20"/>
        </w:rPr>
      </w:pPr>
      <w:r>
        <w:rPr>
          <w:rFonts w:hint="eastAsia" w:cs="方正小标宋简体" w:asciiTheme="majorEastAsia" w:hAnsiTheme="majorEastAsia" w:eastAsiaTheme="majorEastAsia"/>
          <w:b/>
          <w:sz w:val="20"/>
          <w:szCs w:val="20"/>
        </w:rPr>
        <w:t>“★”号条款:所投产品如纳入医疗器械管理，投标供应商必须提供所投产品的《医疗器械注册(备案)证》的扫描件。(如有效期不足6个月的，需提供审批部门的回执。)</w:t>
      </w:r>
    </w:p>
    <w:tbl>
      <w:tblPr>
        <w:tblStyle w:val="9"/>
        <w:tblW w:w="100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35"/>
        <w:gridCol w:w="120"/>
        <w:gridCol w:w="7444"/>
        <w:gridCol w:w="817"/>
      </w:tblGrid>
      <w:tr w14:paraId="4CAA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9209" w:type="dxa"/>
            <w:gridSpan w:val="4"/>
            <w:vAlign w:val="center"/>
          </w:tcPr>
          <w:p w14:paraId="34829A99">
            <w:pPr>
              <w:rPr>
                <w:rFonts w:asciiTheme="majorEastAsia" w:hAnsiTheme="majorEastAsia" w:eastAsiaTheme="majorEastAsia"/>
                <w:b/>
                <w:sz w:val="28"/>
                <w:szCs w:val="21"/>
              </w:rPr>
            </w:pPr>
            <w:r>
              <w:rPr>
                <w:rFonts w:hint="eastAsia" w:asciiTheme="majorEastAsia" w:hAnsiTheme="majorEastAsia" w:eastAsiaTheme="majorEastAsia"/>
                <w:b/>
                <w:sz w:val="28"/>
                <w:szCs w:val="21"/>
              </w:rPr>
              <w:t>一、技术部分</w:t>
            </w:r>
          </w:p>
        </w:tc>
        <w:tc>
          <w:tcPr>
            <w:tcW w:w="817" w:type="dxa"/>
            <w:vAlign w:val="center"/>
          </w:tcPr>
          <w:p w14:paraId="5AA1797A">
            <w:pPr>
              <w:jc w:val="center"/>
              <w:rPr>
                <w:rFonts w:asciiTheme="majorEastAsia" w:hAnsiTheme="majorEastAsia" w:eastAsiaTheme="majorEastAsia"/>
                <w:b/>
                <w:sz w:val="24"/>
                <w:szCs w:val="21"/>
              </w:rPr>
            </w:pPr>
          </w:p>
        </w:tc>
      </w:tr>
      <w:tr w14:paraId="4A24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10" w:type="dxa"/>
            <w:vAlign w:val="center"/>
          </w:tcPr>
          <w:p w14:paraId="7B47FE44">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序号</w:t>
            </w:r>
          </w:p>
        </w:tc>
        <w:tc>
          <w:tcPr>
            <w:tcW w:w="935" w:type="dxa"/>
            <w:vAlign w:val="center"/>
          </w:tcPr>
          <w:p w14:paraId="6511617B">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货物名称</w:t>
            </w:r>
          </w:p>
        </w:tc>
        <w:tc>
          <w:tcPr>
            <w:tcW w:w="7564" w:type="dxa"/>
            <w:gridSpan w:val="2"/>
            <w:vAlign w:val="center"/>
          </w:tcPr>
          <w:p w14:paraId="01ED48D6">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技术要求</w:t>
            </w:r>
          </w:p>
        </w:tc>
        <w:tc>
          <w:tcPr>
            <w:tcW w:w="817" w:type="dxa"/>
            <w:vAlign w:val="center"/>
          </w:tcPr>
          <w:p w14:paraId="20875ABA">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标注</w:t>
            </w:r>
          </w:p>
        </w:tc>
      </w:tr>
      <w:tr w14:paraId="4DE7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710" w:type="dxa"/>
          </w:tcPr>
          <w:p w14:paraId="1B966B23">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1</w:t>
            </w:r>
          </w:p>
        </w:tc>
        <w:tc>
          <w:tcPr>
            <w:tcW w:w="935" w:type="dxa"/>
          </w:tcPr>
          <w:p w14:paraId="3FC31A79">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2"/>
                <w:szCs w:val="20"/>
                <w:lang w:val="en-US" w:eastAsia="zh-CN"/>
              </w:rPr>
              <w:t>经颅电刺激仪</w:t>
            </w:r>
          </w:p>
        </w:tc>
        <w:tc>
          <w:tcPr>
            <w:tcW w:w="7564" w:type="dxa"/>
            <w:gridSpan w:val="2"/>
          </w:tcPr>
          <w:p w14:paraId="7AEF5F7B">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highlight w:val="yellow"/>
              </w:rPr>
              <w:t>以议价/招标现场专家组确定的供应商提供的具体参数为准</w:t>
            </w:r>
          </w:p>
        </w:tc>
        <w:tc>
          <w:tcPr>
            <w:tcW w:w="817" w:type="dxa"/>
          </w:tcPr>
          <w:p w14:paraId="0576DA27">
            <w:pPr>
              <w:spacing w:line="276" w:lineRule="auto"/>
              <w:rPr>
                <w:rFonts w:asciiTheme="majorEastAsia" w:hAnsiTheme="majorEastAsia" w:eastAsiaTheme="majorEastAsia"/>
                <w:b/>
                <w:sz w:val="24"/>
                <w:szCs w:val="21"/>
              </w:rPr>
            </w:pPr>
          </w:p>
        </w:tc>
      </w:tr>
      <w:tr w14:paraId="136F8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0026" w:type="dxa"/>
            <w:gridSpan w:val="5"/>
          </w:tcPr>
          <w:p w14:paraId="307F3E3D">
            <w:pPr>
              <w:rPr>
                <w:rFonts w:asciiTheme="majorEastAsia" w:hAnsiTheme="majorEastAsia" w:eastAsiaTheme="majorEastAsia"/>
                <w:b/>
                <w:sz w:val="24"/>
                <w:szCs w:val="21"/>
              </w:rPr>
            </w:pPr>
            <w:r>
              <w:rPr>
                <w:rFonts w:hint="eastAsia" w:asciiTheme="majorEastAsia" w:hAnsiTheme="majorEastAsia" w:eastAsiaTheme="majorEastAsia"/>
                <w:b/>
                <w:sz w:val="28"/>
                <w:szCs w:val="21"/>
              </w:rPr>
              <w:t>二、</w:t>
            </w:r>
            <w:r>
              <w:rPr>
                <w:rFonts w:hint="eastAsia" w:cs="宋体" w:asciiTheme="majorEastAsia" w:hAnsiTheme="majorEastAsia" w:eastAsiaTheme="majorEastAsia"/>
                <w:sz w:val="24"/>
              </w:rPr>
              <w:t>★</w:t>
            </w:r>
            <w:r>
              <w:rPr>
                <w:rFonts w:hint="eastAsia" w:asciiTheme="majorEastAsia" w:hAnsiTheme="majorEastAsia" w:eastAsiaTheme="majorEastAsia"/>
                <w:b/>
                <w:sz w:val="28"/>
                <w:szCs w:val="21"/>
              </w:rPr>
              <w:t>商务需求</w:t>
            </w:r>
          </w:p>
        </w:tc>
      </w:tr>
      <w:tr w14:paraId="3BEA3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765" w:type="dxa"/>
            <w:gridSpan w:val="3"/>
          </w:tcPr>
          <w:p w14:paraId="1FE98C04">
            <w:pPr>
              <w:spacing w:line="276" w:lineRule="auto"/>
              <w:rPr>
                <w:rFonts w:asciiTheme="majorEastAsia" w:hAnsiTheme="majorEastAsia" w:eastAsiaTheme="majorEastAsia"/>
                <w:b/>
                <w:sz w:val="24"/>
                <w:szCs w:val="21"/>
              </w:rPr>
            </w:pPr>
            <w:r>
              <w:rPr>
                <w:rFonts w:hint="eastAsia" w:asciiTheme="majorEastAsia" w:hAnsiTheme="majorEastAsia" w:eastAsiaTheme="majorEastAsia"/>
                <w:b/>
                <w:sz w:val="24"/>
                <w:szCs w:val="21"/>
              </w:rPr>
              <w:t>一、到货时间</w:t>
            </w:r>
            <w:r>
              <w:rPr>
                <w:rFonts w:asciiTheme="majorEastAsia" w:hAnsiTheme="majorEastAsia" w:eastAsiaTheme="majorEastAsia"/>
                <w:b/>
                <w:sz w:val="24"/>
                <w:szCs w:val="21"/>
              </w:rPr>
              <w:t xml:space="preserve"> </w:t>
            </w:r>
          </w:p>
        </w:tc>
        <w:tc>
          <w:tcPr>
            <w:tcW w:w="8261" w:type="dxa"/>
            <w:gridSpan w:val="2"/>
          </w:tcPr>
          <w:p w14:paraId="56CC9975">
            <w:pPr>
              <w:spacing w:line="276" w:lineRule="auto"/>
              <w:rPr>
                <w:rFonts w:hint="default"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highlight w:val="yellow"/>
                <w:lang w:val="en-US" w:eastAsia="zh-CN"/>
              </w:rPr>
              <w:t>合同签订后并接采购人通知7日历日内或更优</w:t>
            </w:r>
          </w:p>
        </w:tc>
      </w:tr>
      <w:tr w14:paraId="49F6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6FCA3F7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二、交货地点：</w:t>
            </w:r>
          </w:p>
        </w:tc>
        <w:tc>
          <w:tcPr>
            <w:tcW w:w="8261" w:type="dxa"/>
            <w:gridSpan w:val="2"/>
            <w:vAlign w:val="top"/>
          </w:tcPr>
          <w:p w14:paraId="35495953">
            <w:pPr>
              <w:adjustRightInd w:val="0"/>
              <w:snapToGrid w:val="0"/>
              <w:rPr>
                <w:rFonts w:hint="eastAsia" w:asciiTheme="majorEastAsia" w:hAnsiTheme="majorEastAsia" w:eastAsiaTheme="majorEastAsia"/>
                <w:b/>
                <w:sz w:val="24"/>
                <w:szCs w:val="21"/>
                <w:lang w:val="en-US" w:eastAsia="zh-CN"/>
              </w:rPr>
            </w:pPr>
            <w:r>
              <w:rPr>
                <w:rFonts w:asciiTheme="majorEastAsia" w:hAnsiTheme="majorEastAsia" w:eastAsiaTheme="majorEastAsia"/>
                <w:b/>
                <w:sz w:val="24"/>
                <w:szCs w:val="21"/>
              </w:rPr>
              <w:t>采购人指定地点</w:t>
            </w:r>
          </w:p>
        </w:tc>
      </w:tr>
      <w:tr w14:paraId="6A1E1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765" w:type="dxa"/>
            <w:gridSpan w:val="3"/>
            <w:vAlign w:val="top"/>
          </w:tcPr>
          <w:p w14:paraId="7CA6A74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三、报价要求：</w:t>
            </w:r>
          </w:p>
        </w:tc>
        <w:tc>
          <w:tcPr>
            <w:tcW w:w="8261" w:type="dxa"/>
            <w:gridSpan w:val="2"/>
            <w:vAlign w:val="top"/>
          </w:tcPr>
          <w:p w14:paraId="517BA30B">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szCs w:val="21"/>
              </w:rPr>
              <w:t>报价必须是完成该项目的一切费用总和，包括设备费、运输费、装卸费、保险费、技术培训费、设备安装费、调试费、售后服务费、国家规定的各项税费等全部费用</w:t>
            </w:r>
          </w:p>
        </w:tc>
      </w:tr>
      <w:tr w14:paraId="3FD95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765" w:type="dxa"/>
            <w:gridSpan w:val="3"/>
            <w:vAlign w:val="top"/>
          </w:tcPr>
          <w:p w14:paraId="1B725F2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四、付款方式</w:t>
            </w:r>
          </w:p>
        </w:tc>
        <w:tc>
          <w:tcPr>
            <w:tcW w:w="8261" w:type="dxa"/>
            <w:gridSpan w:val="2"/>
            <w:vAlign w:val="top"/>
          </w:tcPr>
          <w:p w14:paraId="68D4CEC1">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59C21F36">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合同签订后三个工作日内，乙方将采购合同总价5%（人民币    元整，¥    ）的履约保证金汇入甲方指定账户。货到清点、安装调试验收合格正常使用后，出具全额发票，甲方凭乙方提供的完整资料，自发票到达甲方财务之日起10个工作日内，支付100%合同货款到乙方指定帐户。</w:t>
            </w:r>
          </w:p>
          <w:p w14:paraId="79CE31FE">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乙方向甲方支付合同总价5%的履约保证金，用于补偿甲方因乙方不履行/不妥善履行合同约定义务而蒙受的损失，如乙方不履行/不妥善履行合同约定义务的，甲方有权直接从履约保证金中扣除相应违约金/损失赔偿款项。如果在合同签订后至乙方履行完毕合同约定义务事项期间未发生乙方不履行或不妥善履行合同约定义务的情况，在乙方履行完毕合同约定义务事项后，乙方向甲方提供完整资料到达甲方财务之日起10个工作日内，甲方将履约保证金无息返还给乙方。</w:t>
            </w:r>
          </w:p>
          <w:p w14:paraId="14A9B268">
            <w:pPr>
              <w:adjustRightInd w:val="0"/>
              <w:snapToGrid w:val="0"/>
              <w:rPr>
                <w:rFonts w:hint="eastAsia" w:cs="Times New Roman" w:asciiTheme="majorEastAsia" w:hAnsiTheme="majorEastAsia" w:eastAsiaTheme="majorEastAsia"/>
                <w:szCs w:val="21"/>
              </w:rPr>
            </w:pPr>
            <w:r>
              <w:rPr>
                <w:rFonts w:hint="eastAsia" w:cs="Times New Roman" w:asciiTheme="majorEastAsia" w:hAnsiTheme="majorEastAsia" w:eastAsiaTheme="majorEastAsia"/>
                <w:szCs w:val="21"/>
              </w:rPr>
              <w:t>合同总价＜3万付款方式：</w:t>
            </w:r>
          </w:p>
          <w:p w14:paraId="66965988">
            <w:pPr>
              <w:adjustRightInd w:val="0"/>
              <w:snapToGrid w:val="0"/>
              <w:rPr>
                <w:rFonts w:asciiTheme="majorEastAsia" w:hAnsiTheme="majorEastAsia" w:eastAsiaTheme="majorEastAsia"/>
                <w:b/>
                <w:sz w:val="24"/>
                <w:szCs w:val="21"/>
              </w:rPr>
            </w:pPr>
            <w:r>
              <w:rPr>
                <w:rFonts w:hint="eastAsia" w:cs="Times New Roman" w:asciiTheme="majorEastAsia" w:hAnsiTheme="majorEastAsia" w:eastAsiaTheme="majorEastAsia"/>
                <w:szCs w:val="21"/>
              </w:rPr>
              <w:t>货到清点、安装调试验收合格正常使用后，出具全额发票，甲方凭乙方提供的完整资料，自发票到达甲方财务之日起10个工作日内，支付100%合同货款到乙方指定帐户。</w:t>
            </w:r>
          </w:p>
        </w:tc>
      </w:tr>
      <w:tr w14:paraId="36217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0083E92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五、交货要求</w:t>
            </w:r>
          </w:p>
        </w:tc>
        <w:tc>
          <w:tcPr>
            <w:tcW w:w="8261" w:type="dxa"/>
            <w:gridSpan w:val="2"/>
            <w:vAlign w:val="top"/>
          </w:tcPr>
          <w:p w14:paraId="324AA59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5.1 </w:t>
            </w:r>
            <w:r>
              <w:rPr>
                <w:rFonts w:asciiTheme="minorEastAsia" w:hAnsiTheme="minorEastAsia" w:eastAsiaTheme="minorEastAsia"/>
                <w:bCs/>
                <w:szCs w:val="21"/>
              </w:rPr>
              <w:t>中标</w:t>
            </w:r>
            <w:r>
              <w:rPr>
                <w:rFonts w:hint="eastAsia" w:asciiTheme="minorEastAsia" w:hAnsiTheme="minorEastAsia" w:eastAsiaTheme="minorEastAsia"/>
                <w:bCs/>
                <w:szCs w:val="21"/>
              </w:rPr>
              <w:t>人</w:t>
            </w:r>
            <w:r>
              <w:rPr>
                <w:rFonts w:asciiTheme="minorEastAsia" w:hAnsiTheme="minorEastAsia" w:eastAsiaTheme="minorEastAsia"/>
                <w:bCs/>
                <w:szCs w:val="21"/>
              </w:rPr>
              <w:t>应向采购人提供</w:t>
            </w:r>
            <w:r>
              <w:rPr>
                <w:rFonts w:hint="eastAsia" w:asciiTheme="minorEastAsia" w:hAnsiTheme="minorEastAsia" w:eastAsiaTheme="minorEastAsia"/>
                <w:bCs/>
                <w:szCs w:val="21"/>
              </w:rPr>
              <w:t>配置清单、产品说明书、图纸、操作手册、中文操作使用说明书、</w:t>
            </w:r>
            <w:r>
              <w:rPr>
                <w:rFonts w:asciiTheme="minorEastAsia" w:hAnsiTheme="minorEastAsia" w:eastAsiaTheme="minorEastAsia"/>
                <w:bCs/>
                <w:szCs w:val="21"/>
              </w:rPr>
              <w:t>设备原厂维护手册、维修手册、软件备份、故障代码表、备件清单、零部件、</w:t>
            </w:r>
            <w:r>
              <w:rPr>
                <w:rFonts w:hint="eastAsia" w:asciiTheme="minorEastAsia" w:hAnsiTheme="minorEastAsia" w:eastAsiaTheme="minorEastAsia"/>
                <w:bCs/>
                <w:szCs w:val="21"/>
              </w:rPr>
              <w:t>维护手册（含维修密码及接口数据）等维护维修必需的材料和信息。所有外文资料需提供中文译本。文件应随货物一并交付至采购人指定地点。</w:t>
            </w:r>
          </w:p>
          <w:p w14:paraId="3C6FE02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5.2提供的货物必须为全新货物，出厂日期</w:t>
            </w:r>
            <w:r>
              <w:rPr>
                <w:rFonts w:hint="eastAsia" w:ascii="宋体" w:hAnsi="宋体"/>
                <w:szCs w:val="21"/>
              </w:rPr>
              <w:t>原则上</w:t>
            </w:r>
            <w:r>
              <w:rPr>
                <w:rFonts w:hint="eastAsia" w:asciiTheme="minorEastAsia" w:hAnsiTheme="minorEastAsia" w:eastAsiaTheme="minorEastAsia"/>
                <w:bCs/>
                <w:szCs w:val="21"/>
              </w:rPr>
              <w:t>在采购人收到日期前</w:t>
            </w:r>
            <w:r>
              <w:rPr>
                <w:rFonts w:asciiTheme="minorEastAsia" w:hAnsiTheme="minorEastAsia" w:eastAsiaTheme="minorEastAsia"/>
                <w:bCs/>
                <w:szCs w:val="21"/>
              </w:rPr>
              <w:t>12</w:t>
            </w:r>
            <w:r>
              <w:rPr>
                <w:rFonts w:hint="eastAsia" w:asciiTheme="minorEastAsia" w:hAnsiTheme="minorEastAsia" w:eastAsiaTheme="minorEastAsia"/>
                <w:bCs/>
                <w:szCs w:val="21"/>
              </w:rPr>
              <w:t>个月内经检验合格的产品</w:t>
            </w:r>
            <w:r>
              <w:rPr>
                <w:rFonts w:hint="eastAsia" w:ascii="宋体" w:hAnsi="宋体"/>
                <w:szCs w:val="21"/>
              </w:rPr>
              <w:t>，</w:t>
            </w:r>
            <w:r>
              <w:rPr>
                <w:rFonts w:hint="eastAsia" w:ascii="宋体" w:hAnsi="宋体"/>
                <w:color w:val="FF0000"/>
                <w:szCs w:val="21"/>
              </w:rPr>
              <w:t>若无法提供12个月内的产品，则采购人有权要求延长相应期限的产品保修期</w:t>
            </w:r>
            <w:r>
              <w:rPr>
                <w:rFonts w:hint="eastAsia" w:asciiTheme="minorEastAsia" w:hAnsiTheme="minorEastAsia" w:eastAsiaTheme="minorEastAsia"/>
                <w:bCs/>
                <w:szCs w:val="21"/>
              </w:rPr>
              <w:t>。产品如需要计量检定的应提供相关计量检定部门出具的合法检定报告。其中，进口设备必须具有报关证明文件、原产地证明和商检合格证明文件等相关证明文件，否则采购人概不接收。如国家规定的强检设备，由中标人负责完成首次计量强制检定，验收前中标人必须附上计量检定合格报告。</w:t>
            </w:r>
          </w:p>
          <w:p w14:paraId="3B30DAC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5.3 采购人有权检验或测试货物，以确认货物是否符合合同规格的要求，并且不承担额外的费用。如发现所交货物与投标文件中所承诺的不符或存在质量、技术缺陷等,采购人可以拒绝接收该货物,中标人应在 7 日历日内采取补足、更换或退货等措施,以满足规格的要求，由此发生的一切损失和费用由中标人承担。</w:t>
            </w:r>
          </w:p>
          <w:p w14:paraId="6260CD20">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5.4中标人负责货物的现场安装和调试,提供货物安装、调试和维修所需的专用工具和辅助材料。中标人应在货物运至指定地点后一周内开始安装调试,并在 30 日历日内安装调试完毕。</w:t>
            </w:r>
          </w:p>
          <w:p w14:paraId="5DDEBD31">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5.5货物安装需施工的，中标人应在合同签订前提供设备安装施工图纸，采购人与中标人共同签字确定安装场地施工方案。并承担设备的包装、运输、保险、装卸、安装调试、培训、商检及计量检测、关税、增值税和进口代理等费用。</w:t>
            </w:r>
          </w:p>
        </w:tc>
      </w:tr>
      <w:tr w14:paraId="23C61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7AA8F24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六、验收： </w:t>
            </w:r>
          </w:p>
        </w:tc>
        <w:tc>
          <w:tcPr>
            <w:tcW w:w="8261" w:type="dxa"/>
            <w:gridSpan w:val="2"/>
            <w:vAlign w:val="top"/>
          </w:tcPr>
          <w:p w14:paraId="5846976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6.1中标人应派有经验的技术人员到现场进行安装、调试，直到设备正常使用。由采购人按合同和招标、投标文件约定的要求和标准及中华人民共和国现行的验收规范和评定标准进行交货验收。</w:t>
            </w:r>
          </w:p>
          <w:p w14:paraId="33F7324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 xml:space="preserve">6.2 验收要求：货物必须满足以下条件后方可被采购方接受： </w:t>
            </w:r>
          </w:p>
          <w:p w14:paraId="5FA5AD8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1）货物具备产品合格证。</w:t>
            </w:r>
          </w:p>
          <w:p w14:paraId="21C7CC5F">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2）设备全新,外观无伤痕变形或明显修饰痕迹。</w:t>
            </w:r>
          </w:p>
          <w:p w14:paraId="19E25398">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3）如有国标，必须符合有关规定；如无国标，则按照行业标准；如无国标及行业标准，则按双方约定执行。投标文件提供的技术数据经实测证实是真实的。检验及质量保证期内达到的性能指标与要求一致，达到或优于相应标准。</w:t>
            </w:r>
          </w:p>
          <w:p w14:paraId="1F07F80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4）技术文件资料、备件等已按规定数量移交完毕。</w:t>
            </w:r>
          </w:p>
          <w:p w14:paraId="13AB2A0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5）按照招标书要求及投标文件提供的技术要求验收必须合格。</w:t>
            </w:r>
          </w:p>
          <w:p w14:paraId="6B7D6502">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6）中标人提供的各种文件载明的内容必须真实，采购人对产品的技术数据置疑时有权要求中标人按照双方认可的第三方检测机构出具的检验方法进行检测及鉴定(检测费用由中标人承担)，检测结果必须证明中标人提供的技术数据是真实的，否则视为不合格</w:t>
            </w:r>
          </w:p>
          <w:p w14:paraId="349BE1D0">
            <w:pPr>
              <w:adjustRightInd w:val="0"/>
              <w:snapToGrid w:val="0"/>
              <w:ind w:firstLine="420" w:firstLineChars="200"/>
              <w:rPr>
                <w:rFonts w:asciiTheme="majorEastAsia" w:hAnsiTheme="majorEastAsia" w:eastAsiaTheme="majorEastAsia"/>
                <w:b/>
                <w:sz w:val="24"/>
                <w:szCs w:val="21"/>
              </w:rPr>
            </w:pPr>
            <w:r>
              <w:rPr>
                <w:rFonts w:hint="eastAsia" w:asciiTheme="minorEastAsia" w:hAnsiTheme="minorEastAsia" w:eastAsiaTheme="minorEastAsia"/>
                <w:bCs/>
                <w:szCs w:val="21"/>
              </w:rPr>
              <w:t>7）在货物安装调试合格后，所有技术指标达到技术规范书要求，经验收合格后，双方共同签署验收报告。产品质保期自验收合格之日起算，由中标人提供产品质保文件。</w:t>
            </w:r>
          </w:p>
        </w:tc>
      </w:tr>
      <w:tr w14:paraId="63365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1ED17441">
            <w:pPr>
              <w:adjustRightInd w:val="0"/>
              <w:snapToGrid w:val="0"/>
              <w:rPr>
                <w:rFonts w:asciiTheme="majorEastAsia" w:hAnsiTheme="majorEastAsia" w:eastAsiaTheme="majorEastAsia"/>
                <w:b/>
                <w:sz w:val="24"/>
                <w:szCs w:val="21"/>
                <w:highlight w:val="yellow"/>
              </w:rPr>
            </w:pPr>
            <w:r>
              <w:rPr>
                <w:rFonts w:hint="eastAsia" w:asciiTheme="majorEastAsia" w:hAnsiTheme="majorEastAsia" w:eastAsiaTheme="majorEastAsia"/>
                <w:b/>
                <w:sz w:val="24"/>
                <w:szCs w:val="21"/>
              </w:rPr>
              <w:t>七、售后服务要求：</w:t>
            </w:r>
          </w:p>
          <w:p w14:paraId="77A4D5CE">
            <w:pPr>
              <w:adjustRightInd w:val="0"/>
              <w:snapToGrid w:val="0"/>
              <w:rPr>
                <w:rFonts w:hint="eastAsia" w:asciiTheme="majorEastAsia" w:hAnsiTheme="majorEastAsia" w:eastAsiaTheme="majorEastAsia"/>
                <w:b/>
                <w:sz w:val="24"/>
                <w:szCs w:val="21"/>
                <w:highlight w:val="yellow"/>
                <w:lang w:val="en-US" w:eastAsia="zh-CN"/>
              </w:rPr>
            </w:pPr>
          </w:p>
        </w:tc>
        <w:tc>
          <w:tcPr>
            <w:tcW w:w="8261" w:type="dxa"/>
            <w:gridSpan w:val="2"/>
            <w:vAlign w:val="top"/>
          </w:tcPr>
          <w:p w14:paraId="10517BE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7.1</w:t>
            </w:r>
            <w:r>
              <w:rPr>
                <w:rFonts w:hint="eastAsia" w:ascii="宋体" w:hAnsi="宋体"/>
                <w:bCs/>
                <w:color w:val="FF0000"/>
                <w:szCs w:val="21"/>
              </w:rPr>
              <w:t>各投标人应在投标文件中承诺</w:t>
            </w:r>
            <w:r>
              <w:rPr>
                <w:rFonts w:hint="eastAsia" w:ascii="宋体" w:hAnsi="宋体"/>
                <w:bCs/>
                <w:color w:val="0070C0"/>
                <w:szCs w:val="21"/>
              </w:rPr>
              <w:t>报价已包含提供整机原厂保修期</w:t>
            </w:r>
            <w:r>
              <w:rPr>
                <w:rFonts w:hint="eastAsia" w:asciiTheme="minorEastAsia" w:hAnsiTheme="minorEastAsia" w:eastAsiaTheme="minorEastAsia"/>
                <w:bCs/>
                <w:color w:val="FF0000"/>
                <w:szCs w:val="21"/>
                <w:u w:val="single"/>
              </w:rPr>
              <w:t xml:space="preserve">  </w:t>
            </w:r>
            <w:r>
              <w:rPr>
                <w:rFonts w:hint="eastAsia" w:ascii="宋体" w:hAnsi="宋体" w:eastAsia="宋体" w:cs="宋体"/>
                <w:bCs/>
                <w:color w:val="FF0000"/>
                <w:szCs w:val="21"/>
                <w:u w:val="single"/>
              </w:rPr>
              <w:t>≥</w:t>
            </w:r>
            <w:r>
              <w:rPr>
                <w:rFonts w:hint="eastAsia" w:asciiTheme="minorEastAsia" w:hAnsiTheme="minorEastAsia" w:eastAsiaTheme="minorEastAsia"/>
                <w:bCs/>
                <w:color w:val="FF0000"/>
                <w:szCs w:val="21"/>
                <w:u w:val="single"/>
                <w:lang w:val="en-US" w:eastAsia="zh-CN"/>
              </w:rPr>
              <w:t>3</w:t>
            </w:r>
            <w:r>
              <w:rPr>
                <w:rFonts w:hint="eastAsia" w:asciiTheme="minorEastAsia" w:hAnsiTheme="minorEastAsia" w:eastAsiaTheme="minorEastAsia"/>
                <w:bCs/>
                <w:color w:val="FF0000"/>
                <w:szCs w:val="21"/>
                <w:u w:val="single"/>
              </w:rPr>
              <w:t xml:space="preserve">  </w:t>
            </w:r>
            <w:r>
              <w:rPr>
                <w:rFonts w:hint="eastAsia" w:asciiTheme="minorEastAsia" w:hAnsiTheme="minorEastAsia" w:eastAsiaTheme="minorEastAsia"/>
                <w:bCs/>
                <w:color w:val="FF0000"/>
                <w:szCs w:val="21"/>
              </w:rPr>
              <w:t>年</w:t>
            </w:r>
            <w:r>
              <w:rPr>
                <w:rFonts w:hint="eastAsia" w:asciiTheme="minorEastAsia" w:hAnsiTheme="minorEastAsia" w:eastAsiaTheme="minorEastAsia"/>
                <w:bCs/>
                <w:szCs w:val="21"/>
              </w:rPr>
              <w:t>，终身维修。</w:t>
            </w:r>
            <w:r>
              <w:rPr>
                <w:rFonts w:hint="eastAsia" w:ascii="宋体" w:hAnsi="宋体"/>
                <w:bCs/>
                <w:color w:val="0070C0"/>
                <w:szCs w:val="21"/>
              </w:rPr>
              <w:t>保修期</w:t>
            </w:r>
            <w:r>
              <w:rPr>
                <w:rFonts w:hint="eastAsia" w:asciiTheme="minorEastAsia" w:hAnsiTheme="minorEastAsia" w:eastAsiaTheme="minorEastAsia"/>
                <w:bCs/>
                <w:szCs w:val="21"/>
              </w:rPr>
              <w:t>内</w:t>
            </w:r>
            <w:r>
              <w:rPr>
                <w:rFonts w:asciiTheme="minorEastAsia" w:hAnsiTheme="minorEastAsia" w:eastAsiaTheme="minorEastAsia"/>
                <w:bCs/>
                <w:szCs w:val="21"/>
              </w:rPr>
              <w:t>,</w:t>
            </w:r>
            <w:r>
              <w:rPr>
                <w:rFonts w:hint="eastAsia" w:asciiTheme="minorEastAsia" w:hAnsiTheme="minorEastAsia" w:eastAsiaTheme="minorEastAsia"/>
                <w:bCs/>
                <w:szCs w:val="21"/>
              </w:rPr>
              <w:t>年度定期预防性维护保养次数应不少于 2 次并留存维护记录。</w:t>
            </w:r>
            <w:r>
              <w:rPr>
                <w:rFonts w:hint="eastAsia" w:asciiTheme="minorEastAsia" w:hAnsiTheme="minorEastAsia" w:eastAsiaTheme="minorEastAsia"/>
                <w:bCs/>
                <w:color w:val="0070C0"/>
                <w:szCs w:val="21"/>
              </w:rPr>
              <w:t>报价已包含</w:t>
            </w:r>
            <w:r>
              <w:rPr>
                <w:rFonts w:hint="eastAsia" w:ascii="宋体" w:hAnsi="宋体"/>
                <w:bCs/>
                <w:color w:val="0070C0"/>
                <w:szCs w:val="21"/>
              </w:rPr>
              <w:t>保修期</w:t>
            </w:r>
            <w:r>
              <w:rPr>
                <w:rFonts w:hint="eastAsia" w:asciiTheme="minorEastAsia" w:hAnsiTheme="minorEastAsia" w:eastAsiaTheme="minorEastAsia"/>
                <w:bCs/>
                <w:color w:val="0070C0"/>
                <w:szCs w:val="21"/>
              </w:rPr>
              <w:t>内更换零配件及工时费</w:t>
            </w:r>
            <w:r>
              <w:rPr>
                <w:rFonts w:hint="eastAsia" w:asciiTheme="minorEastAsia" w:hAnsiTheme="minorEastAsia" w:eastAsiaTheme="minorEastAsia"/>
                <w:bCs/>
                <w:szCs w:val="21"/>
              </w:rPr>
              <w:t>。</w:t>
            </w:r>
          </w:p>
          <w:p w14:paraId="047A47F6">
            <w:pPr>
              <w:adjustRightInd w:val="0"/>
              <w:snapToGrid w:val="0"/>
              <w:ind w:firstLine="360" w:firstLineChars="200"/>
              <w:rPr>
                <w:rFonts w:asciiTheme="minorEastAsia" w:hAnsiTheme="minorEastAsia" w:eastAsiaTheme="minorEastAsia"/>
                <w:bCs/>
                <w:sz w:val="18"/>
                <w:szCs w:val="21"/>
              </w:rPr>
            </w:pPr>
            <w:r>
              <w:rPr>
                <w:rFonts w:hint="eastAsia" w:asciiTheme="minorEastAsia" w:hAnsiTheme="minorEastAsia" w:eastAsiaTheme="minorEastAsia"/>
                <w:bCs/>
                <w:sz w:val="18"/>
                <w:szCs w:val="21"/>
              </w:rPr>
              <w:t>（备注：质保期是指投标人应在该期间内对本项目下交付的所有货物提供质量保证，不包括消耗品的配送。）</w:t>
            </w:r>
          </w:p>
          <w:p w14:paraId="1B0D1DA9">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7.2    4小时内响应，24 小时维修到位（不可抗力情况除外）。消耗品和零配件供应及时，质保期</w:t>
            </w:r>
            <w:r>
              <w:rPr>
                <w:rFonts w:asciiTheme="minorEastAsia" w:hAnsiTheme="minorEastAsia" w:eastAsiaTheme="minorEastAsia"/>
                <w:bCs/>
                <w:szCs w:val="21"/>
              </w:rPr>
              <w:t>内及外设备出现故障不能正常使用，</w:t>
            </w:r>
            <w:r>
              <w:rPr>
                <w:rFonts w:asciiTheme="minorEastAsia" w:hAnsiTheme="minorEastAsia" w:eastAsiaTheme="minorEastAsia"/>
                <w:bCs/>
                <w:color w:val="0070C0"/>
                <w:szCs w:val="21"/>
              </w:rPr>
              <w:t>中标</w:t>
            </w:r>
            <w:r>
              <w:rPr>
                <w:rFonts w:hint="eastAsia" w:asciiTheme="minorEastAsia" w:hAnsiTheme="minorEastAsia" w:eastAsiaTheme="minorEastAsia"/>
                <w:bCs/>
                <w:color w:val="0070C0"/>
                <w:szCs w:val="21"/>
              </w:rPr>
              <w:t>人报价已包含</w:t>
            </w:r>
            <w:r>
              <w:rPr>
                <w:rFonts w:asciiTheme="minorEastAsia" w:hAnsiTheme="minorEastAsia" w:eastAsiaTheme="minorEastAsia"/>
                <w:bCs/>
                <w:color w:val="0070C0"/>
                <w:szCs w:val="21"/>
              </w:rPr>
              <w:t>提供备用机给采购人使用直至设备修复完好投入使用</w:t>
            </w:r>
            <w:r>
              <w:rPr>
                <w:rFonts w:hint="eastAsia" w:asciiTheme="minorEastAsia" w:hAnsiTheme="minorEastAsia" w:eastAsiaTheme="minorEastAsia"/>
                <w:bCs/>
                <w:color w:val="0070C0"/>
                <w:szCs w:val="21"/>
              </w:rPr>
              <w:t>的服务</w:t>
            </w:r>
            <w:r>
              <w:rPr>
                <w:rFonts w:asciiTheme="minorEastAsia" w:hAnsiTheme="minorEastAsia" w:eastAsiaTheme="minorEastAsia"/>
                <w:bCs/>
                <w:color w:val="0070C0"/>
                <w:szCs w:val="21"/>
              </w:rPr>
              <w:t>。</w:t>
            </w:r>
          </w:p>
          <w:p w14:paraId="4170D8AD">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7.3质保期满以后，中标人对设备终身负责维修、安装、升级软件服务，长期以优惠价提供零配件（中标供应商提供主要零配件报价单）。</w:t>
            </w:r>
          </w:p>
          <w:p w14:paraId="49916795">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7.4</w:t>
            </w:r>
            <w:r>
              <w:rPr>
                <w:rFonts w:hint="eastAsia" w:asciiTheme="minorEastAsia" w:hAnsiTheme="minorEastAsia" w:eastAsiaTheme="minorEastAsia"/>
                <w:bCs/>
                <w:color w:val="0070C0"/>
                <w:szCs w:val="21"/>
              </w:rPr>
              <w:t>报价已包含终身提供软件升级服务,并开放设备接口，派人配合与医院各信息系统的连接工作</w:t>
            </w:r>
            <w:r>
              <w:rPr>
                <w:rFonts w:hint="eastAsia" w:asciiTheme="minorEastAsia" w:hAnsiTheme="minorEastAsia" w:eastAsiaTheme="minorEastAsia"/>
                <w:bCs/>
                <w:szCs w:val="21"/>
              </w:rPr>
              <w:t>，直至该设备与医院信息系统可进行完整的数据交换；在设备保修期内，当医院信息系统变更并需要与该设备连接时，</w:t>
            </w:r>
            <w:r>
              <w:rPr>
                <w:rFonts w:hint="eastAsia" w:asciiTheme="minorEastAsia" w:hAnsiTheme="minorEastAsia" w:eastAsiaTheme="minorEastAsia"/>
                <w:bCs/>
                <w:color w:val="0070C0"/>
                <w:szCs w:val="21"/>
              </w:rPr>
              <w:t>需派人</w:t>
            </w:r>
            <w:r>
              <w:rPr>
                <w:rFonts w:hint="eastAsia" w:asciiTheme="minorEastAsia" w:hAnsiTheme="minorEastAsia" w:eastAsiaTheme="minorEastAsia"/>
                <w:bCs/>
                <w:szCs w:val="21"/>
              </w:rPr>
              <w:t>配合直至该设备与医院信息系统可进行完整的数据交换</w:t>
            </w:r>
            <w:r>
              <w:rPr>
                <w:rFonts w:hint="eastAsia" w:asciiTheme="minorEastAsia" w:hAnsiTheme="minorEastAsia" w:eastAsiaTheme="minorEastAsia"/>
                <w:bCs/>
                <w:color w:val="0070C0"/>
                <w:szCs w:val="21"/>
              </w:rPr>
              <w:t>，且采购人无需另行支付费用。</w:t>
            </w:r>
          </w:p>
          <w:p w14:paraId="2AE0CC9B">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7.5质保期内【设备故障率】≤【 5 】%。【设备故障率】未达要求的，每升高【1】%，质保期顺延【30 】天。当【设备故障率】≥【 10 】%时，投标人必须在采购人提出要求之日起【 30 】日内无条件更换新机，并按该设备总价的【5】%向采购人支付违约金，由此造成采购人其他损失的，中标人应另行赔偿。中标人维修的指定邮箱</w:t>
            </w:r>
            <w:r>
              <w:rPr>
                <w:rFonts w:asciiTheme="minorEastAsia" w:hAnsiTheme="minorEastAsia" w:eastAsiaTheme="minorEastAsia"/>
                <w:bCs/>
                <w:szCs w:val="21"/>
              </w:rPr>
              <w:t>，</w:t>
            </w:r>
            <w:r>
              <w:rPr>
                <w:rFonts w:hint="eastAsia" w:asciiTheme="minorEastAsia" w:hAnsiTheme="minorEastAsia" w:eastAsiaTheme="minorEastAsia"/>
                <w:bCs/>
                <w:szCs w:val="21"/>
              </w:rPr>
              <w:t>采购人维修通知的邮件发出后，视为采购人的维修通知送达中标人。</w:t>
            </w:r>
          </w:p>
          <w:p w14:paraId="5609040D">
            <w:pPr>
              <w:adjustRightInd w:val="0"/>
              <w:snapToGrid w:val="0"/>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7.6</w:t>
            </w:r>
            <w:r>
              <w:rPr>
                <w:rFonts w:hint="eastAsia"/>
              </w:rPr>
              <w:t>质保期满后，中标人应以优惠价供应维修零配件、消耗品。签订合同时填写合同模板中的《设备配套消耗材料报价单》和《设备主要维修配件报价单》。采购人可与中标人就优惠价进行谈判，但优惠价不得高于签订合同时承诺的维修零配件、消耗品的报价。</w:t>
            </w:r>
            <w:r>
              <w:rPr>
                <w:rFonts w:hint="eastAsia" w:asciiTheme="minorEastAsia" w:hAnsiTheme="minorEastAsia" w:eastAsiaTheme="minorEastAsia"/>
                <w:bCs/>
                <w:szCs w:val="21"/>
              </w:rPr>
              <w:t>质保期</w:t>
            </w:r>
            <w:r>
              <w:rPr>
                <w:rFonts w:asciiTheme="minorEastAsia" w:hAnsiTheme="minorEastAsia" w:eastAsiaTheme="minorEastAsia"/>
                <w:bCs/>
                <w:szCs w:val="21"/>
              </w:rPr>
              <w:t>满后，</w:t>
            </w:r>
            <w:r>
              <w:rPr>
                <w:rFonts w:hint="eastAsia" w:asciiTheme="minorEastAsia" w:hAnsiTheme="minorEastAsia" w:eastAsiaTheme="minorEastAsia"/>
                <w:bCs/>
                <w:szCs w:val="21"/>
              </w:rPr>
              <w:t>中标</w:t>
            </w:r>
            <w:r>
              <w:rPr>
                <w:rFonts w:asciiTheme="minorEastAsia" w:hAnsiTheme="minorEastAsia" w:eastAsiaTheme="minorEastAsia"/>
                <w:bCs/>
                <w:szCs w:val="21"/>
              </w:rPr>
              <w:t>人应以优惠价供应维修零配件、消耗品和延续保修合同。价格最高的前5项零配件、消耗品和延续保修合同的报价明细必须填写于《合同报价清单》中。采购人可与</w:t>
            </w:r>
            <w:r>
              <w:rPr>
                <w:rFonts w:hint="eastAsia" w:asciiTheme="minorEastAsia" w:hAnsiTheme="minorEastAsia" w:eastAsiaTheme="minorEastAsia"/>
                <w:bCs/>
                <w:szCs w:val="21"/>
              </w:rPr>
              <w:t>中标</w:t>
            </w:r>
            <w:r>
              <w:rPr>
                <w:rFonts w:asciiTheme="minorEastAsia" w:hAnsiTheme="minorEastAsia" w:eastAsiaTheme="minorEastAsia"/>
                <w:bCs/>
                <w:szCs w:val="21"/>
              </w:rPr>
              <w:t>人就优惠价进行谈判，但优惠价不得高于</w:t>
            </w:r>
            <w:r>
              <w:rPr>
                <w:rFonts w:hint="eastAsia" w:asciiTheme="minorEastAsia" w:hAnsiTheme="minorEastAsia" w:eastAsiaTheme="minorEastAsia"/>
                <w:bCs/>
                <w:szCs w:val="21"/>
              </w:rPr>
              <w:t>中标</w:t>
            </w:r>
            <w:r>
              <w:rPr>
                <w:rFonts w:asciiTheme="minorEastAsia" w:hAnsiTheme="minorEastAsia" w:eastAsiaTheme="minorEastAsia"/>
                <w:bCs/>
                <w:szCs w:val="21"/>
              </w:rPr>
              <w:t>人在投标文件的《零配件、消耗品和延续保修合同报价清单》中承诺的维修零配件、消耗品和延续保修合同的报价。</w:t>
            </w:r>
          </w:p>
        </w:tc>
      </w:tr>
      <w:tr w14:paraId="44983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04A83AA0">
            <w:pPr>
              <w:adjustRightInd w:val="0"/>
              <w:snapToGrid w:val="0"/>
              <w:rPr>
                <w:rFonts w:hint="eastAsia" w:asciiTheme="majorEastAsia" w:hAnsiTheme="majorEastAsia" w:eastAsiaTheme="majorEastAsia"/>
                <w:b/>
                <w:sz w:val="24"/>
                <w:szCs w:val="21"/>
                <w:highlight w:val="yellow"/>
                <w:lang w:val="en-US" w:eastAsia="zh-CN"/>
              </w:rPr>
            </w:pPr>
            <w:r>
              <w:rPr>
                <w:rFonts w:hint="eastAsia" w:asciiTheme="majorEastAsia" w:hAnsiTheme="majorEastAsia" w:eastAsiaTheme="majorEastAsia"/>
                <w:b/>
                <w:sz w:val="24"/>
                <w:szCs w:val="21"/>
              </w:rPr>
              <w:t xml:space="preserve">八、培训要求 </w:t>
            </w:r>
          </w:p>
        </w:tc>
        <w:tc>
          <w:tcPr>
            <w:tcW w:w="8261" w:type="dxa"/>
            <w:gridSpan w:val="2"/>
            <w:vAlign w:val="top"/>
          </w:tcPr>
          <w:p w14:paraId="74E63E0B">
            <w:pPr>
              <w:adjustRightInd w:val="0"/>
              <w:snapToGrid w:val="0"/>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需针对临床使用人员及工程人员设计培训方案，主要内容包括但不限于：临床使用及维护保养培训：设备的基本结构、性能、主要部件的构造及修理，日常使用保养与管理，常见故障的排除，紧急情况的处理等,直至能独立操作并附培训方案。</w:t>
            </w:r>
          </w:p>
        </w:tc>
      </w:tr>
      <w:tr w14:paraId="6474F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vAlign w:val="top"/>
          </w:tcPr>
          <w:p w14:paraId="7C1728DD">
            <w:pPr>
              <w:adjustRightInd w:val="0"/>
              <w:snapToGrid w:val="0"/>
              <w:rPr>
                <w:rFonts w:hint="eastAsia" w:asciiTheme="majorEastAsia" w:hAnsiTheme="majorEastAsia" w:eastAsiaTheme="majorEastAsia"/>
                <w:b/>
                <w:sz w:val="24"/>
                <w:szCs w:val="21"/>
                <w:highlight w:val="yellow"/>
                <w:lang w:val="en-US" w:eastAsia="zh-CN"/>
              </w:rPr>
            </w:pPr>
            <w:r>
              <w:rPr>
                <w:rFonts w:hint="eastAsia" w:asciiTheme="majorEastAsia" w:hAnsiTheme="majorEastAsia" w:eastAsiaTheme="majorEastAsia"/>
                <w:b/>
                <w:sz w:val="24"/>
                <w:szCs w:val="21"/>
              </w:rPr>
              <w:t>九、违约责任</w:t>
            </w:r>
          </w:p>
        </w:tc>
        <w:tc>
          <w:tcPr>
            <w:tcW w:w="8261" w:type="dxa"/>
            <w:gridSpan w:val="2"/>
            <w:vAlign w:val="top"/>
          </w:tcPr>
          <w:p w14:paraId="5CF44D94">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9.1中标人所交设备的品种、型号、规格、质量、功能、技术参数等方面不能实质性满足招标文件，</w:t>
            </w:r>
            <w:r>
              <w:rPr>
                <w:rFonts w:asciiTheme="minorEastAsia" w:hAnsiTheme="minorEastAsia" w:eastAsiaTheme="minorEastAsia"/>
                <w:bCs/>
                <w:szCs w:val="21"/>
              </w:rPr>
              <w:t>交付的货物不符合合同规定的</w:t>
            </w:r>
            <w:r>
              <w:rPr>
                <w:rFonts w:hint="eastAsia" w:asciiTheme="minorEastAsia" w:hAnsiTheme="minorEastAsia" w:eastAsiaTheme="minorEastAsia"/>
                <w:bCs/>
                <w:szCs w:val="21"/>
              </w:rPr>
              <w:t>，采购人有权拒绝收货，且中标</w:t>
            </w:r>
            <w:r>
              <w:rPr>
                <w:rFonts w:asciiTheme="minorEastAsia" w:hAnsiTheme="minorEastAsia" w:eastAsiaTheme="minorEastAsia"/>
                <w:bCs/>
                <w:szCs w:val="21"/>
              </w:rPr>
              <w:t>人向采购人支付合同总价的5%</w:t>
            </w:r>
            <w:r>
              <w:rPr>
                <w:rFonts w:hint="eastAsia" w:asciiTheme="minorEastAsia" w:hAnsiTheme="minorEastAsia" w:eastAsiaTheme="minorEastAsia"/>
                <w:bCs/>
                <w:szCs w:val="21"/>
              </w:rPr>
              <w:t>的违约金。</w:t>
            </w:r>
          </w:p>
          <w:p w14:paraId="12CAA4A7">
            <w:pPr>
              <w:adjustRightInd w:val="0"/>
              <w:snapToGrid w:val="0"/>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9.2中标人逾期交货，或逾期完成安装调试，或货物逾期通过验收的，中标人均应支付逾期违约金，每日按合同总价的5‰计算；逾期超过三十日的，中标人需向采购人另行支付合同总价的10%的违约金，且采购人有权单方解除本合同，中标人于收到采购人发出的解除通知书后三日内无条件退回采购人已支付的全部款项。此条款与9.1条同时执行。</w:t>
            </w:r>
          </w:p>
        </w:tc>
      </w:tr>
      <w:tr w14:paraId="4BD0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765" w:type="dxa"/>
            <w:gridSpan w:val="3"/>
            <w:tcBorders>
              <w:bottom w:val="single" w:color="auto" w:sz="4" w:space="0"/>
            </w:tcBorders>
            <w:vAlign w:val="top"/>
          </w:tcPr>
          <w:p w14:paraId="3975AA6A">
            <w:pPr>
              <w:adjustRightInd w:val="0"/>
              <w:snapToGrid w:val="0"/>
              <w:rPr>
                <w:rFonts w:hint="eastAsia" w:asciiTheme="majorEastAsia" w:hAnsiTheme="majorEastAsia" w:eastAsiaTheme="majorEastAsia"/>
                <w:b/>
                <w:sz w:val="24"/>
                <w:szCs w:val="21"/>
                <w:highlight w:val="yellow"/>
                <w:lang w:val="en-US" w:eastAsia="zh-CN"/>
              </w:rPr>
            </w:pPr>
            <w:r>
              <w:rPr>
                <w:rFonts w:hint="eastAsia" w:asciiTheme="majorEastAsia" w:hAnsiTheme="majorEastAsia" w:eastAsiaTheme="majorEastAsia"/>
                <w:b/>
                <w:sz w:val="24"/>
                <w:szCs w:val="21"/>
              </w:rPr>
              <w:t>十、其他</w:t>
            </w:r>
          </w:p>
        </w:tc>
        <w:tc>
          <w:tcPr>
            <w:tcW w:w="8261" w:type="dxa"/>
            <w:gridSpan w:val="2"/>
            <w:tcBorders>
              <w:bottom w:val="single" w:color="auto" w:sz="4" w:space="0"/>
            </w:tcBorders>
            <w:vAlign w:val="top"/>
          </w:tcPr>
          <w:p w14:paraId="0D6D38FC">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10.1如有设备相关耗材、试剂或易损器械，设备及主要维修配件，请提供并分别列出它们的优惠价格。</w:t>
            </w:r>
          </w:p>
          <w:p w14:paraId="118BE091">
            <w:pPr>
              <w:adjustRightInd w:val="0"/>
              <w:snapToGrid w:val="0"/>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10.2设备电源插头符合使用科室现有的插座，如不符合提供相应的插头转换接口。</w:t>
            </w:r>
          </w:p>
          <w:p w14:paraId="7DF814FF">
            <w:pPr>
              <w:adjustRightInd w:val="0"/>
              <w:snapToGrid w:val="0"/>
              <w:ind w:firstLine="420" w:firstLineChars="200"/>
              <w:rPr>
                <w:rFonts w:asciiTheme="minorEastAsia" w:hAnsiTheme="minorEastAsia" w:eastAsiaTheme="minorEastAsia"/>
                <w:bCs/>
                <w:szCs w:val="21"/>
              </w:rPr>
            </w:pPr>
            <w:r>
              <w:rPr>
                <w:rFonts w:asciiTheme="minorEastAsia" w:hAnsiTheme="minorEastAsia" w:eastAsiaTheme="minorEastAsia"/>
                <w:bCs/>
                <w:szCs w:val="21"/>
              </w:rPr>
              <w:t>10.</w:t>
            </w:r>
            <w:r>
              <w:rPr>
                <w:rFonts w:hint="eastAsia" w:asciiTheme="minorEastAsia" w:hAnsiTheme="minorEastAsia" w:eastAsiaTheme="minorEastAsia"/>
                <w:bCs/>
                <w:szCs w:val="21"/>
              </w:rPr>
              <w:t>3如涉及工程类需提供相关的电路图、施工图，安装工程所涉及到的全部费用（包含但不限于装修费、旧设备拆装费、总承包管理服务费、安装如涉及外接电源、网络、给排水、排风等必须对现有设施进行改造或增加管线、材料及人工等），均由中标人承担，电源电线插座、长度和用电等需符合采购人的使用要求，所供设备均需妥善安装确保采购人可正常使用。</w:t>
            </w:r>
          </w:p>
          <w:p w14:paraId="471F89F3">
            <w:pPr>
              <w:adjustRightInd w:val="0"/>
              <w:snapToGrid w:val="0"/>
              <w:ind w:firstLine="420" w:firstLineChars="200"/>
              <w:rPr>
                <w:rFonts w:hint="eastAsia" w:asciiTheme="minorEastAsia" w:hAnsiTheme="minorEastAsia" w:eastAsiaTheme="minorEastAsia"/>
                <w:bCs/>
                <w:szCs w:val="21"/>
              </w:rPr>
            </w:pPr>
            <w:r>
              <w:rPr>
                <w:rFonts w:hint="eastAsia" w:asciiTheme="minorEastAsia" w:hAnsiTheme="minorEastAsia" w:eastAsiaTheme="minorEastAsia"/>
                <w:bCs/>
                <w:szCs w:val="21"/>
              </w:rPr>
              <w:t>10.4中标人所交付货物、工程或服务不符合其投标承诺的，或在投标阶段为中标而盲目虚假承诺、低价恶性竞争，在履约阶段则通过偷工减料、以次充好而获取利润的，将不予验收，并交主管部门遵照相关规定处理，所有责任由中标人一力承担。</w:t>
            </w:r>
          </w:p>
        </w:tc>
      </w:tr>
    </w:tbl>
    <w:p w14:paraId="27F7CDA4">
      <w:pPr>
        <w:spacing w:line="360" w:lineRule="auto"/>
        <w:ind w:firstLine="150" w:firstLineChars="100"/>
        <w:rPr>
          <w:rFonts w:cs="方正小标宋简体" w:asciiTheme="majorEastAsia" w:hAnsiTheme="majorEastAsia" w:eastAsiaTheme="majorEastAsia"/>
          <w:sz w:val="15"/>
          <w:szCs w:val="15"/>
        </w:rPr>
      </w:pPr>
    </w:p>
    <w:p w14:paraId="737F8FB1">
      <w:pPr>
        <w:spacing w:line="540" w:lineRule="exact"/>
        <w:ind w:left="400"/>
        <w:jc w:val="center"/>
        <w:rPr>
          <w:rFonts w:cs="方正小标宋简体" w:asciiTheme="majorEastAsia" w:hAnsiTheme="majorEastAsia" w:eastAsiaTheme="majorEastAsia"/>
          <w:b/>
          <w:sz w:val="36"/>
          <w:szCs w:val="36"/>
        </w:rPr>
      </w:pPr>
      <w:r>
        <w:rPr>
          <w:rFonts w:hint="eastAsia" w:cs="方正小标宋简体" w:asciiTheme="majorEastAsia" w:hAnsiTheme="majorEastAsia" w:eastAsiaTheme="majorEastAsia"/>
          <w:b/>
          <w:sz w:val="36"/>
          <w:szCs w:val="36"/>
        </w:rPr>
        <w:t>第三部分</w:t>
      </w:r>
      <w:r>
        <w:rPr>
          <w:rFonts w:cs="方正小标宋简体" w:asciiTheme="majorEastAsia" w:hAnsiTheme="majorEastAsia" w:eastAsiaTheme="majorEastAsia"/>
          <w:b/>
          <w:sz w:val="36"/>
          <w:szCs w:val="36"/>
        </w:rPr>
        <w:t xml:space="preserve"> </w:t>
      </w:r>
      <w:r>
        <w:rPr>
          <w:rFonts w:hint="eastAsia" w:cs="方正小标宋简体" w:asciiTheme="majorEastAsia" w:hAnsiTheme="majorEastAsia" w:eastAsiaTheme="majorEastAsia"/>
          <w:b/>
          <w:sz w:val="36"/>
          <w:szCs w:val="36"/>
        </w:rPr>
        <w:t>其他说明</w:t>
      </w:r>
    </w:p>
    <w:p w14:paraId="2CAF579C">
      <w:pPr>
        <w:pStyle w:val="3"/>
        <w:ind w:left="400"/>
        <w:rPr>
          <w:rFonts w:asciiTheme="majorEastAsia" w:hAnsiTheme="majorEastAsia" w:eastAsiaTheme="majorEastAsia"/>
        </w:rPr>
      </w:pPr>
      <w:r>
        <w:rPr>
          <w:rFonts w:hint="eastAsia" w:asciiTheme="majorEastAsia" w:hAnsiTheme="majorEastAsia" w:eastAsiaTheme="majorEastAsia"/>
        </w:rPr>
        <w:t>（如有需特殊说明的情况，请列明，包括但不限于设备有专机专用试剂耗材、安装场地要求、信息系统等特殊需求）</w:t>
      </w:r>
    </w:p>
    <w:tbl>
      <w:tblPr>
        <w:tblStyle w:val="9"/>
        <w:tblW w:w="10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60"/>
        <w:gridCol w:w="7760"/>
      </w:tblGrid>
      <w:tr w14:paraId="7346D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4A2F0EB2">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有无配套耗材</w:t>
            </w:r>
          </w:p>
        </w:tc>
        <w:tc>
          <w:tcPr>
            <w:tcW w:w="7760" w:type="dxa"/>
            <w:vAlign w:val="center"/>
          </w:tcPr>
          <w:p w14:paraId="0F838CA3">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有配套耗材（是否专机专用：□是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否）（具体列明）：</w:t>
            </w:r>
            <w:r>
              <w:rPr>
                <w:rFonts w:hint="eastAsia" w:asciiTheme="majorEastAsia" w:hAnsiTheme="majorEastAsia" w:eastAsiaTheme="majorEastAsia"/>
                <w:b/>
                <w:sz w:val="24"/>
                <w:szCs w:val="21"/>
                <w:u w:val="single"/>
                <w:lang w:val="en-US" w:eastAsia="zh-CN"/>
              </w:rPr>
              <w:t>理疗电极片</w:t>
            </w:r>
          </w:p>
          <w:p w14:paraId="5FC7147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p w14:paraId="336FAFFA">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是否需要新准入：</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是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否</w:t>
            </w:r>
          </w:p>
          <w:p w14:paraId="7E950F4C">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□无配套耗材 </w:t>
            </w:r>
          </w:p>
        </w:tc>
      </w:tr>
      <w:tr w14:paraId="0E173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7D35E9A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有无配套试剂</w:t>
            </w:r>
          </w:p>
        </w:tc>
        <w:tc>
          <w:tcPr>
            <w:tcW w:w="7760" w:type="dxa"/>
            <w:vAlign w:val="center"/>
          </w:tcPr>
          <w:p w14:paraId="1207FBC6">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□有配套试剂（是否专机专用：□是 □否）（具体列明）：___________</w:t>
            </w:r>
          </w:p>
          <w:p w14:paraId="60FDE6B1">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 xml:space="preserve">  是否有同类在库：□是 □否</w:t>
            </w:r>
          </w:p>
          <w:p w14:paraId="4942B2D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无配套试剂 </w:t>
            </w:r>
          </w:p>
        </w:tc>
      </w:tr>
      <w:tr w14:paraId="4002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2524FFB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安装场地特殊条件</w:t>
            </w:r>
          </w:p>
        </w:tc>
        <w:tc>
          <w:tcPr>
            <w:tcW w:w="7760" w:type="dxa"/>
            <w:vAlign w:val="center"/>
          </w:tcPr>
          <w:p w14:paraId="337C6A0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599D3E8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46788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3DEF49F5">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信息系统配套设施（接口费等）</w:t>
            </w:r>
          </w:p>
        </w:tc>
        <w:tc>
          <w:tcPr>
            <w:tcW w:w="7760" w:type="dxa"/>
            <w:vAlign w:val="center"/>
          </w:tcPr>
          <w:p w14:paraId="7CDFFF8D">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□有（具体列明）：______________________</w:t>
            </w:r>
          </w:p>
          <w:p w14:paraId="7DA89C28">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无   </w:t>
            </w:r>
          </w:p>
        </w:tc>
      </w:tr>
      <w:tr w14:paraId="669FB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2660" w:type="dxa"/>
            <w:vAlign w:val="center"/>
          </w:tcPr>
          <w:p w14:paraId="67DE15B0">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是否三家以上生产厂家为中小微企业</w:t>
            </w:r>
          </w:p>
        </w:tc>
        <w:tc>
          <w:tcPr>
            <w:tcW w:w="7760" w:type="dxa"/>
            <w:vAlign w:val="center"/>
          </w:tcPr>
          <w:p w14:paraId="66557EF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是（具体列明）：□中型企业；</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小微企业</w:t>
            </w:r>
          </w:p>
          <w:p w14:paraId="761949F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□否</w:t>
            </w:r>
          </w:p>
        </w:tc>
      </w:tr>
      <w:tr w14:paraId="1607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2660" w:type="dxa"/>
            <w:vAlign w:val="center"/>
          </w:tcPr>
          <w:p w14:paraId="2515DD99">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设备使用年限</w:t>
            </w:r>
          </w:p>
        </w:tc>
        <w:tc>
          <w:tcPr>
            <w:tcW w:w="7760" w:type="dxa"/>
            <w:vAlign w:val="center"/>
          </w:tcPr>
          <w:p w14:paraId="3F332D36">
            <w:pPr>
              <w:adjustRightInd w:val="0"/>
              <w:snapToGrid w:val="0"/>
              <w:rPr>
                <w:rFonts w:hint="default" w:ascii="宋体" w:hAnsi="宋体" w:eastAsia="宋体" w:cs="宋体"/>
                <w:bCs/>
                <w:color w:val="000000"/>
                <w:szCs w:val="21"/>
                <w:lang w:val="en-US" w:eastAsia="zh-CN"/>
              </w:rPr>
            </w:pPr>
            <w:r>
              <w:rPr>
                <w:rFonts w:hint="eastAsia" w:ascii="宋体" w:hAnsi="宋体" w:cs="宋体"/>
                <w:bCs/>
                <w:color w:val="000000"/>
                <w:szCs w:val="21"/>
                <w:lang w:val="en-US" w:eastAsia="zh-CN"/>
              </w:rPr>
              <w:t>10年</w:t>
            </w:r>
          </w:p>
        </w:tc>
      </w:tr>
      <w:tr w14:paraId="50B7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5B6B302E">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是否纳入医疗器械目录</w:t>
            </w:r>
          </w:p>
        </w:tc>
        <w:tc>
          <w:tcPr>
            <w:tcW w:w="7760" w:type="dxa"/>
            <w:vAlign w:val="center"/>
          </w:tcPr>
          <w:p w14:paraId="7A3CCD67">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 xml:space="preserve">有（具体列明）：□一类  </w:t>
            </w:r>
            <w:r>
              <w:rPr>
                <w:rFonts w:hint="eastAsia" w:asciiTheme="majorEastAsia" w:hAnsiTheme="majorEastAsia" w:eastAsiaTheme="majorEastAsia"/>
                <w:b/>
                <w:sz w:val="24"/>
                <w:szCs w:val="21"/>
                <w:lang w:eastAsia="zh-CN"/>
              </w:rPr>
              <w:t>☑</w:t>
            </w:r>
            <w:r>
              <w:rPr>
                <w:rFonts w:hint="eastAsia" w:asciiTheme="majorEastAsia" w:hAnsiTheme="majorEastAsia" w:eastAsiaTheme="majorEastAsia"/>
                <w:b/>
                <w:sz w:val="24"/>
                <w:szCs w:val="21"/>
              </w:rPr>
              <w:t>二类   □三类   □至少为   类</w:t>
            </w:r>
          </w:p>
          <w:p w14:paraId="16A502EE">
            <w:pPr>
              <w:adjustRightInd w:val="0"/>
              <w:snapToGrid w:val="0"/>
              <w:rPr>
                <w:rFonts w:ascii="宋体" w:hAnsi="宋体" w:cs="宋体"/>
                <w:bCs/>
                <w:color w:val="000000"/>
                <w:szCs w:val="21"/>
              </w:rPr>
            </w:pPr>
            <w:r>
              <w:rPr>
                <w:rFonts w:hint="eastAsia" w:asciiTheme="majorEastAsia" w:hAnsiTheme="majorEastAsia" w:eastAsiaTheme="majorEastAsia"/>
                <w:b/>
                <w:sz w:val="24"/>
                <w:szCs w:val="21"/>
              </w:rPr>
              <w:t xml:space="preserve">□无  </w:t>
            </w:r>
          </w:p>
        </w:tc>
      </w:tr>
      <w:tr w14:paraId="0C8C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60" w:type="dxa"/>
            <w:vAlign w:val="center"/>
          </w:tcPr>
          <w:p w14:paraId="0E8C56A4">
            <w:pPr>
              <w:adjustRightInd w:val="0"/>
              <w:snapToGrid w:val="0"/>
              <w:rPr>
                <w:rFonts w:asciiTheme="majorEastAsia" w:hAnsiTheme="majorEastAsia" w:eastAsiaTheme="majorEastAsia"/>
                <w:b/>
                <w:sz w:val="24"/>
                <w:szCs w:val="21"/>
              </w:rPr>
            </w:pPr>
            <w:r>
              <w:rPr>
                <w:rFonts w:hint="eastAsia" w:asciiTheme="majorEastAsia" w:hAnsiTheme="majorEastAsia" w:eastAsiaTheme="majorEastAsia"/>
                <w:b/>
                <w:sz w:val="24"/>
                <w:szCs w:val="21"/>
              </w:rPr>
              <w:t>其他设备特殊资格要求</w:t>
            </w:r>
          </w:p>
        </w:tc>
        <w:tc>
          <w:tcPr>
            <w:tcW w:w="7760" w:type="dxa"/>
            <w:vAlign w:val="center"/>
          </w:tcPr>
          <w:p w14:paraId="5C783353">
            <w:pPr>
              <w:adjustRightInd w:val="0"/>
              <w:snapToGrid w:val="0"/>
              <w:rPr>
                <w:rFonts w:hint="eastAsia" w:asciiTheme="majorEastAsia" w:hAnsiTheme="majorEastAsia" w:eastAsiaTheme="majorEastAsia"/>
                <w:b/>
                <w:sz w:val="24"/>
                <w:szCs w:val="21"/>
                <w:lang w:val="en-US" w:eastAsia="zh-CN"/>
              </w:rPr>
            </w:pPr>
            <w:r>
              <w:rPr>
                <w:rFonts w:hint="eastAsia" w:asciiTheme="majorEastAsia" w:hAnsiTheme="majorEastAsia" w:eastAsiaTheme="majorEastAsia"/>
                <w:b/>
                <w:sz w:val="24"/>
                <w:szCs w:val="21"/>
                <w:lang w:val="en-US" w:eastAsia="zh-CN"/>
              </w:rPr>
              <w:t>无</w:t>
            </w:r>
          </w:p>
        </w:tc>
      </w:tr>
    </w:tbl>
    <w:p w14:paraId="5B67B85C">
      <w:pPr>
        <w:spacing w:line="540" w:lineRule="exact"/>
        <w:ind w:left="400"/>
        <w:jc w:val="center"/>
        <w:rPr>
          <w:rFonts w:cs="方正小标宋简体" w:asciiTheme="majorEastAsia" w:hAnsiTheme="majorEastAsia" w:eastAsiaTheme="majorEastAsia"/>
          <w:sz w:val="36"/>
          <w:szCs w:val="36"/>
        </w:rPr>
      </w:pPr>
    </w:p>
    <w:p w14:paraId="03E1AF71">
      <w:pPr>
        <w:widowControl/>
        <w:jc w:val="left"/>
        <w:rPr>
          <w:rFonts w:cs="方正小标宋简体" w:asciiTheme="majorEastAsia" w:hAnsiTheme="majorEastAsia" w:eastAsiaTheme="majorEastAsia"/>
          <w:sz w:val="36"/>
          <w:szCs w:val="36"/>
        </w:rPr>
      </w:pPr>
    </w:p>
    <w:p w14:paraId="6F8B6149">
      <w:pPr>
        <w:spacing w:line="360" w:lineRule="auto"/>
        <w:ind w:left="400"/>
        <w:jc w:val="center"/>
        <w:rPr>
          <w:rFonts w:cs="方正小标宋简体" w:asciiTheme="majorEastAsia" w:hAnsiTheme="majorEastAsia" w:eastAsiaTheme="majorEastAsia"/>
          <w:sz w:val="36"/>
          <w:szCs w:val="36"/>
        </w:rPr>
      </w:pPr>
      <w:r>
        <w:rPr>
          <w:rFonts w:hint="eastAsia" w:cs="方正小标宋简体" w:asciiTheme="majorEastAsia" w:hAnsiTheme="majorEastAsia" w:eastAsiaTheme="majorEastAsia"/>
          <w:b/>
          <w:sz w:val="36"/>
          <w:szCs w:val="36"/>
        </w:rPr>
        <w:t>第四部分 零配件、消耗品和延续保修合同报价明细清单</w:t>
      </w:r>
    </w:p>
    <w:p w14:paraId="1D4E9215">
      <w:pPr>
        <w:adjustRightInd w:val="0"/>
        <w:snapToGrid w:val="0"/>
        <w:spacing w:line="360" w:lineRule="auto"/>
        <w:jc w:val="center"/>
        <w:rPr>
          <w:rFonts w:asciiTheme="majorEastAsia" w:hAnsiTheme="majorEastAsia" w:eastAsiaTheme="majorEastAsia"/>
          <w:bCs/>
          <w:sz w:val="28"/>
        </w:rPr>
      </w:pPr>
      <w:r>
        <w:rPr>
          <w:rFonts w:hint="eastAsia" w:asciiTheme="majorEastAsia" w:hAnsiTheme="majorEastAsia" w:eastAsiaTheme="majorEastAsia"/>
          <w:bCs/>
          <w:sz w:val="28"/>
        </w:rPr>
        <w:t>（该部分报价不包括在预算总价内）</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2258"/>
        <w:gridCol w:w="1657"/>
        <w:gridCol w:w="1657"/>
        <w:gridCol w:w="1657"/>
        <w:gridCol w:w="1672"/>
      </w:tblGrid>
      <w:tr w14:paraId="79CD4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101" w:type="dxa"/>
            <w:vAlign w:val="center"/>
          </w:tcPr>
          <w:p w14:paraId="44B38F55">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序号</w:t>
            </w:r>
          </w:p>
        </w:tc>
        <w:tc>
          <w:tcPr>
            <w:tcW w:w="2371" w:type="dxa"/>
            <w:vAlign w:val="center"/>
          </w:tcPr>
          <w:p w14:paraId="7C4F7CAD">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货物</w:t>
            </w:r>
            <w:r>
              <w:rPr>
                <w:rFonts w:asciiTheme="majorEastAsia" w:hAnsiTheme="majorEastAsia" w:eastAsiaTheme="majorEastAsia"/>
                <w:b/>
                <w:sz w:val="24"/>
                <w:szCs w:val="21"/>
              </w:rPr>
              <w:t>名称</w:t>
            </w:r>
          </w:p>
        </w:tc>
        <w:tc>
          <w:tcPr>
            <w:tcW w:w="1737" w:type="dxa"/>
            <w:vAlign w:val="center"/>
          </w:tcPr>
          <w:p w14:paraId="2BD7BB3B">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规格/型号</w:t>
            </w:r>
          </w:p>
        </w:tc>
        <w:tc>
          <w:tcPr>
            <w:tcW w:w="1737" w:type="dxa"/>
            <w:vAlign w:val="center"/>
          </w:tcPr>
          <w:p w14:paraId="480C59DA">
            <w:pPr>
              <w:adjustRightInd w:val="0"/>
              <w:snapToGrid w:val="0"/>
              <w:spacing w:line="300" w:lineRule="auto"/>
              <w:jc w:val="center"/>
              <w:rPr>
                <w:rFonts w:asciiTheme="majorEastAsia" w:hAnsiTheme="majorEastAsia" w:eastAsiaTheme="majorEastAsia"/>
                <w:b/>
                <w:sz w:val="24"/>
                <w:szCs w:val="21"/>
              </w:rPr>
            </w:pPr>
            <w:r>
              <w:rPr>
                <w:rFonts w:asciiTheme="majorEastAsia" w:hAnsiTheme="majorEastAsia" w:eastAsiaTheme="majorEastAsia"/>
                <w:b/>
                <w:sz w:val="24"/>
                <w:szCs w:val="21"/>
              </w:rPr>
              <w:t>制造厂商</w:t>
            </w:r>
          </w:p>
        </w:tc>
        <w:tc>
          <w:tcPr>
            <w:tcW w:w="1737" w:type="dxa"/>
            <w:vAlign w:val="center"/>
          </w:tcPr>
          <w:p w14:paraId="70781A51">
            <w:pPr>
              <w:adjustRightInd w:val="0"/>
              <w:snapToGrid w:val="0"/>
              <w:spacing w:line="300" w:lineRule="auto"/>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原产地</w:t>
            </w:r>
          </w:p>
        </w:tc>
        <w:tc>
          <w:tcPr>
            <w:tcW w:w="1737" w:type="dxa"/>
            <w:vAlign w:val="center"/>
          </w:tcPr>
          <w:p w14:paraId="1EEEBCAF">
            <w:pPr>
              <w:jc w:val="center"/>
              <w:rPr>
                <w:rFonts w:asciiTheme="majorEastAsia" w:hAnsiTheme="majorEastAsia" w:eastAsiaTheme="majorEastAsia"/>
                <w:b/>
                <w:sz w:val="24"/>
                <w:szCs w:val="21"/>
              </w:rPr>
            </w:pPr>
            <w:r>
              <w:rPr>
                <w:rFonts w:hint="eastAsia" w:asciiTheme="majorEastAsia" w:hAnsiTheme="majorEastAsia" w:eastAsiaTheme="majorEastAsia"/>
                <w:b/>
                <w:sz w:val="24"/>
                <w:szCs w:val="21"/>
              </w:rPr>
              <w:t>单价(元)</w:t>
            </w:r>
          </w:p>
        </w:tc>
      </w:tr>
      <w:tr w14:paraId="406FD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101" w:type="dxa"/>
          </w:tcPr>
          <w:p w14:paraId="4FA872AB">
            <w:pPr>
              <w:widowControl/>
              <w:jc w:val="center"/>
              <w:rPr>
                <w:rFonts w:hint="default" w:ascii="Times New Roman" w:hAnsi="Times New Roman" w:eastAsia="宋体" w:cs="Times New Roman"/>
                <w:sz w:val="24"/>
              </w:rPr>
            </w:pPr>
            <w:r>
              <w:rPr>
                <w:rFonts w:hint="default" w:ascii="Times New Roman" w:hAnsi="Times New Roman" w:eastAsia="宋体" w:cs="Times New Roman"/>
                <w:sz w:val="24"/>
              </w:rPr>
              <w:t>1</w:t>
            </w:r>
          </w:p>
        </w:tc>
        <w:tc>
          <w:tcPr>
            <w:tcW w:w="2371" w:type="dxa"/>
            <w:vAlign w:val="center"/>
          </w:tcPr>
          <w:p w14:paraId="4954A273">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电极线</w:t>
            </w:r>
          </w:p>
        </w:tc>
        <w:tc>
          <w:tcPr>
            <w:tcW w:w="1737" w:type="dxa"/>
            <w:shd w:val="clear" w:color="auto" w:fill="auto"/>
            <w:vAlign w:val="center"/>
          </w:tcPr>
          <w:p w14:paraId="562C389B">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center"/>
          </w:tcPr>
          <w:p w14:paraId="05A28FA8">
            <w:pPr>
              <w:spacing w:line="240" w:lineRule="auto"/>
              <w:jc w:val="center"/>
              <w:rPr>
                <w:rFonts w:hint="default" w:ascii="Times New Roman" w:hAnsi="Times New Roman" w:eastAsia="宋体" w:cs="Times New Roman"/>
                <w:sz w:val="24"/>
                <w:lang w:val="en-US" w:eastAsia="zh-CN"/>
              </w:rPr>
            </w:pPr>
          </w:p>
        </w:tc>
        <w:tc>
          <w:tcPr>
            <w:tcW w:w="1737" w:type="dxa"/>
          </w:tcPr>
          <w:p w14:paraId="07BA2FB6">
            <w:pPr>
              <w:widowControl/>
              <w:jc w:val="center"/>
              <w:rPr>
                <w:rFonts w:hint="default" w:ascii="Times New Roman" w:hAnsi="Times New Roman" w:eastAsia="宋体" w:cs="Times New Roman"/>
                <w:sz w:val="22"/>
                <w:szCs w:val="22"/>
                <w:lang w:val="en-US" w:eastAsia="zh-CN"/>
              </w:rPr>
            </w:pPr>
          </w:p>
        </w:tc>
        <w:tc>
          <w:tcPr>
            <w:tcW w:w="1737" w:type="dxa"/>
            <w:shd w:val="clear" w:color="auto" w:fill="auto"/>
            <w:vAlign w:val="center"/>
          </w:tcPr>
          <w:p w14:paraId="395DF9C4">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r w14:paraId="1C95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01" w:type="dxa"/>
          </w:tcPr>
          <w:p w14:paraId="5D56C958">
            <w:pPr>
              <w:widowControl/>
              <w:jc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val="en-US" w:eastAsia="zh-CN"/>
              </w:rPr>
              <w:t>2</w:t>
            </w:r>
          </w:p>
        </w:tc>
        <w:tc>
          <w:tcPr>
            <w:tcW w:w="2371" w:type="dxa"/>
            <w:vAlign w:val="center"/>
          </w:tcPr>
          <w:p w14:paraId="3E3DDBAB">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耳夹电极</w:t>
            </w:r>
          </w:p>
        </w:tc>
        <w:tc>
          <w:tcPr>
            <w:tcW w:w="1737" w:type="dxa"/>
            <w:shd w:val="clear" w:color="auto" w:fill="auto"/>
            <w:vAlign w:val="center"/>
          </w:tcPr>
          <w:p w14:paraId="769D9206">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center"/>
          </w:tcPr>
          <w:p w14:paraId="1DA5014B">
            <w:pPr>
              <w:spacing w:line="240" w:lineRule="auto"/>
              <w:jc w:val="center"/>
              <w:rPr>
                <w:rFonts w:hint="default" w:ascii="Times New Roman" w:hAnsi="Times New Roman" w:eastAsia="宋体" w:cs="Times New Roman"/>
                <w:sz w:val="24"/>
              </w:rPr>
            </w:pPr>
          </w:p>
        </w:tc>
        <w:tc>
          <w:tcPr>
            <w:tcW w:w="1737" w:type="dxa"/>
          </w:tcPr>
          <w:p w14:paraId="05A23D99">
            <w:pPr>
              <w:widowControl/>
              <w:jc w:val="center"/>
              <w:rPr>
                <w:rFonts w:hint="default" w:ascii="Times New Roman" w:hAnsi="Times New Roman" w:eastAsia="宋体" w:cs="Times New Roman"/>
                <w:sz w:val="22"/>
                <w:szCs w:val="22"/>
              </w:rPr>
            </w:pPr>
          </w:p>
        </w:tc>
        <w:tc>
          <w:tcPr>
            <w:tcW w:w="1737" w:type="dxa"/>
            <w:shd w:val="clear" w:color="auto" w:fill="auto"/>
            <w:vAlign w:val="center"/>
          </w:tcPr>
          <w:p w14:paraId="5CE13BCF">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r w14:paraId="3A1DE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1D8502AC">
            <w:pPr>
              <w:widowControl/>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3</w:t>
            </w:r>
          </w:p>
        </w:tc>
        <w:tc>
          <w:tcPr>
            <w:tcW w:w="2371" w:type="dxa"/>
            <w:vAlign w:val="center"/>
          </w:tcPr>
          <w:p w14:paraId="1B38C534">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垫圈/吸水棉</w:t>
            </w:r>
          </w:p>
        </w:tc>
        <w:tc>
          <w:tcPr>
            <w:tcW w:w="1737" w:type="dxa"/>
            <w:shd w:val="clear" w:color="auto" w:fill="auto"/>
            <w:vAlign w:val="center"/>
          </w:tcPr>
          <w:p w14:paraId="1DE032B0">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center"/>
          </w:tcPr>
          <w:p w14:paraId="6B1BD275">
            <w:pPr>
              <w:spacing w:line="240" w:lineRule="auto"/>
              <w:jc w:val="center"/>
              <w:rPr>
                <w:rFonts w:hint="default" w:ascii="Times New Roman" w:hAnsi="Times New Roman" w:eastAsia="宋体" w:cs="Times New Roman"/>
                <w:sz w:val="24"/>
              </w:rPr>
            </w:pPr>
          </w:p>
        </w:tc>
        <w:tc>
          <w:tcPr>
            <w:tcW w:w="1737" w:type="dxa"/>
          </w:tcPr>
          <w:p w14:paraId="3D185CF0">
            <w:pPr>
              <w:widowControl/>
              <w:jc w:val="center"/>
              <w:rPr>
                <w:rFonts w:hint="default" w:ascii="Times New Roman" w:hAnsi="Times New Roman" w:eastAsia="宋体" w:cs="Times New Roman"/>
                <w:sz w:val="22"/>
                <w:szCs w:val="22"/>
              </w:rPr>
            </w:pPr>
          </w:p>
        </w:tc>
        <w:tc>
          <w:tcPr>
            <w:tcW w:w="1737" w:type="dxa"/>
            <w:shd w:val="clear" w:color="auto" w:fill="auto"/>
            <w:vAlign w:val="center"/>
          </w:tcPr>
          <w:p w14:paraId="7FD154B4">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r w14:paraId="25E7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56D09582">
            <w:pPr>
              <w:widowControl/>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4</w:t>
            </w:r>
          </w:p>
        </w:tc>
        <w:tc>
          <w:tcPr>
            <w:tcW w:w="2371" w:type="dxa"/>
            <w:vAlign w:val="center"/>
          </w:tcPr>
          <w:p w14:paraId="3C032102">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（矩形）理疗电极片</w:t>
            </w:r>
          </w:p>
        </w:tc>
        <w:tc>
          <w:tcPr>
            <w:tcW w:w="1737" w:type="dxa"/>
            <w:shd w:val="clear" w:color="auto" w:fill="auto"/>
            <w:vAlign w:val="center"/>
          </w:tcPr>
          <w:p w14:paraId="4FB48978">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center"/>
          </w:tcPr>
          <w:p w14:paraId="330A7C8B">
            <w:pPr>
              <w:spacing w:line="240" w:lineRule="auto"/>
              <w:jc w:val="center"/>
              <w:rPr>
                <w:rFonts w:hint="default" w:ascii="Times New Roman" w:hAnsi="Times New Roman" w:eastAsia="宋体" w:cs="Times New Roman"/>
                <w:sz w:val="24"/>
              </w:rPr>
            </w:pPr>
          </w:p>
        </w:tc>
        <w:tc>
          <w:tcPr>
            <w:tcW w:w="1737" w:type="dxa"/>
          </w:tcPr>
          <w:p w14:paraId="0839E278">
            <w:pPr>
              <w:widowControl/>
              <w:jc w:val="center"/>
              <w:rPr>
                <w:rFonts w:hint="default" w:ascii="Times New Roman" w:hAnsi="Times New Roman" w:eastAsia="宋体" w:cs="Times New Roman"/>
                <w:sz w:val="22"/>
                <w:szCs w:val="22"/>
              </w:rPr>
            </w:pPr>
          </w:p>
        </w:tc>
        <w:tc>
          <w:tcPr>
            <w:tcW w:w="1737" w:type="dxa"/>
            <w:shd w:val="clear" w:color="auto" w:fill="auto"/>
            <w:vAlign w:val="center"/>
          </w:tcPr>
          <w:p w14:paraId="5B4AE134">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r w14:paraId="1623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741508D9">
            <w:pPr>
              <w:widowControl/>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5</w:t>
            </w:r>
          </w:p>
        </w:tc>
        <w:tc>
          <w:tcPr>
            <w:tcW w:w="2371" w:type="dxa"/>
            <w:vAlign w:val="center"/>
          </w:tcPr>
          <w:p w14:paraId="38543172">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（矩形）海绵套</w:t>
            </w:r>
          </w:p>
        </w:tc>
        <w:tc>
          <w:tcPr>
            <w:tcW w:w="1737" w:type="dxa"/>
            <w:shd w:val="clear" w:color="auto" w:fill="auto"/>
            <w:vAlign w:val="center"/>
          </w:tcPr>
          <w:p w14:paraId="30830B43">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center"/>
          </w:tcPr>
          <w:p w14:paraId="11926E58">
            <w:pPr>
              <w:spacing w:line="240" w:lineRule="auto"/>
              <w:jc w:val="center"/>
              <w:rPr>
                <w:rFonts w:hint="default" w:ascii="Times New Roman" w:hAnsi="Times New Roman" w:eastAsia="宋体" w:cs="Times New Roman"/>
                <w:sz w:val="24"/>
              </w:rPr>
            </w:pPr>
          </w:p>
        </w:tc>
        <w:tc>
          <w:tcPr>
            <w:tcW w:w="1737" w:type="dxa"/>
          </w:tcPr>
          <w:p w14:paraId="51AAFB53">
            <w:pPr>
              <w:widowControl/>
              <w:jc w:val="center"/>
              <w:rPr>
                <w:rFonts w:hint="default" w:ascii="Times New Roman" w:hAnsi="Times New Roman" w:eastAsia="宋体" w:cs="Times New Roman"/>
                <w:sz w:val="22"/>
                <w:szCs w:val="22"/>
              </w:rPr>
            </w:pPr>
          </w:p>
        </w:tc>
        <w:tc>
          <w:tcPr>
            <w:tcW w:w="1737" w:type="dxa"/>
            <w:shd w:val="clear" w:color="auto" w:fill="auto"/>
            <w:vAlign w:val="center"/>
          </w:tcPr>
          <w:p w14:paraId="13486EC8">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r w14:paraId="14017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01" w:type="dxa"/>
          </w:tcPr>
          <w:p w14:paraId="13C3BE0E">
            <w:pPr>
              <w:widowControl/>
              <w:jc w:val="center"/>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6</w:t>
            </w:r>
          </w:p>
        </w:tc>
        <w:tc>
          <w:tcPr>
            <w:tcW w:w="2371" w:type="dxa"/>
            <w:vAlign w:val="center"/>
          </w:tcPr>
          <w:p w14:paraId="504604C4">
            <w:pPr>
              <w:spacing w:line="240" w:lineRule="auto"/>
              <w:jc w:val="center"/>
              <w:rPr>
                <w:rFonts w:hint="default" w:ascii="Times New Roman" w:hAnsi="Times New Roman" w:eastAsia="宋体" w:cs="Times New Roman"/>
                <w:sz w:val="24"/>
              </w:rPr>
            </w:pPr>
            <w:r>
              <w:rPr>
                <w:rFonts w:hint="default" w:ascii="Times New Roman" w:hAnsi="Times New Roman" w:eastAsia="宋体" w:cs="Times New Roman"/>
                <w:color w:val="auto"/>
                <w:spacing w:val="-20"/>
                <w:kern w:val="2"/>
                <w:sz w:val="21"/>
                <w:szCs w:val="21"/>
                <w:highlight w:val="none"/>
                <w:lang w:val="en-US" w:eastAsia="zh-CN" w:bidi="ar-SA"/>
              </w:rPr>
              <w:t>绑带</w:t>
            </w:r>
          </w:p>
        </w:tc>
        <w:tc>
          <w:tcPr>
            <w:tcW w:w="1737" w:type="dxa"/>
            <w:shd w:val="clear" w:color="auto" w:fill="auto"/>
            <w:vAlign w:val="center"/>
          </w:tcPr>
          <w:p w14:paraId="659CE204">
            <w:pPr>
              <w:spacing w:line="240" w:lineRule="auto"/>
              <w:jc w:val="center"/>
              <w:rPr>
                <w:rFonts w:hint="default" w:ascii="Times New Roman" w:hAnsi="Times New Roman" w:eastAsia="宋体" w:cs="Times New Roman"/>
                <w:color w:val="auto"/>
                <w:spacing w:val="-20"/>
                <w:kern w:val="2"/>
                <w:sz w:val="21"/>
                <w:szCs w:val="21"/>
                <w:highlight w:val="none"/>
                <w:lang w:val="en-US" w:eastAsia="zh-CN" w:bidi="ar-SA"/>
              </w:rPr>
            </w:pPr>
          </w:p>
        </w:tc>
        <w:tc>
          <w:tcPr>
            <w:tcW w:w="1737" w:type="dxa"/>
            <w:vAlign w:val="top"/>
          </w:tcPr>
          <w:p w14:paraId="790686ED">
            <w:pPr>
              <w:spacing w:line="240" w:lineRule="auto"/>
              <w:jc w:val="center"/>
              <w:rPr>
                <w:rFonts w:hint="default" w:ascii="Times New Roman" w:hAnsi="Times New Roman" w:eastAsia="宋体" w:cs="Times New Roman"/>
                <w:sz w:val="24"/>
              </w:rPr>
            </w:pPr>
          </w:p>
        </w:tc>
        <w:tc>
          <w:tcPr>
            <w:tcW w:w="1737" w:type="dxa"/>
          </w:tcPr>
          <w:p w14:paraId="64A07E1F">
            <w:pPr>
              <w:widowControl/>
              <w:jc w:val="center"/>
              <w:rPr>
                <w:rFonts w:hint="default" w:ascii="Times New Roman" w:hAnsi="Times New Roman" w:eastAsia="宋体" w:cs="Times New Roman"/>
                <w:sz w:val="22"/>
                <w:szCs w:val="22"/>
              </w:rPr>
            </w:pPr>
          </w:p>
        </w:tc>
        <w:tc>
          <w:tcPr>
            <w:tcW w:w="1737" w:type="dxa"/>
            <w:shd w:val="clear" w:color="auto" w:fill="auto"/>
            <w:vAlign w:val="center"/>
          </w:tcPr>
          <w:p w14:paraId="4C1C86E1">
            <w:pPr>
              <w:spacing w:line="240" w:lineRule="auto"/>
              <w:jc w:val="center"/>
              <w:rPr>
                <w:rFonts w:hint="default" w:ascii="Times New Roman" w:hAnsi="Times New Roman" w:eastAsia="宋体" w:cs="Times New Roman"/>
                <w:color w:val="000000" w:themeColor="text1"/>
                <w:spacing w:val="-20"/>
                <w:kern w:val="2"/>
                <w:sz w:val="21"/>
                <w:szCs w:val="21"/>
                <w:highlight w:val="none"/>
                <w:lang w:val="en-US" w:eastAsia="zh-CN" w:bidi="ar-SA"/>
                <w14:textFill>
                  <w14:solidFill>
                    <w14:schemeClr w14:val="tx1"/>
                  </w14:solidFill>
                </w14:textFill>
              </w:rPr>
            </w:pPr>
          </w:p>
        </w:tc>
      </w:tr>
    </w:tbl>
    <w:p w14:paraId="65C7A961">
      <w:pPr>
        <w:adjustRightInd w:val="0"/>
        <w:snapToGrid w:val="0"/>
        <w:spacing w:line="300" w:lineRule="auto"/>
        <w:jc w:val="center"/>
        <w:rPr>
          <w:rFonts w:asciiTheme="majorEastAsia" w:hAnsiTheme="majorEastAsia" w:eastAsiaTheme="majorEastAsia"/>
          <w:b/>
          <w:sz w:val="24"/>
          <w:szCs w:val="21"/>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4"/>
        <w:gridCol w:w="3903"/>
        <w:gridCol w:w="2484"/>
        <w:gridCol w:w="2511"/>
      </w:tblGrid>
      <w:tr w14:paraId="7F47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01" w:type="dxa"/>
            <w:vAlign w:val="center"/>
          </w:tcPr>
          <w:p w14:paraId="24EE86A9">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序号</w:t>
            </w:r>
          </w:p>
        </w:tc>
        <w:tc>
          <w:tcPr>
            <w:tcW w:w="4109" w:type="dxa"/>
            <w:vAlign w:val="center"/>
          </w:tcPr>
          <w:p w14:paraId="62ED0D11">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服务名称</w:t>
            </w:r>
          </w:p>
        </w:tc>
        <w:tc>
          <w:tcPr>
            <w:tcW w:w="2605" w:type="dxa"/>
            <w:vAlign w:val="center"/>
          </w:tcPr>
          <w:p w14:paraId="6351DFD4">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服务内容</w:t>
            </w:r>
          </w:p>
        </w:tc>
        <w:tc>
          <w:tcPr>
            <w:tcW w:w="2605" w:type="dxa"/>
            <w:vAlign w:val="center"/>
          </w:tcPr>
          <w:p w14:paraId="5312872B">
            <w:pPr>
              <w:adjustRightInd w:val="0"/>
              <w:snapToGrid w:val="0"/>
              <w:spacing w:line="300" w:lineRule="auto"/>
              <w:jc w:val="center"/>
              <w:rPr>
                <w:rFonts w:asciiTheme="majorEastAsia" w:hAnsiTheme="majorEastAsia" w:eastAsiaTheme="majorEastAsia"/>
                <w:b/>
                <w:sz w:val="24"/>
              </w:rPr>
            </w:pPr>
            <w:r>
              <w:rPr>
                <w:rFonts w:hint="eastAsia" w:asciiTheme="majorEastAsia" w:hAnsiTheme="majorEastAsia" w:eastAsiaTheme="majorEastAsia"/>
                <w:b/>
                <w:sz w:val="24"/>
              </w:rPr>
              <w:t>价格（元）</w:t>
            </w:r>
          </w:p>
        </w:tc>
      </w:tr>
      <w:tr w14:paraId="6ADE0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101" w:type="dxa"/>
            <w:vAlign w:val="center"/>
          </w:tcPr>
          <w:p w14:paraId="583AB822">
            <w:pPr>
              <w:widowControl/>
              <w:jc w:val="center"/>
              <w:rPr>
                <w:rFonts w:asciiTheme="majorEastAsia" w:hAnsiTheme="majorEastAsia" w:eastAsiaTheme="majorEastAsia"/>
                <w:b/>
                <w:sz w:val="24"/>
              </w:rPr>
            </w:pPr>
            <w:r>
              <w:rPr>
                <w:rFonts w:hint="eastAsia" w:asciiTheme="majorEastAsia" w:hAnsiTheme="majorEastAsia" w:eastAsiaTheme="majorEastAsia"/>
                <w:b/>
                <w:sz w:val="24"/>
              </w:rPr>
              <w:t>1</w:t>
            </w:r>
          </w:p>
        </w:tc>
        <w:tc>
          <w:tcPr>
            <w:tcW w:w="4109" w:type="dxa"/>
            <w:vAlign w:val="center"/>
          </w:tcPr>
          <w:p w14:paraId="0142DDBF">
            <w:pPr>
              <w:widowControl/>
              <w:jc w:val="center"/>
              <w:rPr>
                <w:rFonts w:asciiTheme="majorEastAsia" w:hAnsiTheme="majorEastAsia" w:eastAsiaTheme="majorEastAsia"/>
                <w:b/>
                <w:sz w:val="24"/>
              </w:rPr>
            </w:pPr>
            <w:r>
              <w:rPr>
                <w:rFonts w:hint="eastAsia" w:asciiTheme="majorEastAsia" w:hAnsiTheme="majorEastAsia" w:eastAsiaTheme="majorEastAsia"/>
                <w:b/>
                <w:sz w:val="24"/>
              </w:rPr>
              <w:t>三年延续保修合同</w:t>
            </w:r>
          </w:p>
        </w:tc>
        <w:tc>
          <w:tcPr>
            <w:tcW w:w="2605" w:type="dxa"/>
            <w:vAlign w:val="center"/>
          </w:tcPr>
          <w:p w14:paraId="5CF15508">
            <w:pPr>
              <w:widowControl/>
              <w:jc w:val="center"/>
              <w:rPr>
                <w:rFonts w:cs="方正小标宋简体" w:asciiTheme="majorEastAsia" w:hAnsiTheme="majorEastAsia" w:eastAsiaTheme="majorEastAsia"/>
                <w:sz w:val="24"/>
              </w:rPr>
            </w:pPr>
          </w:p>
        </w:tc>
        <w:tc>
          <w:tcPr>
            <w:tcW w:w="2605" w:type="dxa"/>
            <w:vAlign w:val="center"/>
          </w:tcPr>
          <w:p w14:paraId="3FA002BB">
            <w:pPr>
              <w:widowControl/>
              <w:jc w:val="center"/>
              <w:rPr>
                <w:rFonts w:cs="方正小标宋简体" w:asciiTheme="majorEastAsia" w:hAnsiTheme="majorEastAsia" w:eastAsiaTheme="majorEastAsia"/>
                <w:sz w:val="24"/>
              </w:rPr>
            </w:pPr>
          </w:p>
        </w:tc>
      </w:tr>
      <w:tr w14:paraId="5AAE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01" w:type="dxa"/>
          </w:tcPr>
          <w:p w14:paraId="0A96DD46">
            <w:pPr>
              <w:widowControl/>
              <w:rPr>
                <w:rFonts w:cs="方正小标宋简体" w:asciiTheme="majorEastAsia" w:hAnsiTheme="majorEastAsia" w:eastAsiaTheme="majorEastAsia"/>
                <w:sz w:val="24"/>
              </w:rPr>
            </w:pPr>
          </w:p>
        </w:tc>
        <w:tc>
          <w:tcPr>
            <w:tcW w:w="4109" w:type="dxa"/>
          </w:tcPr>
          <w:p w14:paraId="07967E95">
            <w:pPr>
              <w:widowControl/>
              <w:rPr>
                <w:rFonts w:cs="方正小标宋简体" w:asciiTheme="majorEastAsia" w:hAnsiTheme="majorEastAsia" w:eastAsiaTheme="majorEastAsia"/>
                <w:sz w:val="24"/>
              </w:rPr>
            </w:pPr>
          </w:p>
        </w:tc>
        <w:tc>
          <w:tcPr>
            <w:tcW w:w="2605" w:type="dxa"/>
          </w:tcPr>
          <w:p w14:paraId="4147D2DA">
            <w:pPr>
              <w:widowControl/>
              <w:rPr>
                <w:rFonts w:cs="方正小标宋简体" w:asciiTheme="majorEastAsia" w:hAnsiTheme="majorEastAsia" w:eastAsiaTheme="majorEastAsia"/>
                <w:sz w:val="24"/>
              </w:rPr>
            </w:pPr>
          </w:p>
        </w:tc>
        <w:tc>
          <w:tcPr>
            <w:tcW w:w="2605" w:type="dxa"/>
          </w:tcPr>
          <w:p w14:paraId="65349BF9">
            <w:pPr>
              <w:widowControl/>
              <w:rPr>
                <w:rFonts w:cs="方正小标宋简体" w:asciiTheme="majorEastAsia" w:hAnsiTheme="majorEastAsia" w:eastAsiaTheme="majorEastAsia"/>
                <w:sz w:val="24"/>
              </w:rPr>
            </w:pPr>
          </w:p>
        </w:tc>
      </w:tr>
    </w:tbl>
    <w:p w14:paraId="5EBBBF43">
      <w:pPr>
        <w:adjustRightInd w:val="0"/>
        <w:snapToGrid w:val="0"/>
        <w:spacing w:line="300" w:lineRule="auto"/>
        <w:ind w:firstLine="285" w:firstLineChars="135"/>
        <w:jc w:val="left"/>
        <w:rPr>
          <w:rFonts w:asciiTheme="minorEastAsia" w:hAnsiTheme="minorEastAsia" w:eastAsiaTheme="minorEastAsia"/>
          <w:b/>
          <w:snapToGrid w:val="0"/>
          <w:color w:val="000000"/>
          <w:kern w:val="0"/>
        </w:rPr>
      </w:pPr>
      <w:r>
        <w:rPr>
          <w:rFonts w:hint="eastAsia" w:asciiTheme="minorEastAsia" w:hAnsiTheme="minorEastAsia" w:eastAsiaTheme="minorEastAsia"/>
          <w:b/>
          <w:snapToGrid w:val="0"/>
          <w:color w:val="000000"/>
          <w:kern w:val="0"/>
        </w:rPr>
        <w:t>注：价格最高的前</w:t>
      </w:r>
      <w:r>
        <w:rPr>
          <w:rFonts w:asciiTheme="minorEastAsia" w:hAnsiTheme="minorEastAsia" w:eastAsiaTheme="minorEastAsia"/>
          <w:b/>
          <w:snapToGrid w:val="0"/>
          <w:color w:val="000000"/>
          <w:kern w:val="0"/>
        </w:rPr>
        <w:t>5</w:t>
      </w:r>
      <w:r>
        <w:rPr>
          <w:rFonts w:hint="eastAsia" w:asciiTheme="minorEastAsia" w:hAnsiTheme="minorEastAsia" w:eastAsiaTheme="minorEastAsia"/>
          <w:b/>
          <w:snapToGrid w:val="0"/>
          <w:color w:val="000000"/>
          <w:kern w:val="0"/>
        </w:rPr>
        <w:t>项零配件、消耗品和延续保修合同的明细需填写于此表。</w:t>
      </w:r>
    </w:p>
    <w:p w14:paraId="1D36F9F5">
      <w:pPr>
        <w:widowControl/>
        <w:rPr>
          <w:rFonts w:cs="方正小标宋简体" w:asciiTheme="majorEastAsia" w:hAnsiTheme="majorEastAsia" w:eastAsiaTheme="majorEastAsia"/>
          <w:sz w:val="36"/>
          <w:szCs w:val="36"/>
        </w:rPr>
      </w:pPr>
    </w:p>
    <w:p w14:paraId="7CC0FC08">
      <w:pPr>
        <w:widowControl/>
        <w:jc w:val="left"/>
        <w:rPr>
          <w:rFonts w:cs="方正小标宋简体" w:asciiTheme="majorEastAsia" w:hAnsiTheme="majorEastAsia" w:eastAsiaTheme="majorEastAsia"/>
          <w:b/>
          <w:sz w:val="36"/>
          <w:szCs w:val="36"/>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JhengHei UI Light">
    <w:panose1 w:val="020B0304030504040204"/>
    <w:charset w:val="88"/>
    <w:family w:val="swiss"/>
    <w:pitch w:val="default"/>
    <w:sig w:usb0="800002A7" w:usb1="28CF4400" w:usb2="00000016" w:usb3="00000000" w:csb0="00100009" w:csb1="00000000"/>
  </w:font>
  <w:font w:name="方正小标宋简体">
    <w:panose1 w:val="02010601030101010101"/>
    <w:charset w:val="86"/>
    <w:family w:val="script"/>
    <w:pitch w:val="default"/>
    <w:sig w:usb0="00000001" w:usb1="080E0000" w:usb2="00000000" w:usb3="00000000" w:csb0="00040000" w:csb1="00000000"/>
  </w:font>
  <w:font w:name="T3Font_1">
    <w:altName w:val="宋体"/>
    <w:panose1 w:val="00000000000000000000"/>
    <w:charset w:val="86"/>
    <w:family w:val="auto"/>
    <w:pitch w:val="default"/>
    <w:sig w:usb0="00000000" w:usb1="00000000" w:usb2="00000010" w:usb3="00000000" w:csb0="00040000" w:csb1="00000000"/>
    <w:embedRegular r:id="rId1" w:fontKey="{C82AE23B-BA90-40DB-BC1A-B2D316AE52B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394526"/>
    </w:sdtPr>
    <w:sdtContent>
      <w:p w14:paraId="7C586FD3">
        <w:pPr>
          <w:pStyle w:val="6"/>
          <w:jc w:val="center"/>
        </w:pPr>
        <w:r>
          <w:fldChar w:fldCharType="begin"/>
        </w:r>
        <w:r>
          <w:instrText xml:space="preserve"> PAGE   \* MERGEFORMAT </w:instrText>
        </w:r>
        <w:r>
          <w:fldChar w:fldCharType="separate"/>
        </w:r>
        <w:r>
          <w:rPr>
            <w:lang w:val="zh-CN"/>
          </w:rPr>
          <w:t>1</w:t>
        </w:r>
        <w:r>
          <w:rPr>
            <w:lang w:val="zh-CN"/>
          </w:rPr>
          <w:fldChar w:fldCharType="end"/>
        </w:r>
      </w:p>
    </w:sdtContent>
  </w:sdt>
  <w:p w14:paraId="2B1504CA">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870740"/>
    <w:multiLevelType w:val="singleLevel"/>
    <w:tmpl w:val="5B870740"/>
    <w:lvl w:ilvl="0" w:tentative="0">
      <w:start w:val="2"/>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403"/>
    <w:rsid w:val="00014A66"/>
    <w:rsid w:val="000170C1"/>
    <w:rsid w:val="00022431"/>
    <w:rsid w:val="00027A10"/>
    <w:rsid w:val="00047765"/>
    <w:rsid w:val="00056650"/>
    <w:rsid w:val="00077080"/>
    <w:rsid w:val="00094BE5"/>
    <w:rsid w:val="000D332B"/>
    <w:rsid w:val="000D528A"/>
    <w:rsid w:val="00117159"/>
    <w:rsid w:val="00122AB5"/>
    <w:rsid w:val="00127D2E"/>
    <w:rsid w:val="00141F0D"/>
    <w:rsid w:val="00147AA8"/>
    <w:rsid w:val="00147DE0"/>
    <w:rsid w:val="00183D09"/>
    <w:rsid w:val="001A6B02"/>
    <w:rsid w:val="001F5D4E"/>
    <w:rsid w:val="00201CE8"/>
    <w:rsid w:val="00213A4E"/>
    <w:rsid w:val="00214240"/>
    <w:rsid w:val="00216DBD"/>
    <w:rsid w:val="002243DF"/>
    <w:rsid w:val="0024191C"/>
    <w:rsid w:val="00251F0B"/>
    <w:rsid w:val="002850D0"/>
    <w:rsid w:val="0029701C"/>
    <w:rsid w:val="00297C31"/>
    <w:rsid w:val="002B3785"/>
    <w:rsid w:val="003148AA"/>
    <w:rsid w:val="00326BC1"/>
    <w:rsid w:val="00334AA0"/>
    <w:rsid w:val="00352B55"/>
    <w:rsid w:val="003930E9"/>
    <w:rsid w:val="003942D3"/>
    <w:rsid w:val="003D442D"/>
    <w:rsid w:val="003D4C77"/>
    <w:rsid w:val="00423853"/>
    <w:rsid w:val="00497BF4"/>
    <w:rsid w:val="004B1081"/>
    <w:rsid w:val="004B3240"/>
    <w:rsid w:val="004B3CFF"/>
    <w:rsid w:val="004D5E34"/>
    <w:rsid w:val="00523CD5"/>
    <w:rsid w:val="0053721B"/>
    <w:rsid w:val="00542363"/>
    <w:rsid w:val="0055112D"/>
    <w:rsid w:val="00553925"/>
    <w:rsid w:val="005666F4"/>
    <w:rsid w:val="005675B0"/>
    <w:rsid w:val="005772ED"/>
    <w:rsid w:val="00597CA2"/>
    <w:rsid w:val="005A54F1"/>
    <w:rsid w:val="005B3443"/>
    <w:rsid w:val="005C211C"/>
    <w:rsid w:val="005C57CC"/>
    <w:rsid w:val="00603257"/>
    <w:rsid w:val="006231CE"/>
    <w:rsid w:val="0062338B"/>
    <w:rsid w:val="00662021"/>
    <w:rsid w:val="006710A2"/>
    <w:rsid w:val="006C7CF0"/>
    <w:rsid w:val="007130B5"/>
    <w:rsid w:val="00716C4F"/>
    <w:rsid w:val="00750A3D"/>
    <w:rsid w:val="007554DF"/>
    <w:rsid w:val="007772AF"/>
    <w:rsid w:val="00793785"/>
    <w:rsid w:val="007A0C07"/>
    <w:rsid w:val="007A2E18"/>
    <w:rsid w:val="007B1DF4"/>
    <w:rsid w:val="007C4096"/>
    <w:rsid w:val="007D196F"/>
    <w:rsid w:val="007D65D9"/>
    <w:rsid w:val="0080050C"/>
    <w:rsid w:val="00820E08"/>
    <w:rsid w:val="00865E28"/>
    <w:rsid w:val="00871F5E"/>
    <w:rsid w:val="00872D2F"/>
    <w:rsid w:val="00874934"/>
    <w:rsid w:val="00876B02"/>
    <w:rsid w:val="00892E0D"/>
    <w:rsid w:val="008964A3"/>
    <w:rsid w:val="008B74EE"/>
    <w:rsid w:val="008C28A8"/>
    <w:rsid w:val="008D2C79"/>
    <w:rsid w:val="008D3E82"/>
    <w:rsid w:val="008E4143"/>
    <w:rsid w:val="008E78E8"/>
    <w:rsid w:val="0090107D"/>
    <w:rsid w:val="00904FED"/>
    <w:rsid w:val="009122AA"/>
    <w:rsid w:val="00930B23"/>
    <w:rsid w:val="009376BC"/>
    <w:rsid w:val="00937D3D"/>
    <w:rsid w:val="00953822"/>
    <w:rsid w:val="00972C2D"/>
    <w:rsid w:val="009764EB"/>
    <w:rsid w:val="009908D7"/>
    <w:rsid w:val="009B12A1"/>
    <w:rsid w:val="00A043A8"/>
    <w:rsid w:val="00A0782D"/>
    <w:rsid w:val="00A517B7"/>
    <w:rsid w:val="00A619BE"/>
    <w:rsid w:val="00A61FD6"/>
    <w:rsid w:val="00A677F1"/>
    <w:rsid w:val="00A704E6"/>
    <w:rsid w:val="00A878CB"/>
    <w:rsid w:val="00AA4B4A"/>
    <w:rsid w:val="00AB2610"/>
    <w:rsid w:val="00AD3C46"/>
    <w:rsid w:val="00B01564"/>
    <w:rsid w:val="00B06C01"/>
    <w:rsid w:val="00B21F51"/>
    <w:rsid w:val="00BB7DEE"/>
    <w:rsid w:val="00BC5AE8"/>
    <w:rsid w:val="00BC602C"/>
    <w:rsid w:val="00BD08AF"/>
    <w:rsid w:val="00C02E9F"/>
    <w:rsid w:val="00C13828"/>
    <w:rsid w:val="00C22DBC"/>
    <w:rsid w:val="00C32BEC"/>
    <w:rsid w:val="00C35949"/>
    <w:rsid w:val="00C52EBE"/>
    <w:rsid w:val="00C76410"/>
    <w:rsid w:val="00C77FD8"/>
    <w:rsid w:val="00C84938"/>
    <w:rsid w:val="00D25077"/>
    <w:rsid w:val="00D5343F"/>
    <w:rsid w:val="00D82F29"/>
    <w:rsid w:val="00D976F6"/>
    <w:rsid w:val="00DB1E59"/>
    <w:rsid w:val="00DB528F"/>
    <w:rsid w:val="00E93F8F"/>
    <w:rsid w:val="00F0149B"/>
    <w:rsid w:val="00F07294"/>
    <w:rsid w:val="00F23DB0"/>
    <w:rsid w:val="00F464BC"/>
    <w:rsid w:val="00F60CB5"/>
    <w:rsid w:val="00F65BCF"/>
    <w:rsid w:val="00F6788A"/>
    <w:rsid w:val="00F81403"/>
    <w:rsid w:val="00F83533"/>
    <w:rsid w:val="00F906F0"/>
    <w:rsid w:val="00FC40CA"/>
    <w:rsid w:val="00FD0656"/>
    <w:rsid w:val="00FD23ED"/>
    <w:rsid w:val="00FF30DB"/>
    <w:rsid w:val="0611217C"/>
    <w:rsid w:val="07AE3385"/>
    <w:rsid w:val="0B0919F7"/>
    <w:rsid w:val="0B9B77C4"/>
    <w:rsid w:val="0D425DB4"/>
    <w:rsid w:val="0EC62473"/>
    <w:rsid w:val="0F8E7447"/>
    <w:rsid w:val="119B6051"/>
    <w:rsid w:val="12A25084"/>
    <w:rsid w:val="142B2292"/>
    <w:rsid w:val="14363136"/>
    <w:rsid w:val="15FB47D0"/>
    <w:rsid w:val="19495A46"/>
    <w:rsid w:val="19A66D0D"/>
    <w:rsid w:val="1A385FE8"/>
    <w:rsid w:val="1E12700E"/>
    <w:rsid w:val="21971856"/>
    <w:rsid w:val="223034CD"/>
    <w:rsid w:val="22E10C1D"/>
    <w:rsid w:val="241C3A68"/>
    <w:rsid w:val="25AF6E38"/>
    <w:rsid w:val="2B252436"/>
    <w:rsid w:val="359B56E2"/>
    <w:rsid w:val="366D6BB6"/>
    <w:rsid w:val="3EB2662C"/>
    <w:rsid w:val="402E0D20"/>
    <w:rsid w:val="445F60B6"/>
    <w:rsid w:val="4E280CF3"/>
    <w:rsid w:val="51CF0DE7"/>
    <w:rsid w:val="52477810"/>
    <w:rsid w:val="566D4594"/>
    <w:rsid w:val="56DE3911"/>
    <w:rsid w:val="58242AE0"/>
    <w:rsid w:val="58AB396B"/>
    <w:rsid w:val="5BDE3A84"/>
    <w:rsid w:val="5C483C8E"/>
    <w:rsid w:val="5CFA0384"/>
    <w:rsid w:val="663B31C1"/>
    <w:rsid w:val="66AC0259"/>
    <w:rsid w:val="6AFD60D5"/>
    <w:rsid w:val="6F633413"/>
    <w:rsid w:val="6F9E571F"/>
    <w:rsid w:val="73012015"/>
    <w:rsid w:val="73374A1C"/>
    <w:rsid w:val="738F7392"/>
    <w:rsid w:val="73FF337A"/>
    <w:rsid w:val="740C6A82"/>
    <w:rsid w:val="75C203D9"/>
    <w:rsid w:val="762C283F"/>
    <w:rsid w:val="767D5D1E"/>
    <w:rsid w:val="76E03ABB"/>
    <w:rsid w:val="7A6F030F"/>
    <w:rsid w:val="7A89169D"/>
    <w:rsid w:val="7AF206D1"/>
    <w:rsid w:val="7FA44A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semiHidden/>
    <w:unhideWhenUsed/>
    <w:qFormat/>
    <w:uiPriority w:val="99"/>
    <w:pPr>
      <w:jc w:val="left"/>
    </w:pPr>
  </w:style>
  <w:style w:type="paragraph" w:styleId="3">
    <w:name w:val="Body Text"/>
    <w:basedOn w:val="1"/>
    <w:link w:val="22"/>
    <w:qFormat/>
    <w:uiPriority w:val="0"/>
    <w:pPr>
      <w:adjustRightInd w:val="0"/>
      <w:snapToGrid w:val="0"/>
      <w:spacing w:line="500" w:lineRule="atLeast"/>
    </w:pPr>
    <w:rPr>
      <w:rFonts w:ascii="宋体"/>
      <w:bCs/>
      <w:sz w:val="28"/>
    </w:rPr>
  </w:style>
  <w:style w:type="paragraph" w:styleId="4">
    <w:name w:val="Plain Text"/>
    <w:basedOn w:val="1"/>
    <w:link w:val="17"/>
    <w:unhideWhenUsed/>
    <w:qFormat/>
    <w:uiPriority w:val="99"/>
    <w:rPr>
      <w:rFonts w:ascii="宋体" w:hAnsi="Courier New" w:cs="Courier New"/>
      <w:szCs w:val="21"/>
    </w:rPr>
  </w:style>
  <w:style w:type="paragraph" w:styleId="5">
    <w:name w:val="Balloon Text"/>
    <w:basedOn w:val="1"/>
    <w:link w:val="19"/>
    <w:semiHidden/>
    <w:unhideWhenUsed/>
    <w:qFormat/>
    <w:uiPriority w:val="99"/>
    <w:rPr>
      <w:sz w:val="18"/>
      <w:szCs w:val="18"/>
    </w:rPr>
  </w:style>
  <w:style w:type="paragraph" w:styleId="6">
    <w:name w:val="footer"/>
    <w:basedOn w:val="1"/>
    <w:link w:val="15"/>
    <w:unhideWhenUsed/>
    <w:qFormat/>
    <w:uiPriority w:val="99"/>
    <w:pPr>
      <w:tabs>
        <w:tab w:val="center" w:pos="4153"/>
        <w:tab w:val="right" w:pos="8306"/>
      </w:tabs>
      <w:snapToGrid w:val="0"/>
      <w:jc w:val="left"/>
    </w:pPr>
    <w:rPr>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21"/>
    <w:semiHidden/>
    <w:unhideWhenUsed/>
    <w:qFormat/>
    <w:uiPriority w:val="99"/>
    <w:rPr>
      <w:b/>
      <w:bCs/>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rFonts w:ascii="Tahoma" w:hAnsi="Tahoma" w:eastAsia="宋体"/>
      <w:b/>
      <w:bCs/>
      <w:spacing w:val="10"/>
      <w:kern w:val="2"/>
      <w:sz w:val="24"/>
      <w:szCs w:val="24"/>
      <w:lang w:val="en-US" w:eastAsia="zh-CN" w:bidi="ar-SA"/>
    </w:rPr>
  </w:style>
  <w:style w:type="character" w:styleId="13">
    <w:name w:val="annotation reference"/>
    <w:basedOn w:val="11"/>
    <w:semiHidden/>
    <w:unhideWhenUsed/>
    <w:qFormat/>
    <w:uiPriority w:val="99"/>
    <w:rPr>
      <w:sz w:val="21"/>
      <w:szCs w:val="21"/>
    </w:rPr>
  </w:style>
  <w:style w:type="character" w:customStyle="1" w:styleId="14">
    <w:name w:val="页眉 Char"/>
    <w:basedOn w:val="11"/>
    <w:link w:val="7"/>
    <w:qFormat/>
    <w:uiPriority w:val="99"/>
    <w:rPr>
      <w:sz w:val="18"/>
      <w:szCs w:val="18"/>
    </w:rPr>
  </w:style>
  <w:style w:type="character" w:customStyle="1" w:styleId="15">
    <w:name w:val="页脚 Char"/>
    <w:basedOn w:val="11"/>
    <w:link w:val="6"/>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纯文本 Char"/>
    <w:basedOn w:val="11"/>
    <w:link w:val="4"/>
    <w:qFormat/>
    <w:uiPriority w:val="99"/>
    <w:rPr>
      <w:rFonts w:ascii="宋体" w:hAnsi="Courier New" w:eastAsia="宋体" w:cs="Courier New"/>
      <w:szCs w:val="21"/>
    </w:rPr>
  </w:style>
  <w:style w:type="paragraph" w:customStyle="1" w:styleId="18">
    <w:name w:val="样式1 Char Char"/>
    <w:basedOn w:val="1"/>
    <w:next w:val="4"/>
    <w:qFormat/>
    <w:uiPriority w:val="0"/>
    <w:pPr>
      <w:spacing w:line="360" w:lineRule="auto"/>
      <w:ind w:firstLine="516" w:firstLineChars="215"/>
    </w:pPr>
    <w:rPr>
      <w:sz w:val="24"/>
    </w:rPr>
  </w:style>
  <w:style w:type="character" w:customStyle="1" w:styleId="19">
    <w:name w:val="批注框文本 Char"/>
    <w:basedOn w:val="11"/>
    <w:link w:val="5"/>
    <w:semiHidden/>
    <w:qFormat/>
    <w:uiPriority w:val="99"/>
    <w:rPr>
      <w:rFonts w:ascii="Times New Roman" w:hAnsi="Times New Roman" w:eastAsia="宋体" w:cs="Times New Roman"/>
      <w:kern w:val="2"/>
      <w:sz w:val="18"/>
      <w:szCs w:val="18"/>
    </w:rPr>
  </w:style>
  <w:style w:type="character" w:customStyle="1" w:styleId="20">
    <w:name w:val="批注文字 Char"/>
    <w:basedOn w:val="11"/>
    <w:link w:val="2"/>
    <w:semiHidden/>
    <w:qFormat/>
    <w:uiPriority w:val="99"/>
    <w:rPr>
      <w:rFonts w:ascii="Times New Roman" w:hAnsi="Times New Roman" w:eastAsia="宋体" w:cs="Times New Roman"/>
      <w:kern w:val="2"/>
      <w:sz w:val="21"/>
      <w:szCs w:val="24"/>
    </w:rPr>
  </w:style>
  <w:style w:type="character" w:customStyle="1" w:styleId="21">
    <w:name w:val="批注主题 Char"/>
    <w:basedOn w:val="20"/>
    <w:link w:val="8"/>
    <w:semiHidden/>
    <w:qFormat/>
    <w:uiPriority w:val="99"/>
    <w:rPr>
      <w:rFonts w:ascii="Times New Roman" w:hAnsi="Times New Roman" w:eastAsia="宋体" w:cs="Times New Roman"/>
      <w:b/>
      <w:bCs/>
      <w:kern w:val="2"/>
      <w:sz w:val="21"/>
      <w:szCs w:val="24"/>
    </w:rPr>
  </w:style>
  <w:style w:type="character" w:customStyle="1" w:styleId="22">
    <w:name w:val="正文文本 Char"/>
    <w:basedOn w:val="11"/>
    <w:link w:val="3"/>
    <w:qFormat/>
    <w:uiPriority w:val="0"/>
    <w:rPr>
      <w:rFonts w:ascii="宋体" w:hAnsi="Times New Roman" w:eastAsia="宋体" w:cs="Times New Roman"/>
      <w:bCs/>
      <w:kern w:val="2"/>
      <w:sz w:val="28"/>
      <w:szCs w:val="24"/>
    </w:rPr>
  </w:style>
  <w:style w:type="paragraph" w:customStyle="1" w:styleId="23">
    <w:name w:val="正文 A"/>
    <w:qFormat/>
    <w:uiPriority w:val="0"/>
    <w:pPr>
      <w:framePr w:wrap="around" w:vAnchor="margin" w:hAnchor="text" w:y="1"/>
      <w:widowControl w:val="0"/>
    </w:pPr>
    <w:rPr>
      <w:rFonts w:ascii="Microsoft JhengHei UI Light" w:hAnsi="Microsoft JhengHei UI Light" w:eastAsia="Microsoft JhengHei UI Light" w:cs="Microsoft JhengHei UI Light"/>
      <w:color w:val="000000"/>
      <w:sz w:val="22"/>
      <w:szCs w:val="22"/>
      <w:u w:color="000000"/>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32B32-8275-47FC-B073-D1ED476F4A9C}">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4790</Words>
  <Characters>4916</Characters>
  <Lines>90</Lines>
  <Paragraphs>25</Paragraphs>
  <TotalTime>1</TotalTime>
  <ScaleCrop>false</ScaleCrop>
  <LinksUpToDate>false</LinksUpToDate>
  <CharactersWithSpaces>5008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2021-12-23T07:27:00Z</dcterms:created>
  <dc:creator>陈蕾</dc:creator>
  <cp:lastModifiedBy>招采办</cp:lastModifiedBy>
  <dcterms:modified xsi:type="dcterms:W3CDTF">2026-06-18T09:34:49Z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eyJoZGlkIjoiMTYzOTc0ZjU0NThhNjU0Y2ExMTNjNmE4Yzc0YjA3ZTAiLCJ1c2VySWQiOiIxMjM0Njk1MzQ0In0=</vt:lpwstr>
  </property>
  <property fmtid="{D5CDD505-2E9C-101B-9397-08002B2CF9AE}" pid="4" name="ICV">
    <vt:lpwstr>F52B3974B2954192B7FF85A853B5D846_13</vt:lpwstr>
  </property>
</Properties>
</file>