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15DC5">
      <w:pPr>
        <w:spacing w:line="540" w:lineRule="exact"/>
        <w:ind w:firstLine="320" w:firstLineChars="100"/>
        <w:jc w:val="center"/>
        <w:rPr>
          <w:rFonts w:hint="eastAsia" w:ascii="方正小标宋简体" w:hAnsi="方正小标宋简体" w:eastAsia="方正小标宋简体" w:cs="方正小标宋简体"/>
          <w:sz w:val="32"/>
          <w:szCs w:val="32"/>
          <w:highlight w:val="none"/>
          <w:lang w:eastAsia="zh-CN"/>
        </w:rPr>
      </w:pPr>
      <w:r>
        <w:rPr>
          <w:rFonts w:hint="eastAsia" w:ascii="方正小标宋简体" w:hAnsi="方正小标宋简体" w:eastAsia="方正小标宋简体" w:cs="方正小标宋简体"/>
          <w:sz w:val="32"/>
          <w:szCs w:val="32"/>
          <w:highlight w:val="none"/>
          <w:lang w:eastAsia="zh-CN"/>
        </w:rPr>
        <w:t>采购项目内容</w:t>
      </w:r>
    </w:p>
    <w:p w14:paraId="53F4AD9B">
      <w:pPr>
        <w:keepNext w:val="0"/>
        <w:pageBreakBefore w:val="0"/>
        <w:numPr>
          <w:ilvl w:val="0"/>
          <w:numId w:val="2"/>
        </w:numPr>
        <w:kinsoku/>
        <w:overflowPunct/>
        <w:topLinePunct w:val="0"/>
        <w:autoSpaceDE/>
        <w:autoSpaceDN/>
        <w:bidi w:val="0"/>
        <w:snapToGrid w:val="0"/>
        <w:spacing w:line="240" w:lineRule="auto"/>
        <w:ind w:left="0" w:leftChars="0"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项目概况</w:t>
      </w:r>
    </w:p>
    <w:p w14:paraId="2267B9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中山大学附属第八医院（深圳福田）</w:t>
      </w:r>
      <w:r>
        <w:rPr>
          <w:rFonts w:hint="eastAsia" w:asciiTheme="minorEastAsia" w:hAnsiTheme="minorEastAsia" w:cstheme="minorEastAsia"/>
          <w:sz w:val="24"/>
          <w:szCs w:val="24"/>
          <w:highlight w:val="none"/>
          <w:lang w:val="en-US" w:eastAsia="zh-CN"/>
        </w:rPr>
        <w:t>2、3号楼14楼实验室，共有11台空调室外机位于楼层外侧花槽处，无检修平台及安全防护，为保障后续维修维保安全，需将室外机迁移至楼顶</w:t>
      </w:r>
      <w:r>
        <w:rPr>
          <w:rFonts w:hint="eastAsia" w:asciiTheme="minorEastAsia" w:hAnsiTheme="minorEastAsia" w:eastAsiaTheme="minorEastAsia" w:cstheme="minorEastAsia"/>
          <w:sz w:val="24"/>
          <w:szCs w:val="24"/>
          <w:highlight w:val="none"/>
          <w:lang w:val="en-US" w:eastAsia="zh-CN"/>
        </w:rPr>
        <w:t>。</w:t>
      </w:r>
    </w:p>
    <w:p w14:paraId="641B4674">
      <w:pPr>
        <w:keepNext w:val="0"/>
        <w:pageBreakBefore w:val="0"/>
        <w:kinsoku/>
        <w:overflowPunct/>
        <w:topLinePunct w:val="0"/>
        <w:autoSpaceDE/>
        <w:autoSpaceDN/>
        <w:bidi w:val="0"/>
        <w:snapToGrid w:val="0"/>
        <w:spacing w:line="240" w:lineRule="auto"/>
        <w:ind w:firstLine="560"/>
        <w:rPr>
          <w:rFonts w:hint="eastAsia" w:asciiTheme="minorEastAsia" w:hAnsiTheme="minorEastAsia" w:eastAsiaTheme="minorEastAsia" w:cstheme="minorEastAsia"/>
          <w:sz w:val="24"/>
          <w:szCs w:val="24"/>
          <w:highlight w:val="none"/>
          <w:lang w:val="en-US" w:eastAsia="zh-CN"/>
        </w:rPr>
      </w:pPr>
    </w:p>
    <w:p w14:paraId="01CE3E54">
      <w:pPr>
        <w:keepNext w:val="0"/>
        <w:pageBreakBefore w:val="0"/>
        <w:numPr>
          <w:ilvl w:val="0"/>
          <w:numId w:val="2"/>
        </w:numPr>
        <w:kinsoku/>
        <w:overflowPunct/>
        <w:topLinePunct w:val="0"/>
        <w:autoSpaceDE/>
        <w:autoSpaceDN/>
        <w:bidi w:val="0"/>
        <w:snapToGrid w:val="0"/>
        <w:spacing w:line="240" w:lineRule="auto"/>
        <w:ind w:left="0" w:leftChars="0"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服务情况</w:t>
      </w:r>
    </w:p>
    <w:p w14:paraId="46754F26">
      <w:pPr>
        <w:pStyle w:val="8"/>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drawing>
          <wp:inline distT="0" distB="0" distL="114300" distR="114300">
            <wp:extent cx="2529840" cy="3373755"/>
            <wp:effectExtent l="0" t="0" r="3810" b="17145"/>
            <wp:docPr id="1" name="图片 1" descr="60fa0ba9477b5afd1f19cdee762b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0fa0ba9477b5afd1f19cdee762b2265"/>
                    <pic:cNvPicPr>
                      <a:picLocks noChangeAspect="1"/>
                    </pic:cNvPicPr>
                  </pic:nvPicPr>
                  <pic:blipFill>
                    <a:blip r:embed="rId5"/>
                    <a:stretch>
                      <a:fillRect/>
                    </a:stretch>
                  </pic:blipFill>
                  <pic:spPr>
                    <a:xfrm>
                      <a:off x="0" y="0"/>
                      <a:ext cx="2529840" cy="3373755"/>
                    </a:xfrm>
                    <a:prstGeom prst="rect">
                      <a:avLst/>
                    </a:prstGeom>
                  </pic:spPr>
                </pic:pic>
              </a:graphicData>
            </a:graphic>
          </wp:inline>
        </w:drawing>
      </w:r>
      <w:r>
        <w:rPr>
          <w:rFonts w:hint="eastAsia" w:asciiTheme="minorEastAsia" w:hAnsiTheme="minorEastAsia" w:eastAsiaTheme="minorEastAsia" w:cstheme="minorEastAsia"/>
          <w:sz w:val="24"/>
          <w:szCs w:val="24"/>
          <w:highlight w:val="none"/>
          <w:lang w:val="en-US" w:eastAsia="zh-CN"/>
        </w:rPr>
        <w:drawing>
          <wp:inline distT="0" distB="0" distL="114300" distR="114300">
            <wp:extent cx="2545715" cy="3395345"/>
            <wp:effectExtent l="0" t="0" r="6985" b="14605"/>
            <wp:docPr id="2" name="图片 2" descr="c52bdd775d50fa4aa39839c0b82c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52bdd775d50fa4aa39839c0b82c2279"/>
                    <pic:cNvPicPr>
                      <a:picLocks noChangeAspect="1"/>
                    </pic:cNvPicPr>
                  </pic:nvPicPr>
                  <pic:blipFill>
                    <a:blip r:embed="rId6"/>
                    <a:stretch>
                      <a:fillRect/>
                    </a:stretch>
                  </pic:blipFill>
                  <pic:spPr>
                    <a:xfrm>
                      <a:off x="0" y="0"/>
                      <a:ext cx="2545715" cy="3395345"/>
                    </a:xfrm>
                    <a:prstGeom prst="rect">
                      <a:avLst/>
                    </a:prstGeom>
                  </pic:spPr>
                </pic:pic>
              </a:graphicData>
            </a:graphic>
          </wp:inline>
        </w:drawing>
      </w:r>
    </w:p>
    <w:p w14:paraId="44FCBF75">
      <w:pPr>
        <w:rPr>
          <w:rFonts w:hint="eastAsia"/>
          <w:lang w:val="en-US" w:eastAsia="zh-CN"/>
        </w:rPr>
      </w:pPr>
      <w:r>
        <w:rPr>
          <w:rFonts w:hint="eastAsia"/>
          <w:lang w:val="en-US" w:eastAsia="zh-CN"/>
        </w:rPr>
        <w:drawing>
          <wp:inline distT="0" distB="0" distL="114300" distR="114300">
            <wp:extent cx="2539365" cy="3385820"/>
            <wp:effectExtent l="0" t="0" r="13335" b="5080"/>
            <wp:docPr id="4" name="图片 4" descr="8e88a95ba8719ba092406b9392a646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e88a95ba8719ba092406b9392a646e2"/>
                    <pic:cNvPicPr>
                      <a:picLocks noChangeAspect="1"/>
                    </pic:cNvPicPr>
                  </pic:nvPicPr>
                  <pic:blipFill>
                    <a:blip r:embed="rId7"/>
                    <a:stretch>
                      <a:fillRect/>
                    </a:stretch>
                  </pic:blipFill>
                  <pic:spPr>
                    <a:xfrm>
                      <a:off x="0" y="0"/>
                      <a:ext cx="2539365" cy="3385820"/>
                    </a:xfrm>
                    <a:prstGeom prst="rect">
                      <a:avLst/>
                    </a:prstGeom>
                  </pic:spPr>
                </pic:pic>
              </a:graphicData>
            </a:graphic>
          </wp:inline>
        </w:drawing>
      </w:r>
      <w:r>
        <w:rPr>
          <w:rFonts w:hint="eastAsia"/>
          <w:lang w:val="en-US" w:eastAsia="zh-CN"/>
        </w:rPr>
        <w:drawing>
          <wp:inline distT="0" distB="0" distL="114300" distR="114300">
            <wp:extent cx="2360295" cy="3147695"/>
            <wp:effectExtent l="0" t="0" r="1905" b="14605"/>
            <wp:docPr id="5" name="图片 5" descr="ebf34b27a9e2c6650461f2bb21cbb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bf34b27a9e2c6650461f2bb21cbbaa7"/>
                    <pic:cNvPicPr>
                      <a:picLocks noChangeAspect="1"/>
                    </pic:cNvPicPr>
                  </pic:nvPicPr>
                  <pic:blipFill>
                    <a:blip r:embed="rId8"/>
                    <a:stretch>
                      <a:fillRect/>
                    </a:stretch>
                  </pic:blipFill>
                  <pic:spPr>
                    <a:xfrm>
                      <a:off x="0" y="0"/>
                      <a:ext cx="2360295" cy="3147695"/>
                    </a:xfrm>
                    <a:prstGeom prst="rect">
                      <a:avLst/>
                    </a:prstGeom>
                  </pic:spPr>
                </pic:pic>
              </a:graphicData>
            </a:graphic>
          </wp:inline>
        </w:drawing>
      </w:r>
      <w:r>
        <w:rPr>
          <w:rFonts w:hint="eastAsia"/>
          <w:lang w:val="en-US" w:eastAsia="zh-CN"/>
        </w:rPr>
        <w:drawing>
          <wp:inline distT="0" distB="0" distL="114300" distR="114300">
            <wp:extent cx="4598670" cy="3448685"/>
            <wp:effectExtent l="0" t="0" r="11430" b="18415"/>
            <wp:docPr id="3" name="图片 3" descr="58f18ccc2b22f0064c77cd9e65a6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8f18ccc2b22f0064c77cd9e65a60409"/>
                    <pic:cNvPicPr>
                      <a:picLocks noChangeAspect="1"/>
                    </pic:cNvPicPr>
                  </pic:nvPicPr>
                  <pic:blipFill>
                    <a:blip r:embed="rId9"/>
                    <a:stretch>
                      <a:fillRect/>
                    </a:stretch>
                  </pic:blipFill>
                  <pic:spPr>
                    <a:xfrm>
                      <a:off x="0" y="0"/>
                      <a:ext cx="4598670" cy="3448685"/>
                    </a:xfrm>
                    <a:prstGeom prst="rect">
                      <a:avLst/>
                    </a:prstGeom>
                  </pic:spPr>
                </pic:pic>
              </a:graphicData>
            </a:graphic>
          </wp:inline>
        </w:drawing>
      </w:r>
    </w:p>
    <w:p w14:paraId="64B0B122">
      <w:pPr>
        <w:keepNext w:val="0"/>
        <w:pageBreakBefore w:val="0"/>
        <w:numPr>
          <w:ilvl w:val="0"/>
          <w:numId w:val="2"/>
        </w:numPr>
        <w:kinsoku/>
        <w:overflowPunct/>
        <w:topLinePunct w:val="0"/>
        <w:autoSpaceDE/>
        <w:autoSpaceDN/>
        <w:bidi w:val="0"/>
        <w:snapToGrid w:val="0"/>
        <w:spacing w:line="240" w:lineRule="auto"/>
        <w:ind w:left="0" w:leftChars="0" w:firstLine="482" w:firstLineChars="200"/>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服务要求</w:t>
      </w:r>
    </w:p>
    <w:p w14:paraId="708D0CD2">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空调室外机</w:t>
      </w:r>
      <w:r>
        <w:rPr>
          <w:rFonts w:hint="eastAsia" w:ascii="宋体" w:hAnsi="宋体" w:eastAsia="宋体" w:cs="宋体"/>
          <w:color w:val="000000"/>
          <w:kern w:val="0"/>
          <w:sz w:val="24"/>
          <w:szCs w:val="24"/>
          <w:highlight w:val="none"/>
        </w:rPr>
        <w:t>参数</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65kW/台，功率22kW，单台重3</w:t>
      </w:r>
      <w:r>
        <w:rPr>
          <w:rFonts w:hint="eastAsia" w:ascii="宋体" w:hAnsi="宋体" w:eastAsia="宋体" w:cs="宋体"/>
          <w:color w:val="000000"/>
          <w:kern w:val="0"/>
          <w:sz w:val="24"/>
          <w:szCs w:val="24"/>
          <w:highlight w:val="none"/>
          <w:lang w:val="en-US" w:eastAsia="zh-CN"/>
        </w:rPr>
        <w:t>50</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40</w:t>
      </w:r>
      <w:r>
        <w:rPr>
          <w:rFonts w:hint="eastAsia" w:ascii="宋体" w:hAnsi="宋体" w:eastAsia="宋体" w:cs="宋体"/>
          <w:color w:val="000000"/>
          <w:kern w:val="0"/>
          <w:sz w:val="24"/>
          <w:szCs w:val="24"/>
          <w:highlight w:val="none"/>
        </w:rPr>
        <w:t>0kg</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lang w:val="en-US" w:eastAsia="zh-CN"/>
        </w:rPr>
        <w:t>需先拆除外墙中空钢化玻璃，安装完成后恢复。</w:t>
      </w:r>
    </w:p>
    <w:p w14:paraId="0FE5D67E">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投标人提供的人员须经过安全生产培训合格后才可安排上岗工作。对于国家规定一些特殊的工种,提供的人员需具有相应资格，并持证上岗。</w:t>
      </w:r>
    </w:p>
    <w:p w14:paraId="5C55731B">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标人在高空作业前必须认真勘察现场，并按照采购人提出的工作要求，根据建筑物的特点及高空作业规范和要求，制定相应的安全技术措施。投标人项目负责人对现场的作业人员操作规程及安全严格把关，道路作业须设置交通警示标志，确保无任何安全事故发生。</w:t>
      </w:r>
    </w:p>
    <w:p w14:paraId="07750831">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高空作业期间，投标人应保证建筑本体、铝扣板、灯饰、外墙玻璃等所有设施及成品的安全。若发生以上设施及成品的损坏，投标人需做相应的修复及赔偿。</w:t>
      </w:r>
    </w:p>
    <w:p w14:paraId="53B19227">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作业期间，除提供安全警示外，需对院内的车辆、地面行人进出等采取有效的疏导及保护措施，保护措施必须征得采购人许可后实施。</w:t>
      </w:r>
    </w:p>
    <w:p w14:paraId="2CBBF6D0">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投标人在施工前制定的安全技术措施必须征得采购人同意后进行备案，在施工中接受采购人监督，牢固树立“安全第一”的思想。在任何情况下，</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的监督不免除</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在本</w:t>
      </w:r>
      <w:r>
        <w:rPr>
          <w:rFonts w:hint="eastAsia" w:ascii="宋体" w:hAnsi="宋体" w:eastAsia="宋体" w:cs="宋体"/>
          <w:color w:val="000000"/>
          <w:kern w:val="0"/>
          <w:sz w:val="24"/>
          <w:szCs w:val="24"/>
          <w:highlight w:val="none"/>
          <w:lang w:val="en-US" w:eastAsia="zh-CN"/>
        </w:rPr>
        <w:t>合同</w:t>
      </w:r>
      <w:r>
        <w:rPr>
          <w:rFonts w:hint="eastAsia" w:ascii="宋体" w:hAnsi="宋体" w:eastAsia="宋体" w:cs="宋体"/>
          <w:color w:val="000000"/>
          <w:kern w:val="0"/>
          <w:sz w:val="24"/>
          <w:szCs w:val="24"/>
          <w:highlight w:val="none"/>
        </w:rPr>
        <w:t>项下的义务和责任</w:t>
      </w:r>
    </w:p>
    <w:p w14:paraId="415A2D4D">
      <w:pPr>
        <w:pStyle w:val="6"/>
        <w:numPr>
          <w:ilvl w:val="0"/>
          <w:numId w:val="3"/>
        </w:numPr>
        <w:spacing w:beforeLines="25" w:afterLines="25" w:line="360" w:lineRule="auto"/>
        <w:ind w:firstLine="448" w:firstLineChars="187"/>
        <w:rPr>
          <w:rFonts w:ascii="宋体" w:hAnsi="宋体" w:cs="宋体"/>
          <w:sz w:val="21"/>
          <w:szCs w:val="21"/>
          <w:highlight w:val="none"/>
        </w:rPr>
      </w:pPr>
      <w:r>
        <w:rPr>
          <w:rFonts w:hint="eastAsia" w:ascii="宋体" w:hAnsi="宋体" w:eastAsia="宋体" w:cs="宋体"/>
          <w:color w:val="000000"/>
          <w:kern w:val="0"/>
          <w:sz w:val="24"/>
          <w:szCs w:val="24"/>
          <w:highlight w:val="none"/>
        </w:rPr>
        <w:t>为保障其他人员的安全，</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须对作业现场进行封闭，悬挂必要的安全警示牌。并安排工作人员在现场进行巡查，指导现场过往人员。</w:t>
      </w:r>
    </w:p>
    <w:p w14:paraId="2C115A0A">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投标人及其</w:t>
      </w:r>
      <w:r>
        <w:rPr>
          <w:rFonts w:hint="eastAsia" w:ascii="宋体" w:hAnsi="宋体" w:eastAsia="宋体" w:cs="宋体"/>
          <w:color w:val="000000"/>
          <w:kern w:val="0"/>
          <w:sz w:val="24"/>
          <w:szCs w:val="24"/>
          <w:highlight w:val="none"/>
        </w:rPr>
        <w:t>员工</w:t>
      </w:r>
      <w:r>
        <w:rPr>
          <w:rFonts w:hint="eastAsia" w:ascii="宋体" w:hAnsi="宋体" w:eastAsia="宋体" w:cs="宋体"/>
          <w:color w:val="000000"/>
          <w:kern w:val="0"/>
          <w:sz w:val="24"/>
          <w:szCs w:val="24"/>
          <w:highlight w:val="none"/>
          <w:lang w:val="en-US" w:eastAsia="zh-CN"/>
        </w:rPr>
        <w:t>应</w:t>
      </w:r>
      <w:r>
        <w:rPr>
          <w:rFonts w:hint="eastAsia" w:ascii="宋体" w:hAnsi="宋体" w:eastAsia="宋体" w:cs="宋体"/>
          <w:color w:val="000000"/>
          <w:kern w:val="0"/>
          <w:sz w:val="24"/>
          <w:szCs w:val="24"/>
          <w:highlight w:val="none"/>
        </w:rPr>
        <w:t>严格遵守有关作业规定，现场符合安全管理要求，杜绝安全事故的发生，在每一次清洗作业前工作人员必须检查高空作业绳、安全带、吊板扣等工具的安全性。</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工作人员发生安全事故的（含伤亡等），应由</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承担全部责任。</w:t>
      </w:r>
      <w:r>
        <w:rPr>
          <w:rFonts w:hint="eastAsia" w:ascii="宋体" w:hAnsi="宋体" w:eastAsia="宋体" w:cs="宋体"/>
          <w:color w:val="000000"/>
          <w:kern w:val="0"/>
          <w:sz w:val="24"/>
          <w:szCs w:val="24"/>
          <w:highlight w:val="none"/>
          <w:lang w:val="en-US" w:eastAsia="zh-CN"/>
        </w:rPr>
        <w:t>若因此给</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lang w:val="en-US" w:eastAsia="zh-CN"/>
        </w:rPr>
        <w:t>或任何第三方造成</w:t>
      </w:r>
      <w:r>
        <w:rPr>
          <w:rFonts w:hint="eastAsia" w:ascii="宋体" w:hAnsi="宋体" w:eastAsia="宋体" w:cs="宋体"/>
          <w:color w:val="000000"/>
          <w:kern w:val="0"/>
          <w:sz w:val="24"/>
          <w:szCs w:val="24"/>
          <w:highlight w:val="none"/>
        </w:rPr>
        <w:t>任何损失的</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lang w:val="en-US" w:eastAsia="zh-CN"/>
        </w:rPr>
        <w:t>包括但不限于人身伤亡或财产损失等</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应予以赔偿</w:t>
      </w:r>
      <w:r>
        <w:rPr>
          <w:rFonts w:hint="eastAsia" w:ascii="宋体" w:hAnsi="宋体" w:eastAsia="宋体" w:cs="宋体"/>
          <w:color w:val="000000"/>
          <w:kern w:val="0"/>
          <w:sz w:val="24"/>
          <w:szCs w:val="24"/>
          <w:highlight w:val="none"/>
          <w:lang w:val="en-US" w:eastAsia="zh-CN"/>
        </w:rPr>
        <w:t>并承担一切经济及法律责任</w:t>
      </w:r>
      <w:r>
        <w:rPr>
          <w:rFonts w:hint="eastAsia" w:ascii="宋体" w:hAnsi="宋体" w:eastAsia="宋体" w:cs="宋体"/>
          <w:color w:val="000000"/>
          <w:kern w:val="0"/>
          <w:sz w:val="24"/>
          <w:szCs w:val="24"/>
          <w:highlight w:val="none"/>
        </w:rPr>
        <w:t>。</w:t>
      </w:r>
    </w:p>
    <w:p w14:paraId="5B83DF53">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如遇强风、雨天等不利于高空作业的因素时，投标人应停止高空作业，否则由此产生的人身伤亡或财产损失由投标人承担。</w:t>
      </w:r>
    </w:p>
    <w:p w14:paraId="3ECF60F5">
      <w:pPr>
        <w:pStyle w:val="6"/>
        <w:numPr>
          <w:ilvl w:val="0"/>
          <w:numId w:val="3"/>
        </w:numPr>
        <w:spacing w:beforeLines="25" w:afterLines="25" w:line="360" w:lineRule="auto"/>
        <w:ind w:firstLine="448" w:firstLineChars="187"/>
        <w:rPr>
          <w:rFonts w:ascii="宋体" w:hAnsi="宋体" w:cs="宋体"/>
          <w:sz w:val="21"/>
          <w:szCs w:val="21"/>
          <w:highlight w:val="none"/>
        </w:rPr>
      </w:pPr>
      <w:r>
        <w:rPr>
          <w:rFonts w:hint="eastAsia" w:ascii="宋体" w:hAnsi="宋体" w:eastAsia="宋体" w:cs="宋体"/>
          <w:color w:val="000000"/>
          <w:kern w:val="0"/>
          <w:sz w:val="24"/>
          <w:szCs w:val="24"/>
          <w:highlight w:val="none"/>
          <w:lang w:val="en-US" w:eastAsia="zh-CN"/>
        </w:rPr>
        <w:t>投标人须为本项目作业人员购买责任保险（保额：100万元）并承担全部费用，投标人须将保单资料提交采购人备存。</w:t>
      </w:r>
    </w:p>
    <w:p w14:paraId="79906AD1">
      <w:pPr>
        <w:pStyle w:val="6"/>
        <w:numPr>
          <w:ilvl w:val="0"/>
          <w:numId w:val="3"/>
        </w:numPr>
        <w:spacing w:beforeLines="25" w:afterLines="25" w:line="360" w:lineRule="auto"/>
        <w:ind w:firstLine="448" w:firstLineChars="187"/>
        <w:rPr>
          <w:rFonts w:ascii="宋体" w:hAnsi="宋体" w:cs="宋体"/>
          <w:sz w:val="21"/>
          <w:szCs w:val="21"/>
          <w:highlight w:val="none"/>
        </w:rPr>
      </w:pPr>
      <w:r>
        <w:rPr>
          <w:rFonts w:hint="eastAsia" w:ascii="宋体" w:hAnsi="宋体" w:eastAsia="宋体" w:cs="宋体"/>
          <w:color w:val="000000"/>
          <w:kern w:val="0"/>
          <w:sz w:val="24"/>
          <w:szCs w:val="24"/>
          <w:highlight w:val="none"/>
        </w:rPr>
        <w:t>在任何情况下，</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派员到场监督均不免除</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在本合同项下的义务和责任。</w:t>
      </w:r>
    </w:p>
    <w:p w14:paraId="519380C4">
      <w:pPr>
        <w:pStyle w:val="6"/>
        <w:numPr>
          <w:ilvl w:val="0"/>
          <w:numId w:val="3"/>
        </w:numPr>
        <w:spacing w:beforeLines="25" w:afterLines="25" w:line="360" w:lineRule="auto"/>
        <w:ind w:firstLine="448" w:firstLineChars="187"/>
        <w:rPr>
          <w:rFonts w:ascii="宋体" w:hAnsi="宋体" w:cs="宋体"/>
          <w:sz w:val="21"/>
          <w:szCs w:val="21"/>
          <w:highlight w:val="none"/>
        </w:rPr>
      </w:pPr>
      <w:r>
        <w:rPr>
          <w:rFonts w:hint="eastAsia" w:ascii="宋体" w:hAnsi="宋体" w:eastAsia="宋体" w:cs="宋体"/>
          <w:color w:val="000000"/>
          <w:kern w:val="0"/>
          <w:sz w:val="24"/>
          <w:szCs w:val="24"/>
          <w:highlight w:val="none"/>
        </w:rPr>
        <w:t>所有</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高空作业人员</w:t>
      </w:r>
      <w:r>
        <w:rPr>
          <w:rFonts w:hint="eastAsia" w:ascii="宋体" w:hAnsi="宋体" w:eastAsia="宋体" w:cs="宋体"/>
          <w:color w:val="000000"/>
          <w:kern w:val="0"/>
          <w:sz w:val="24"/>
          <w:szCs w:val="24"/>
          <w:highlight w:val="none"/>
          <w:lang w:val="en-US" w:eastAsia="zh-CN"/>
        </w:rPr>
        <w:t>及为本项目提供服务的人员</w:t>
      </w:r>
      <w:r>
        <w:rPr>
          <w:rFonts w:hint="eastAsia" w:ascii="宋体" w:hAnsi="宋体" w:eastAsia="宋体" w:cs="宋体"/>
          <w:color w:val="000000"/>
          <w:kern w:val="0"/>
          <w:sz w:val="24"/>
          <w:szCs w:val="24"/>
          <w:highlight w:val="none"/>
        </w:rPr>
        <w:t>都必须</w:t>
      </w:r>
      <w:r>
        <w:rPr>
          <w:rFonts w:hint="eastAsia" w:ascii="宋体" w:hAnsi="宋体" w:eastAsia="宋体" w:cs="宋体"/>
          <w:color w:val="000000"/>
          <w:kern w:val="0"/>
          <w:sz w:val="24"/>
          <w:szCs w:val="24"/>
          <w:highlight w:val="none"/>
          <w:lang w:val="en-US" w:eastAsia="zh-CN"/>
        </w:rPr>
        <w:t>具有相应的高空作业等资质证照并</w:t>
      </w:r>
      <w:r>
        <w:rPr>
          <w:rFonts w:hint="eastAsia" w:ascii="宋体" w:hAnsi="宋体" w:eastAsia="宋体" w:cs="宋体"/>
          <w:color w:val="000000"/>
          <w:kern w:val="0"/>
          <w:sz w:val="24"/>
          <w:szCs w:val="24"/>
          <w:highlight w:val="none"/>
        </w:rPr>
        <w:t>持有效上岗证件，</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lang w:val="en-US" w:eastAsia="zh-CN"/>
        </w:rPr>
        <w:t>须查验并保证提供服务的人员必须持证上岗，并承担一切经济及法律责任</w:t>
      </w:r>
      <w:r>
        <w:rPr>
          <w:rFonts w:hint="eastAsia" w:ascii="宋体" w:hAnsi="宋体" w:eastAsia="宋体" w:cs="宋体"/>
          <w:color w:val="000000"/>
          <w:kern w:val="0"/>
          <w:sz w:val="24"/>
          <w:szCs w:val="24"/>
          <w:highlight w:val="none"/>
        </w:rPr>
        <w:t>。</w:t>
      </w:r>
      <w:r>
        <w:rPr>
          <w:rFonts w:hint="eastAsia" w:ascii="宋体" w:hAnsi="宋体" w:cs="宋体"/>
          <w:kern w:val="0"/>
          <w:sz w:val="24"/>
          <w:highlight w:val="none"/>
          <w:lang w:val="en-US" w:eastAsia="zh-CN"/>
        </w:rPr>
        <w:t>本合同签订3天内，投标人需以书面形式将到采购人现场作业人员的身份证复印件、相应资质证照复印件及其他有效证明文件递交采购人存档，原件备查。若投标人出现更换现场作业人员的情况，须以书面的形式告知采购人，并按要求提供替换人员的身份证复印件、相应资质证照复印件及其他有效证明文件，原件备查。</w:t>
      </w:r>
    </w:p>
    <w:p w14:paraId="272BFB21">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迁移后的设备应满足实验室的使用需求，运行稳定可靠；</w:t>
      </w:r>
    </w:p>
    <w:p w14:paraId="07A29E4E">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投标人应提供详细的技术方案和迁移计划，确保迁移工作的顺利进行。</w:t>
      </w:r>
    </w:p>
    <w:p w14:paraId="231C3288">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迁移后必须达到原设计、使用的效果。一旦因迁移不到位，导致发生意外并造成损失（经第三方权威部门鉴定为保养不善造成）将由投标人承担由此带来的一切经济和法律责任。</w:t>
      </w:r>
    </w:p>
    <w:p w14:paraId="36EAC13D">
      <w:pPr>
        <w:pStyle w:val="6"/>
        <w:numPr>
          <w:ilvl w:val="0"/>
          <w:numId w:val="3"/>
        </w:numPr>
        <w:spacing w:beforeLines="25" w:afterLines="25" w:line="360" w:lineRule="auto"/>
        <w:ind w:firstLine="448" w:firstLineChars="187"/>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投标人须为迁移人员配备维保所需的所有器具（包括但不限于维修工具、安全防护措施等），并为自己员工的安全责任负责。</w:t>
      </w:r>
    </w:p>
    <w:p w14:paraId="458E50E6">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建立突发事故的应急处理机制，在迁移施工过程中，发生突发事故就立即启用应急处理机制，按机制进行相关处理，及时提交相关报告给到采购人。</w:t>
      </w:r>
    </w:p>
    <w:p w14:paraId="4A526B5C">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迁移质量标准参照国家和深圳市现行相关行业的施工验收规范和评定标准，质量等级达到合格，满足相关政府部门行业及质量管理所需要检验要求。</w:t>
      </w:r>
    </w:p>
    <w:p w14:paraId="06D4AF52">
      <w:pPr>
        <w:pStyle w:val="6"/>
        <w:numPr>
          <w:ilvl w:val="0"/>
          <w:numId w:val="3"/>
        </w:numPr>
        <w:spacing w:beforeLines="25" w:afterLines="25" w:line="360" w:lineRule="auto"/>
        <w:ind w:firstLine="448" w:firstLineChars="187"/>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关于移机现场的具体情况，请到中山大学附属第八医院（深圳福田）现场勘查。联系人：裴工 联系电话：15112538970</w:t>
      </w:r>
      <w:bookmarkStart w:id="0" w:name="_GoBack"/>
      <w:bookmarkEnd w:id="0"/>
    </w:p>
    <w:p w14:paraId="108DA5AA">
      <w:pPr>
        <w:rPr>
          <w:rFonts w:hint="eastAsia" w:asciiTheme="minorEastAsia" w:hAnsiTheme="minorEastAsia" w:eastAsiaTheme="minorEastAsia" w:cstheme="minorEastAsia"/>
          <w:sz w:val="24"/>
          <w:szCs w:val="24"/>
          <w:highlight w:val="none"/>
          <w:lang w:val="en-US" w:eastAsia="zh-CN"/>
        </w:rPr>
      </w:pPr>
    </w:p>
    <w:p w14:paraId="39E81574">
      <w:pPr>
        <w:pStyle w:val="8"/>
        <w:rPr>
          <w:rFonts w:hint="eastAsia" w:asciiTheme="minorEastAsia" w:hAnsiTheme="minorEastAsia" w:eastAsiaTheme="minorEastAsia" w:cstheme="minorEastAsia"/>
          <w:sz w:val="24"/>
          <w:szCs w:val="24"/>
          <w:highlight w:val="none"/>
          <w:lang w:val="en-US" w:eastAsia="zh-CN"/>
        </w:rPr>
      </w:pPr>
    </w:p>
    <w:p w14:paraId="7A03E669">
      <w:pPr>
        <w:keepNext w:val="0"/>
        <w:pageBreakBefore w:val="0"/>
        <w:numPr>
          <w:ilvl w:val="0"/>
          <w:numId w:val="2"/>
        </w:numPr>
        <w:kinsoku/>
        <w:overflowPunct/>
        <w:topLinePunct w:val="0"/>
        <w:autoSpaceDE/>
        <w:autoSpaceDN/>
        <w:bidi w:val="0"/>
        <w:snapToGrid w:val="0"/>
        <w:spacing w:line="240" w:lineRule="auto"/>
        <w:ind w:left="0" w:leftChars="0" w:firstLine="482" w:firstLineChars="200"/>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★商务要求</w:t>
      </w:r>
    </w:p>
    <w:p w14:paraId="537E8FCE">
      <w:pPr>
        <w:numPr>
          <w:ilvl w:val="0"/>
          <w:numId w:val="4"/>
        </w:numPr>
        <w:spacing w:line="360" w:lineRule="auto"/>
        <w:ind w:left="0" w:leftChars="0" w:firstLine="482" w:firstLineChars="200"/>
        <w:jc w:val="left"/>
        <w:outlineLvl w:val="2"/>
        <w:rPr>
          <w:rFonts w:hint="eastAsia" w:asciiTheme="minorEastAsia" w:hAnsiTheme="minorEastAsia" w:eastAsiaTheme="minorEastAsia" w:cstheme="minorEastAsia"/>
          <w:color w:val="000000" w:themeColor="text1"/>
          <w:sz w:val="24"/>
          <w:szCs w:val="24"/>
          <w:highlight w:val="none"/>
          <w:lang w:eastAsia="zh-CN"/>
        </w:rPr>
      </w:pPr>
      <w:r>
        <w:rPr>
          <w:rFonts w:hint="eastAsia" w:asciiTheme="minorEastAsia" w:hAnsiTheme="minorEastAsia" w:eastAsiaTheme="minorEastAsia" w:cstheme="minorEastAsia"/>
          <w:b/>
          <w:bCs/>
          <w:color w:val="000000" w:themeColor="text1"/>
          <w:sz w:val="24"/>
          <w:szCs w:val="24"/>
          <w:highlight w:val="none"/>
        </w:rPr>
        <w:t>服务期要求</w:t>
      </w:r>
      <w:r>
        <w:rPr>
          <w:rFonts w:hint="eastAsia" w:asciiTheme="minorEastAsia" w:hAnsiTheme="minorEastAsia" w:eastAsiaTheme="minorEastAsia" w:cstheme="minorEastAsia"/>
          <w:b/>
          <w:bCs/>
          <w:color w:val="000000" w:themeColor="text1"/>
          <w:sz w:val="24"/>
          <w:szCs w:val="24"/>
          <w:highlight w:val="none"/>
          <w:lang w:eastAsia="zh-CN"/>
        </w:rPr>
        <w:t>：</w:t>
      </w:r>
      <w:r>
        <w:rPr>
          <w:rFonts w:hint="default" w:ascii="Times New Roman" w:hAnsi="Times New Roman" w:cs="Times New Roman"/>
          <w:kern w:val="2"/>
          <w:sz w:val="24"/>
          <w:szCs w:val="24"/>
          <w:highlight w:val="none"/>
          <w:lang w:val="en-US" w:eastAsia="zh-CN"/>
        </w:rPr>
        <w:t>自合同签订之日起</w:t>
      </w:r>
      <w:r>
        <w:rPr>
          <w:rFonts w:hint="eastAsia" w:ascii="Times New Roman" w:hAnsi="Times New Roman" w:eastAsia="宋体" w:cs="Times New Roman"/>
          <w:kern w:val="2"/>
          <w:sz w:val="24"/>
          <w:szCs w:val="24"/>
          <w:highlight w:val="none"/>
          <w:lang w:val="en-US" w:eastAsia="zh-CN"/>
        </w:rPr>
        <w:t>30自然日完成</w:t>
      </w:r>
      <w:r>
        <w:rPr>
          <w:rFonts w:hint="eastAsia" w:asciiTheme="minorEastAsia" w:hAnsiTheme="minorEastAsia" w:eastAsiaTheme="minorEastAsia" w:cstheme="minorEastAsia"/>
          <w:color w:val="000000" w:themeColor="text1"/>
          <w:sz w:val="24"/>
          <w:szCs w:val="24"/>
          <w:highlight w:val="none"/>
          <w:lang w:eastAsia="zh-CN"/>
        </w:rPr>
        <w:t>。</w:t>
      </w:r>
    </w:p>
    <w:p w14:paraId="128167B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2" w:firstLineChars="200"/>
        <w:jc w:val="left"/>
        <w:textAlignment w:val="auto"/>
        <w:outlineLvl w:val="2"/>
        <w:rPr>
          <w:rFonts w:hint="eastAsia" w:asciiTheme="minorEastAsia" w:hAnsiTheme="minorEastAsia" w:eastAsiaTheme="minorEastAsia" w:cstheme="minorEastAsia"/>
          <w:b w:val="0"/>
          <w:bCs/>
          <w:color w:val="000000" w:themeColor="text1"/>
          <w:sz w:val="24"/>
          <w:szCs w:val="24"/>
          <w:highlight w:val="none"/>
          <w:lang w:val="en-US" w:eastAsia="zh-CN"/>
        </w:rPr>
      </w:pPr>
      <w:r>
        <w:rPr>
          <w:rFonts w:hint="eastAsia" w:asciiTheme="minorEastAsia" w:hAnsiTheme="minorEastAsia" w:eastAsiaTheme="minorEastAsia" w:cstheme="minorEastAsia"/>
          <w:b/>
          <w:bCs w:val="0"/>
          <w:color w:val="000000" w:themeColor="text1"/>
          <w:sz w:val="24"/>
          <w:szCs w:val="24"/>
          <w:highlight w:val="none"/>
          <w:lang w:val="en-US" w:eastAsia="zh-CN"/>
        </w:rPr>
        <w:t>服务地点：</w:t>
      </w:r>
      <w:r>
        <w:rPr>
          <w:rFonts w:hint="eastAsia" w:asciiTheme="minorEastAsia" w:hAnsiTheme="minorEastAsia" w:cstheme="minorEastAsia"/>
          <w:sz w:val="24"/>
          <w:szCs w:val="24"/>
          <w:highlight w:val="none"/>
          <w:lang w:val="en-US" w:eastAsia="zh-CN"/>
        </w:rPr>
        <w:t>深圳市福田区深南中路3025号</w:t>
      </w:r>
      <w:r>
        <w:rPr>
          <w:rFonts w:hint="eastAsia" w:asciiTheme="minorEastAsia" w:hAnsiTheme="minorEastAsia" w:cstheme="minorEastAsia"/>
          <w:b w:val="0"/>
          <w:bCs/>
          <w:color w:val="000000" w:themeColor="text1"/>
          <w:sz w:val="24"/>
          <w:szCs w:val="24"/>
          <w:highlight w:val="none"/>
          <w:lang w:val="en-US" w:eastAsia="zh-CN"/>
        </w:rPr>
        <w:t>。</w:t>
      </w:r>
    </w:p>
    <w:p w14:paraId="3DACC26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2" w:firstLineChars="200"/>
        <w:jc w:val="left"/>
        <w:textAlignment w:val="auto"/>
        <w:outlineLvl w:val="2"/>
        <w:rPr>
          <w:rFonts w:hint="eastAsia" w:asciiTheme="minorEastAsia" w:hAnsiTheme="minorEastAsia" w:eastAsiaTheme="minorEastAsia" w:cstheme="minorEastAsia"/>
          <w:b/>
          <w:bCs w:val="0"/>
          <w:color w:val="000000" w:themeColor="text1"/>
          <w:sz w:val="24"/>
          <w:szCs w:val="24"/>
          <w:highlight w:val="none"/>
          <w:lang w:val="en-US" w:eastAsia="zh-CN"/>
        </w:rPr>
      </w:pPr>
      <w:r>
        <w:rPr>
          <w:rFonts w:hint="eastAsia" w:asciiTheme="minorEastAsia" w:hAnsiTheme="minorEastAsia" w:eastAsiaTheme="minorEastAsia" w:cstheme="minorEastAsia"/>
          <w:b/>
          <w:bCs w:val="0"/>
          <w:color w:val="000000" w:themeColor="text1"/>
          <w:sz w:val="24"/>
          <w:szCs w:val="24"/>
          <w:highlight w:val="none"/>
          <w:lang w:val="en-US" w:eastAsia="zh-CN"/>
        </w:rPr>
        <w:t>投标报价要求</w:t>
      </w:r>
      <w:r>
        <w:rPr>
          <w:rFonts w:hint="eastAsia" w:asciiTheme="minorEastAsia" w:hAnsiTheme="minorEastAsia" w:cstheme="minorEastAsia"/>
          <w:b/>
          <w:bCs w:val="0"/>
          <w:color w:val="000000" w:themeColor="text1"/>
          <w:sz w:val="24"/>
          <w:szCs w:val="24"/>
          <w:highlight w:val="none"/>
          <w:lang w:val="en-US" w:eastAsia="zh-CN"/>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514"/>
        <w:gridCol w:w="1217"/>
        <w:gridCol w:w="1217"/>
        <w:gridCol w:w="1217"/>
        <w:gridCol w:w="1217"/>
        <w:gridCol w:w="1218"/>
      </w:tblGrid>
      <w:tr w14:paraId="004F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dxa"/>
          </w:tcPr>
          <w:p w14:paraId="38FB912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序号</w:t>
            </w:r>
          </w:p>
        </w:tc>
        <w:tc>
          <w:tcPr>
            <w:tcW w:w="1514" w:type="dxa"/>
          </w:tcPr>
          <w:p w14:paraId="1154717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名称</w:t>
            </w:r>
          </w:p>
        </w:tc>
        <w:tc>
          <w:tcPr>
            <w:tcW w:w="1217" w:type="dxa"/>
          </w:tcPr>
          <w:p w14:paraId="784C5F2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规格</w:t>
            </w:r>
          </w:p>
        </w:tc>
        <w:tc>
          <w:tcPr>
            <w:tcW w:w="1217" w:type="dxa"/>
          </w:tcPr>
          <w:p w14:paraId="7AD3286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单位</w:t>
            </w:r>
          </w:p>
        </w:tc>
        <w:tc>
          <w:tcPr>
            <w:tcW w:w="1217" w:type="dxa"/>
          </w:tcPr>
          <w:p w14:paraId="2457D4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数量</w:t>
            </w:r>
          </w:p>
        </w:tc>
        <w:tc>
          <w:tcPr>
            <w:tcW w:w="1217" w:type="dxa"/>
          </w:tcPr>
          <w:p w14:paraId="144DB78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单价（元）</w:t>
            </w:r>
          </w:p>
        </w:tc>
        <w:tc>
          <w:tcPr>
            <w:tcW w:w="1218" w:type="dxa"/>
          </w:tcPr>
          <w:p w14:paraId="435EB6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总价（元）</w:t>
            </w:r>
          </w:p>
        </w:tc>
      </w:tr>
      <w:tr w14:paraId="642A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dxa"/>
          </w:tcPr>
          <w:p w14:paraId="2738796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1</w:t>
            </w:r>
          </w:p>
        </w:tc>
        <w:tc>
          <w:tcPr>
            <w:tcW w:w="1514" w:type="dxa"/>
          </w:tcPr>
          <w:p w14:paraId="4C05F63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15A8F36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5D3516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65DD26D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54D91F6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8" w:type="dxa"/>
          </w:tcPr>
          <w:p w14:paraId="20C0ED3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r>
      <w:tr w14:paraId="2F3B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dxa"/>
          </w:tcPr>
          <w:p w14:paraId="13D67B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2</w:t>
            </w:r>
          </w:p>
        </w:tc>
        <w:tc>
          <w:tcPr>
            <w:tcW w:w="1514" w:type="dxa"/>
          </w:tcPr>
          <w:p w14:paraId="5FAA7E7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6227BB9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0DFD028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5E9220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5F88556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8" w:type="dxa"/>
          </w:tcPr>
          <w:p w14:paraId="5C20158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r>
      <w:tr w14:paraId="2C8E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dxa"/>
          </w:tcPr>
          <w:p w14:paraId="48AE037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3</w:t>
            </w:r>
          </w:p>
        </w:tc>
        <w:tc>
          <w:tcPr>
            <w:tcW w:w="1514" w:type="dxa"/>
          </w:tcPr>
          <w:p w14:paraId="320C1E9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12C139A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39E0974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3ED6F0B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7F6A994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8" w:type="dxa"/>
          </w:tcPr>
          <w:p w14:paraId="37EDAA2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r>
      <w:tr w14:paraId="59C4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dxa"/>
          </w:tcPr>
          <w:p w14:paraId="00B61C0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4</w:t>
            </w:r>
          </w:p>
        </w:tc>
        <w:tc>
          <w:tcPr>
            <w:tcW w:w="1514" w:type="dxa"/>
          </w:tcPr>
          <w:p w14:paraId="427069A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1CF1BB6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0C5E312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4141A60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44BBC82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8" w:type="dxa"/>
          </w:tcPr>
          <w:p w14:paraId="4F7C6D5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r>
      <w:tr w14:paraId="584F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dxa"/>
          </w:tcPr>
          <w:p w14:paraId="38555CF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default" w:asciiTheme="minorEastAsia" w:hAnsiTheme="minorEastAsia" w:eastAsiaTheme="minorEastAsia" w:cstheme="minorEastAsia"/>
                <w:b/>
                <w:bCs w:val="0"/>
                <w:color w:val="000000" w:themeColor="text1"/>
                <w:sz w:val="24"/>
                <w:szCs w:val="24"/>
                <w:highlight w:val="none"/>
                <w:vertAlign w:val="baseline"/>
                <w:lang w:val="en-US" w:eastAsia="zh-CN"/>
              </w:rPr>
            </w:pPr>
            <w:r>
              <w:rPr>
                <w:rFonts w:hint="eastAsia" w:asciiTheme="minorEastAsia" w:hAnsiTheme="minorEastAsia" w:cstheme="minorEastAsia"/>
                <w:b/>
                <w:bCs w:val="0"/>
                <w:color w:val="000000" w:themeColor="text1"/>
                <w:sz w:val="24"/>
                <w:szCs w:val="24"/>
                <w:highlight w:val="none"/>
                <w:vertAlign w:val="baseline"/>
                <w:lang w:val="en-US" w:eastAsia="zh-CN"/>
              </w:rPr>
              <w:t>5</w:t>
            </w:r>
          </w:p>
        </w:tc>
        <w:tc>
          <w:tcPr>
            <w:tcW w:w="1514" w:type="dxa"/>
          </w:tcPr>
          <w:p w14:paraId="68B9A50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4E9DB11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385DDB2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31C814E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7" w:type="dxa"/>
          </w:tcPr>
          <w:p w14:paraId="094E339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c>
          <w:tcPr>
            <w:tcW w:w="1218" w:type="dxa"/>
          </w:tcPr>
          <w:p w14:paraId="3379994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2"/>
              <w:rPr>
                <w:rFonts w:hint="eastAsia" w:asciiTheme="minorEastAsia" w:hAnsiTheme="minorEastAsia" w:eastAsiaTheme="minorEastAsia" w:cstheme="minorEastAsia"/>
                <w:b/>
                <w:bCs w:val="0"/>
                <w:color w:val="000000" w:themeColor="text1"/>
                <w:sz w:val="24"/>
                <w:szCs w:val="24"/>
                <w:highlight w:val="none"/>
                <w:vertAlign w:val="baseline"/>
                <w:lang w:val="en-US" w:eastAsia="zh-CN"/>
              </w:rPr>
            </w:pPr>
          </w:p>
        </w:tc>
      </w:tr>
    </w:tbl>
    <w:p w14:paraId="52BD81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outlineLvl w:val="2"/>
        <w:rPr>
          <w:rFonts w:hint="eastAsia" w:asciiTheme="minorEastAsia" w:hAnsiTheme="minorEastAsia" w:eastAsiaTheme="minorEastAsia" w:cstheme="minorEastAsia"/>
          <w:b/>
          <w:bCs w:val="0"/>
          <w:color w:val="000000" w:themeColor="text1"/>
          <w:sz w:val="24"/>
          <w:szCs w:val="24"/>
          <w:highlight w:val="none"/>
          <w:lang w:val="en-US" w:eastAsia="zh-CN"/>
        </w:rPr>
      </w:pPr>
    </w:p>
    <w:p w14:paraId="02AE351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2" w:firstLineChars="200"/>
        <w:jc w:val="left"/>
        <w:textAlignment w:val="auto"/>
        <w:outlineLvl w:val="2"/>
        <w:rPr>
          <w:rFonts w:hint="eastAsia" w:asciiTheme="minorEastAsia" w:hAnsiTheme="minorEastAsia" w:eastAsiaTheme="minorEastAsia" w:cstheme="minorEastAsia"/>
          <w:b/>
          <w:bCs w:val="0"/>
          <w:color w:val="000000" w:themeColor="text1"/>
          <w:sz w:val="24"/>
          <w:szCs w:val="24"/>
          <w:highlight w:val="none"/>
          <w:lang w:val="en-US" w:eastAsia="zh-CN"/>
        </w:rPr>
      </w:pPr>
      <w:r>
        <w:rPr>
          <w:rFonts w:hint="eastAsia" w:asciiTheme="minorEastAsia" w:hAnsiTheme="minorEastAsia" w:eastAsiaTheme="minorEastAsia" w:cstheme="minorEastAsia"/>
          <w:b/>
          <w:bCs w:val="0"/>
          <w:color w:val="000000" w:themeColor="text1"/>
          <w:sz w:val="24"/>
          <w:szCs w:val="24"/>
          <w:highlight w:val="none"/>
          <w:lang w:val="en-US" w:eastAsia="zh-CN"/>
        </w:rPr>
        <w:t>付款方式：</w:t>
      </w:r>
    </w:p>
    <w:p w14:paraId="4EE9DF38">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cs="宋体"/>
          <w:b w:val="0"/>
          <w:bCs w:val="0"/>
          <w:color w:val="000000"/>
          <w:kern w:val="0"/>
          <w:sz w:val="24"/>
          <w:szCs w:val="24"/>
          <w:highlight w:val="none"/>
          <w:lang w:val="en-US" w:eastAsia="zh-CN"/>
        </w:rPr>
        <w:t>合同签订后，投标人完成全部项目服务内容并经采购人验收合格后，</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向</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出具与合同总金额等额的发票，自</w:t>
      </w:r>
      <w:r>
        <w:rPr>
          <w:rFonts w:hint="eastAsia" w:ascii="宋体" w:hAnsi="宋体" w:eastAsia="宋体" w:cs="宋体"/>
          <w:sz w:val="24"/>
          <w:highlight w:val="none"/>
          <w:lang w:eastAsia="zh-CN"/>
        </w:rPr>
        <w:t>采购人</w:t>
      </w:r>
      <w:r>
        <w:rPr>
          <w:rFonts w:hint="eastAsia" w:ascii="宋体" w:hAnsi="宋体" w:eastAsia="宋体" w:cs="宋体"/>
          <w:sz w:val="24"/>
          <w:highlight w:val="none"/>
          <w:lang w:val="en-US" w:eastAsia="zh-CN"/>
        </w:rPr>
        <w:t>财务</w:t>
      </w:r>
      <w:r>
        <w:rPr>
          <w:rFonts w:hint="eastAsia" w:ascii="宋体" w:hAnsi="宋体" w:eastAsia="宋体" w:cs="宋体"/>
          <w:sz w:val="24"/>
          <w:highlight w:val="none"/>
        </w:rPr>
        <w:t>收到发票之日起</w:t>
      </w:r>
      <w:r>
        <w:rPr>
          <w:rFonts w:hint="eastAsia" w:ascii="宋体" w:hAnsi="宋体" w:eastAsia="宋体" w:cs="宋体"/>
          <w:sz w:val="24"/>
          <w:szCs w:val="24"/>
          <w:highlight w:val="none"/>
          <w:lang w:val="en-US" w:eastAsia="zh-CN"/>
        </w:rPr>
        <w:t>10个工作</w:t>
      </w:r>
      <w:r>
        <w:rPr>
          <w:rFonts w:hint="eastAsia" w:ascii="宋体" w:hAnsi="宋体" w:eastAsia="宋体" w:cs="宋体"/>
          <w:sz w:val="24"/>
          <w:szCs w:val="24"/>
          <w:highlight w:val="none"/>
        </w:rPr>
        <w:t>日</w:t>
      </w:r>
      <w:r>
        <w:rPr>
          <w:rFonts w:hint="eastAsia" w:ascii="宋体" w:hAnsi="宋体" w:eastAsia="宋体" w:cs="宋体"/>
          <w:sz w:val="24"/>
          <w:highlight w:val="none"/>
        </w:rPr>
        <w:t>内</w:t>
      </w:r>
      <w:r>
        <w:rPr>
          <w:rFonts w:hint="eastAsia" w:ascii="宋体" w:hAnsi="宋体" w:eastAsia="宋体" w:cs="宋体"/>
          <w:sz w:val="24"/>
          <w:highlight w:val="none"/>
          <w:lang w:val="en-US" w:eastAsia="zh-CN"/>
        </w:rPr>
        <w:t>向投标人支付发票等额款项</w:t>
      </w:r>
      <w:r>
        <w:rPr>
          <w:rFonts w:hint="eastAsia" w:ascii="宋体" w:hAnsi="宋体" w:eastAsia="宋体" w:cs="宋体"/>
          <w:sz w:val="24"/>
          <w:highlight w:val="none"/>
        </w:rPr>
        <w:t>。</w:t>
      </w:r>
    </w:p>
    <w:p w14:paraId="6E05943A">
      <w:pPr>
        <w:widowControl/>
        <w:numPr>
          <w:ilvl w:val="0"/>
          <w:numId w:val="5"/>
        </w:numPr>
        <w:spacing w:beforeLines="-2147483648" w:afterLines="-2147483648" w:line="360" w:lineRule="auto"/>
        <w:ind w:firstLine="482" w:firstLineChars="200"/>
        <w:jc w:val="left"/>
        <w:rPr>
          <w:rFonts w:hint="eastAsia" w:asciiTheme="minorEastAsia" w:hAnsiTheme="minorEastAsia" w:eastAsiaTheme="minorEastAsia" w:cstheme="minorEastAsia"/>
          <w:b/>
          <w:bCs w:val="0"/>
          <w:color w:val="000000" w:themeColor="text1"/>
          <w:sz w:val="24"/>
          <w:szCs w:val="24"/>
          <w:highlight w:val="none"/>
          <w:lang w:val="en-US" w:eastAsia="zh-CN"/>
        </w:rPr>
      </w:pPr>
      <w:r>
        <w:rPr>
          <w:rFonts w:hint="eastAsia" w:asciiTheme="minorEastAsia" w:hAnsiTheme="minorEastAsia" w:eastAsiaTheme="minorEastAsia" w:cstheme="minorEastAsia"/>
          <w:b/>
          <w:bCs w:val="0"/>
          <w:color w:val="000000" w:themeColor="text1"/>
          <w:sz w:val="24"/>
          <w:szCs w:val="24"/>
          <w:highlight w:val="none"/>
          <w:lang w:val="en-US" w:eastAsia="zh-CN"/>
        </w:rPr>
        <w:t>考核验收要求：</w:t>
      </w:r>
    </w:p>
    <w:p w14:paraId="3C379914">
      <w:pPr>
        <w:keepNext w:val="0"/>
        <w:keepLines w:val="0"/>
        <w:pageBreakBefore w:val="0"/>
        <w:widowControl/>
        <w:numPr>
          <w:ilvl w:val="0"/>
          <w:numId w:val="6"/>
        </w:numPr>
        <w:kinsoku/>
        <w:wordWrap/>
        <w:overflowPunct/>
        <w:topLinePunct w:val="0"/>
        <w:autoSpaceDE/>
        <w:autoSpaceDN/>
        <w:bidi w:val="0"/>
        <w:adjustRightInd w:val="0"/>
        <w:snapToGrid w:val="0"/>
        <w:spacing w:line="360" w:lineRule="auto"/>
        <w:ind w:left="0" w:leftChars="0" w:firstLine="420" w:firstLineChars="0"/>
        <w:jc w:val="left"/>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lang w:val="en-US" w:eastAsia="zh-CN"/>
        </w:rPr>
        <w:t>若投标人提供的服务或服务成果未能满足</w:t>
      </w:r>
      <w:r>
        <w:rPr>
          <w:rFonts w:hint="eastAsia" w:ascii="宋体" w:hAnsi="宋体" w:cs="宋体"/>
          <w:sz w:val="24"/>
          <w:szCs w:val="24"/>
          <w:highlight w:val="none"/>
          <w:lang w:val="en-US" w:eastAsia="zh-CN"/>
        </w:rPr>
        <w:t>采购</w:t>
      </w:r>
      <w:r>
        <w:rPr>
          <w:rFonts w:hint="eastAsia" w:ascii="宋体" w:hAnsi="宋体" w:eastAsia="宋体" w:cs="宋体"/>
          <w:sz w:val="24"/>
          <w:szCs w:val="24"/>
          <w:highlight w:val="none"/>
        </w:rPr>
        <w:t>文件要求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投标文件承诺</w:t>
      </w:r>
      <w:r>
        <w:rPr>
          <w:rFonts w:hint="eastAsia" w:ascii="宋体" w:hAnsi="宋体" w:eastAsia="宋体" w:cs="宋体"/>
          <w:sz w:val="24"/>
          <w:szCs w:val="24"/>
          <w:highlight w:val="none"/>
          <w:lang w:val="en-US" w:eastAsia="zh-CN"/>
        </w:rPr>
        <w:t>或合同约定的服务要求、标准的或达不到采购人要求的，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lang w:val="en-US" w:eastAsia="zh-CN"/>
        </w:rPr>
        <w:t>有权</w:t>
      </w:r>
      <w:r>
        <w:rPr>
          <w:rFonts w:hint="eastAsia" w:ascii="宋体" w:hAnsi="宋体" w:eastAsia="宋体" w:cs="宋体"/>
          <w:sz w:val="24"/>
          <w:szCs w:val="24"/>
          <w:highlight w:val="none"/>
        </w:rPr>
        <w:t>拒绝</w:t>
      </w:r>
      <w:r>
        <w:rPr>
          <w:rFonts w:hint="eastAsia" w:ascii="宋体" w:hAnsi="宋体" w:eastAsia="宋体" w:cs="宋体"/>
          <w:sz w:val="24"/>
          <w:szCs w:val="24"/>
          <w:highlight w:val="none"/>
          <w:lang w:val="en-US" w:eastAsia="zh-CN"/>
        </w:rPr>
        <w:t>验收并要求投标人立即整改</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w:t>
      </w:r>
      <w:r>
        <w:rPr>
          <w:rFonts w:hint="eastAsia" w:ascii="宋体" w:hAnsi="宋体" w:eastAsia="宋体" w:cs="宋体"/>
          <w:sz w:val="24"/>
          <w:szCs w:val="24"/>
          <w:highlight w:val="none"/>
          <w:lang w:val="en-US" w:eastAsia="zh-CN"/>
        </w:rPr>
        <w:t>在采购人要求的整改时限内完成整改</w:t>
      </w:r>
      <w:r>
        <w:rPr>
          <w:rFonts w:hint="eastAsia" w:ascii="宋体" w:hAnsi="宋体" w:eastAsia="宋体" w:cs="宋体"/>
          <w:sz w:val="24"/>
          <w:szCs w:val="24"/>
          <w:highlight w:val="none"/>
        </w:rPr>
        <w:t>,以满足</w:t>
      </w: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rPr>
        <w:t>的要求，由此</w:t>
      </w:r>
      <w:r>
        <w:rPr>
          <w:rFonts w:hint="eastAsia" w:ascii="宋体" w:hAnsi="宋体" w:eastAsia="宋体" w:cs="宋体"/>
          <w:sz w:val="24"/>
          <w:szCs w:val="24"/>
          <w:highlight w:val="none"/>
          <w:lang w:val="en-US" w:eastAsia="zh-CN"/>
        </w:rPr>
        <w:t>产</w:t>
      </w:r>
      <w:r>
        <w:rPr>
          <w:rFonts w:hint="eastAsia" w:ascii="宋体" w:hAnsi="宋体" w:eastAsia="宋体" w:cs="宋体"/>
          <w:sz w:val="24"/>
          <w:szCs w:val="24"/>
          <w:highlight w:val="none"/>
        </w:rPr>
        <w:t>生的一切损失和费用由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承担。</w:t>
      </w:r>
      <w:r>
        <w:rPr>
          <w:rFonts w:hint="eastAsia" w:ascii="宋体" w:hAnsi="宋体" w:eastAsia="宋体" w:cs="宋体"/>
          <w:sz w:val="24"/>
          <w:szCs w:val="24"/>
          <w:highlight w:val="none"/>
          <w:lang w:val="en-US" w:eastAsia="zh-CN"/>
        </w:rPr>
        <w:t>若投标人拒不整改、怠于整改的，或未在采购人要求的整改时限内完成整改的，或投标人整改后仍达不到采购人要求的，</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有权单方解除</w:t>
      </w:r>
      <w:r>
        <w:rPr>
          <w:rFonts w:hint="eastAsia" w:ascii="宋体" w:hAnsi="宋体" w:eastAsia="宋体" w:cs="宋体"/>
          <w:kern w:val="0"/>
          <w:sz w:val="24"/>
          <w:szCs w:val="24"/>
          <w:highlight w:val="none"/>
          <w:lang w:val="en-US" w:eastAsia="zh-CN"/>
        </w:rPr>
        <w:t>合同</w:t>
      </w:r>
      <w:r>
        <w:rPr>
          <w:rFonts w:hint="eastAsia" w:ascii="宋体" w:hAnsi="宋体" w:eastAsia="宋体" w:cs="宋体"/>
          <w:kern w:val="0"/>
          <w:sz w:val="24"/>
          <w:szCs w:val="24"/>
          <w:highlight w:val="none"/>
        </w:rPr>
        <w:t>，由</w:t>
      </w:r>
      <w:r>
        <w:rPr>
          <w:rFonts w:hint="eastAsia" w:ascii="宋体" w:hAnsi="宋体" w:eastAsia="宋体" w:cs="宋体"/>
          <w:kern w:val="0"/>
          <w:sz w:val="24"/>
          <w:szCs w:val="24"/>
          <w:highlight w:val="none"/>
          <w:lang w:eastAsia="zh-CN"/>
        </w:rPr>
        <w:t>投标人</w:t>
      </w:r>
      <w:r>
        <w:rPr>
          <w:rFonts w:hint="eastAsia" w:ascii="宋体" w:hAnsi="宋体" w:eastAsia="宋体" w:cs="宋体"/>
          <w:kern w:val="0"/>
          <w:sz w:val="24"/>
          <w:szCs w:val="24"/>
          <w:highlight w:val="none"/>
        </w:rPr>
        <w:t>承担违约责任，</w:t>
      </w:r>
      <w:r>
        <w:rPr>
          <w:rFonts w:hint="eastAsia" w:ascii="宋体" w:hAnsi="宋体" w:eastAsia="宋体" w:cs="宋体"/>
          <w:bCs/>
          <w:sz w:val="24"/>
          <w:szCs w:val="24"/>
          <w:highlight w:val="none"/>
          <w:lang w:eastAsia="zh-CN"/>
        </w:rPr>
        <w:t>投标人</w:t>
      </w:r>
      <w:r>
        <w:rPr>
          <w:rFonts w:hint="eastAsia" w:ascii="宋体" w:hAnsi="宋体" w:eastAsia="宋体" w:cs="宋体"/>
          <w:bCs/>
          <w:sz w:val="24"/>
          <w:szCs w:val="24"/>
          <w:highlight w:val="none"/>
        </w:rPr>
        <w:t>向</w:t>
      </w:r>
      <w:r>
        <w:rPr>
          <w:rFonts w:hint="eastAsia" w:ascii="宋体" w:hAnsi="宋体" w:eastAsia="宋体" w:cs="宋体"/>
          <w:bCs/>
          <w:sz w:val="24"/>
          <w:szCs w:val="24"/>
          <w:highlight w:val="none"/>
          <w:lang w:eastAsia="zh-CN"/>
        </w:rPr>
        <w:t>采购人</w:t>
      </w:r>
      <w:r>
        <w:rPr>
          <w:rFonts w:hint="eastAsia" w:ascii="宋体" w:hAnsi="宋体" w:eastAsia="宋体" w:cs="宋体"/>
          <w:bCs/>
          <w:sz w:val="24"/>
          <w:szCs w:val="24"/>
          <w:highlight w:val="none"/>
        </w:rPr>
        <w:t>支付</w:t>
      </w:r>
      <w:r>
        <w:rPr>
          <w:rFonts w:hint="eastAsia" w:ascii="宋体" w:hAnsi="宋体" w:eastAsia="宋体" w:cs="宋体"/>
          <w:kern w:val="0"/>
          <w:sz w:val="24"/>
          <w:szCs w:val="24"/>
          <w:highlight w:val="none"/>
          <w:lang w:val="en-US" w:eastAsia="zh-CN"/>
        </w:rPr>
        <w:t>合同</w:t>
      </w:r>
      <w:r>
        <w:rPr>
          <w:rFonts w:hint="eastAsia" w:ascii="宋体" w:hAnsi="宋体" w:cs="宋体"/>
          <w:kern w:val="0"/>
          <w:sz w:val="24"/>
          <w:szCs w:val="24"/>
          <w:highlight w:val="none"/>
          <w:lang w:val="en-US" w:eastAsia="zh-CN"/>
        </w:rPr>
        <w:t>总金额</w:t>
      </w:r>
      <w:r>
        <w:rPr>
          <w:rFonts w:hint="eastAsia" w:ascii="宋体" w:hAnsi="宋体" w:eastAsia="宋体" w:cs="宋体"/>
          <w:bCs/>
          <w:sz w:val="24"/>
          <w:szCs w:val="24"/>
          <w:highlight w:val="none"/>
          <w:lang w:val="en-US" w:eastAsia="zh-CN"/>
        </w:rPr>
        <w:t>30</w:t>
      </w:r>
      <w:r>
        <w:rPr>
          <w:rFonts w:hint="eastAsia" w:ascii="宋体" w:hAnsi="宋体" w:eastAsia="宋体" w:cs="宋体"/>
          <w:bCs/>
          <w:sz w:val="24"/>
          <w:szCs w:val="24"/>
          <w:highlight w:val="none"/>
        </w:rPr>
        <w:t>%的违约金，</w:t>
      </w:r>
      <w:r>
        <w:rPr>
          <w:rFonts w:hint="eastAsia" w:ascii="宋体" w:hAnsi="宋体" w:eastAsia="宋体" w:cs="宋体"/>
          <w:bCs/>
          <w:sz w:val="24"/>
          <w:szCs w:val="24"/>
          <w:highlight w:val="none"/>
          <w:lang w:val="en-US" w:eastAsia="zh-CN"/>
        </w:rPr>
        <w:t>并</w:t>
      </w:r>
      <w:r>
        <w:rPr>
          <w:rFonts w:hint="eastAsia" w:ascii="宋体" w:hAnsi="宋体" w:eastAsia="宋体" w:cs="宋体"/>
          <w:kern w:val="0"/>
          <w:sz w:val="24"/>
          <w:szCs w:val="24"/>
          <w:highlight w:val="none"/>
        </w:rPr>
        <w:t>赔偿因</w:t>
      </w:r>
      <w:r>
        <w:rPr>
          <w:rFonts w:hint="eastAsia" w:ascii="宋体" w:hAnsi="宋体" w:eastAsia="宋体" w:cs="宋体"/>
          <w:kern w:val="0"/>
          <w:sz w:val="24"/>
          <w:szCs w:val="24"/>
          <w:highlight w:val="none"/>
          <w:lang w:val="en-US" w:eastAsia="zh-CN"/>
        </w:rPr>
        <w:t>此</w:t>
      </w:r>
      <w:r>
        <w:rPr>
          <w:rFonts w:hint="eastAsia" w:ascii="宋体" w:hAnsi="宋体" w:eastAsia="宋体" w:cs="宋体"/>
          <w:kern w:val="0"/>
          <w:sz w:val="24"/>
          <w:szCs w:val="24"/>
          <w:highlight w:val="none"/>
        </w:rPr>
        <w:t>给</w:t>
      </w:r>
      <w:r>
        <w:rPr>
          <w:rFonts w:hint="eastAsia" w:ascii="宋体" w:hAnsi="宋体" w:eastAsia="宋体" w:cs="宋体"/>
          <w:kern w:val="0"/>
          <w:sz w:val="24"/>
          <w:szCs w:val="24"/>
          <w:highlight w:val="none"/>
          <w:lang w:eastAsia="zh-CN"/>
        </w:rPr>
        <w:t>采购人</w:t>
      </w:r>
      <w:r>
        <w:rPr>
          <w:rFonts w:hint="eastAsia" w:ascii="宋体" w:hAnsi="宋体" w:eastAsia="宋体" w:cs="宋体"/>
          <w:kern w:val="0"/>
          <w:sz w:val="24"/>
          <w:szCs w:val="24"/>
          <w:highlight w:val="none"/>
        </w:rPr>
        <w:t>造成的全部损失。</w:t>
      </w:r>
    </w:p>
    <w:p w14:paraId="121AA05C">
      <w:pPr>
        <w:pStyle w:val="8"/>
        <w:numPr>
          <w:ilvl w:val="0"/>
          <w:numId w:val="6"/>
        </w:numPr>
        <w:ind w:left="0" w:leftChars="0" w:firstLine="420" w:firstLineChars="0"/>
        <w:rPr>
          <w:rFonts w:hint="eastAsia" w:eastAsia="宋体"/>
          <w:b w:val="0"/>
          <w:bCs w:val="0"/>
          <w:highlight w:val="none"/>
          <w:lang w:val="en-US" w:eastAsia="zh-CN"/>
        </w:rPr>
      </w:pPr>
      <w:r>
        <w:rPr>
          <w:rFonts w:hint="eastAsia" w:ascii="宋体" w:hAnsi="宋体" w:eastAsia="宋体" w:cs="宋体"/>
          <w:b w:val="0"/>
          <w:bCs w:val="0"/>
          <w:kern w:val="0"/>
          <w:sz w:val="24"/>
          <w:szCs w:val="24"/>
          <w:highlight w:val="none"/>
          <w:lang w:val="en-US" w:eastAsia="zh-CN"/>
        </w:rPr>
        <w:t>投标人完成本项目全部服务后，服务成果达到本合同约定的服务要求和质量标准的前提下，采购人予以验收。</w:t>
      </w:r>
    </w:p>
    <w:p w14:paraId="1B78DE7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2" w:firstLineChars="200"/>
        <w:jc w:val="left"/>
        <w:textAlignment w:val="auto"/>
        <w:outlineLvl w:val="2"/>
        <w:rPr>
          <w:rFonts w:hint="eastAsia" w:asciiTheme="minorEastAsia" w:hAnsiTheme="minorEastAsia" w:eastAsiaTheme="minorEastAsia" w:cstheme="minorEastAsia"/>
          <w:b/>
          <w:bCs w:val="0"/>
          <w:color w:val="000000" w:themeColor="text1"/>
          <w:sz w:val="24"/>
          <w:szCs w:val="24"/>
          <w:highlight w:val="none"/>
          <w:lang w:val="en-US" w:eastAsia="zh-CN"/>
        </w:rPr>
      </w:pPr>
      <w:r>
        <w:rPr>
          <w:rFonts w:hint="eastAsia" w:asciiTheme="minorEastAsia" w:hAnsiTheme="minorEastAsia" w:eastAsiaTheme="minorEastAsia" w:cstheme="minorEastAsia"/>
          <w:b/>
          <w:bCs w:val="0"/>
          <w:color w:val="000000" w:themeColor="text1"/>
          <w:sz w:val="24"/>
          <w:szCs w:val="24"/>
          <w:highlight w:val="none"/>
          <w:lang w:val="en-US" w:eastAsia="zh-CN"/>
        </w:rPr>
        <w:t>违约责任</w:t>
      </w:r>
    </w:p>
    <w:p w14:paraId="40275F52">
      <w:pPr>
        <w:numPr>
          <w:ilvl w:val="0"/>
          <w:numId w:val="7"/>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提供的维保服务须满足合同约定及</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要求，</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未按合同约定和</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的要求履行义务或履行达不到合同约定或</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要求的，</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有权根据考核情况扣减相应费用。若因</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原因造成事故或财产损失</w:t>
      </w:r>
      <w:r>
        <w:rPr>
          <w:rFonts w:hint="eastAsia" w:asciiTheme="minorEastAsia" w:hAnsiTheme="minorEastAsia" w:eastAsiaTheme="minorEastAsia" w:cstheme="minorEastAsia"/>
          <w:b w:val="0"/>
          <w:bCs w:val="0"/>
          <w:color w:val="auto"/>
          <w:sz w:val="24"/>
          <w:szCs w:val="24"/>
          <w:highlight w:val="none"/>
          <w:lang w:val="en-US" w:eastAsia="zh-CN"/>
        </w:rPr>
        <w:t>等</w:t>
      </w:r>
      <w:r>
        <w:rPr>
          <w:rFonts w:hint="eastAsia" w:asciiTheme="minorEastAsia" w:hAnsiTheme="minorEastAsia" w:eastAsiaTheme="minorEastAsia" w:cstheme="minorEastAsia"/>
          <w:b w:val="0"/>
          <w:bCs w:val="0"/>
          <w:color w:val="auto"/>
          <w:sz w:val="24"/>
          <w:szCs w:val="24"/>
          <w:highlight w:val="none"/>
        </w:rPr>
        <w:t>的，</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负责赔偿并承担一切经济及法律责任。</w:t>
      </w:r>
    </w:p>
    <w:p w14:paraId="7F478AE8">
      <w:pPr>
        <w:numPr>
          <w:ilvl w:val="0"/>
          <w:numId w:val="7"/>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因</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及其人员的原因造成</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或第三方损失的，由</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负责赔偿并承</w:t>
      </w:r>
      <w:r>
        <w:rPr>
          <w:rFonts w:hint="eastAsia" w:asciiTheme="minorEastAsia" w:hAnsiTheme="minorEastAsia" w:eastAsiaTheme="minorEastAsia" w:cstheme="minorEastAsia"/>
          <w:b w:val="0"/>
          <w:bCs w:val="0"/>
          <w:color w:val="auto"/>
          <w:sz w:val="24"/>
          <w:szCs w:val="24"/>
          <w:highlight w:val="none"/>
          <w:lang w:val="en-US" w:eastAsia="zh-CN"/>
        </w:rPr>
        <w:t>担</w:t>
      </w:r>
      <w:r>
        <w:rPr>
          <w:rFonts w:hint="eastAsia" w:asciiTheme="minorEastAsia" w:hAnsiTheme="minorEastAsia" w:eastAsiaTheme="minorEastAsia" w:cstheme="minorEastAsia"/>
          <w:b w:val="0"/>
          <w:bCs w:val="0"/>
          <w:color w:val="auto"/>
          <w:sz w:val="24"/>
          <w:szCs w:val="24"/>
          <w:highlight w:val="none"/>
        </w:rPr>
        <w:t>一切经济及法律责任。</w:t>
      </w:r>
    </w:p>
    <w:p w14:paraId="29FF231D">
      <w:pPr>
        <w:pStyle w:val="8"/>
        <w:numPr>
          <w:ilvl w:val="0"/>
          <w:numId w:val="7"/>
        </w:numPr>
        <w:spacing w:after="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所提供的维保服务不能实质性满足采购文件要求或不符合合同约定的，</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有权拒绝签署维保报告，</w:t>
      </w:r>
      <w:r>
        <w:rPr>
          <w:rFonts w:hint="eastAsia" w:asciiTheme="minorEastAsia" w:hAnsiTheme="minorEastAsia" w:eastAsiaTheme="minorEastAsia" w:cstheme="minorEastAsia"/>
          <w:b w:val="0"/>
          <w:bCs w:val="0"/>
          <w:color w:val="auto"/>
          <w:sz w:val="24"/>
          <w:szCs w:val="24"/>
          <w:highlight w:val="none"/>
          <w:lang w:val="en-US" w:eastAsia="zh-CN"/>
        </w:rPr>
        <w:t>并且扣除</w:t>
      </w:r>
      <w:r>
        <w:rPr>
          <w:rFonts w:hint="eastAsia" w:asciiTheme="minorEastAsia" w:hAnsiTheme="minorEastAsia" w:cstheme="minorEastAsia"/>
          <w:b w:val="0"/>
          <w:bCs w:val="0"/>
          <w:color w:val="auto"/>
          <w:sz w:val="24"/>
          <w:szCs w:val="24"/>
          <w:highlight w:val="none"/>
          <w:lang w:val="en-US" w:eastAsia="zh-CN"/>
        </w:rPr>
        <w:t>投标人</w:t>
      </w:r>
      <w:r>
        <w:rPr>
          <w:rFonts w:hint="eastAsia" w:asciiTheme="minorEastAsia" w:hAnsiTheme="minorEastAsia" w:eastAsiaTheme="minorEastAsia" w:cstheme="minorEastAsia"/>
          <w:b w:val="0"/>
          <w:bCs w:val="0"/>
          <w:sz w:val="24"/>
          <w:szCs w:val="24"/>
          <w:highlight w:val="none"/>
        </w:rPr>
        <w:t>合同总金额5%/次</w:t>
      </w:r>
      <w:r>
        <w:rPr>
          <w:rFonts w:hint="eastAsia" w:asciiTheme="minorEastAsia" w:hAnsiTheme="minorEastAsia" w:eastAsiaTheme="minorEastAsia" w:cstheme="minorEastAsia"/>
          <w:b w:val="0"/>
          <w:bCs w:val="0"/>
          <w:color w:val="auto"/>
          <w:sz w:val="24"/>
          <w:szCs w:val="24"/>
          <w:highlight w:val="none"/>
          <w:lang w:val="en-US" w:eastAsia="zh-CN"/>
        </w:rPr>
        <w:t>作为</w:t>
      </w:r>
      <w:r>
        <w:rPr>
          <w:rFonts w:hint="eastAsia" w:asciiTheme="minorEastAsia" w:hAnsiTheme="minorEastAsia" w:eastAsiaTheme="minorEastAsia" w:cstheme="minorEastAsia"/>
          <w:b w:val="0"/>
          <w:bCs w:val="0"/>
          <w:color w:val="auto"/>
          <w:sz w:val="24"/>
          <w:szCs w:val="24"/>
          <w:highlight w:val="none"/>
        </w:rPr>
        <w:t>违约金，同时</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须在</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 xml:space="preserve">要求的时限内重新维保或完成整改。                                                                      </w:t>
      </w:r>
    </w:p>
    <w:p w14:paraId="09271691">
      <w:pPr>
        <w:numPr>
          <w:ilvl w:val="0"/>
          <w:numId w:val="7"/>
        </w:numPr>
        <w:spacing w:afterLines="0" w:line="360" w:lineRule="auto"/>
        <w:ind w:left="0" w:leftChars="0" w:firstLine="480" w:firstLineChars="200"/>
        <w:rPr>
          <w:rFonts w:hint="eastAsia" w:asciiTheme="minorEastAsia" w:hAnsiTheme="minorEastAsia" w:eastAsiaTheme="minorEastAsia" w:cstheme="minorEastAsia"/>
          <w:b w:val="0"/>
          <w:bCs w:val="0"/>
          <w:sz w:val="24"/>
          <w:szCs w:val="24"/>
          <w:highlight w:val="none"/>
        </w:rPr>
      </w:pP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逾期提供维保服务或未在</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要求的时限内重新维保或整改的，</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须向</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支付逾期违约金</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每逾期一日，须向</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支付合同总金额5‰的违约金</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kern w:val="0"/>
          <w:sz w:val="24"/>
          <w:szCs w:val="24"/>
          <w:highlight w:val="none"/>
        </w:rPr>
        <w:t>且</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有权自行委托第三方提供</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所需的维保服务，全部费用由</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承担</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造成</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损失的，</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还须承担赔偿责任。逾期超过</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color w:val="auto"/>
          <w:sz w:val="24"/>
          <w:szCs w:val="24"/>
          <w:highlight w:val="none"/>
          <w:u w:val="single"/>
          <w:lang w:val="en-US" w:eastAsia="zh-CN"/>
        </w:rPr>
        <w:t>10</w:t>
      </w:r>
      <w:r>
        <w:rPr>
          <w:rFonts w:hint="eastAsia" w:asciiTheme="minorEastAsia" w:hAnsiTheme="minorEastAsia" w:eastAsiaTheme="minorEastAsia" w:cstheme="minorEastAsia"/>
          <w:b w:val="0"/>
          <w:bCs w:val="0"/>
          <w:color w:val="auto"/>
          <w:sz w:val="24"/>
          <w:szCs w:val="24"/>
          <w:highlight w:val="none"/>
        </w:rPr>
        <w:t>日的，</w:t>
      </w:r>
      <w:r>
        <w:rPr>
          <w:rFonts w:hint="eastAsia" w:asciiTheme="minorEastAsia" w:hAnsiTheme="minorEastAsia" w:cstheme="minorEastAsia"/>
          <w:b w:val="0"/>
          <w:bCs w:val="0"/>
          <w:sz w:val="24"/>
          <w:szCs w:val="24"/>
          <w:highlight w:val="none"/>
          <w:lang w:eastAsia="zh-CN"/>
        </w:rPr>
        <w:t>投标人</w:t>
      </w:r>
      <w:r>
        <w:rPr>
          <w:rFonts w:hint="eastAsia" w:asciiTheme="minorEastAsia" w:hAnsiTheme="minorEastAsia" w:eastAsiaTheme="minorEastAsia" w:cstheme="minorEastAsia"/>
          <w:b w:val="0"/>
          <w:bCs w:val="0"/>
          <w:sz w:val="24"/>
          <w:szCs w:val="24"/>
          <w:highlight w:val="none"/>
        </w:rPr>
        <w:t>须向</w:t>
      </w:r>
      <w:r>
        <w:rPr>
          <w:rFonts w:hint="eastAsia" w:asciiTheme="minorEastAsia" w:hAnsiTheme="minorEastAsia" w:cstheme="minorEastAsia"/>
          <w:b w:val="0"/>
          <w:bCs w:val="0"/>
          <w:sz w:val="24"/>
          <w:szCs w:val="24"/>
          <w:highlight w:val="none"/>
          <w:lang w:eastAsia="zh-CN"/>
        </w:rPr>
        <w:t>采购人</w:t>
      </w:r>
      <w:r>
        <w:rPr>
          <w:rFonts w:hint="eastAsia" w:asciiTheme="minorEastAsia" w:hAnsiTheme="minorEastAsia" w:eastAsiaTheme="minorEastAsia" w:cstheme="minorEastAsia"/>
          <w:b w:val="0"/>
          <w:bCs w:val="0"/>
          <w:sz w:val="24"/>
          <w:szCs w:val="24"/>
          <w:highlight w:val="none"/>
        </w:rPr>
        <w:t>另行支付合同总金额10%的违约金，且</w:t>
      </w:r>
      <w:r>
        <w:rPr>
          <w:rFonts w:hint="eastAsia" w:asciiTheme="minorEastAsia" w:hAnsiTheme="minorEastAsia" w:cstheme="minorEastAsia"/>
          <w:b w:val="0"/>
          <w:bCs w:val="0"/>
          <w:sz w:val="24"/>
          <w:szCs w:val="24"/>
          <w:highlight w:val="none"/>
          <w:lang w:eastAsia="zh-CN"/>
        </w:rPr>
        <w:t>采购人</w:t>
      </w:r>
      <w:r>
        <w:rPr>
          <w:rFonts w:hint="eastAsia" w:asciiTheme="minorEastAsia" w:hAnsiTheme="minorEastAsia" w:eastAsiaTheme="minorEastAsia" w:cstheme="minorEastAsia"/>
          <w:b w:val="0"/>
          <w:bCs w:val="0"/>
          <w:sz w:val="24"/>
          <w:szCs w:val="24"/>
          <w:highlight w:val="none"/>
        </w:rPr>
        <w:t>有权单方解除合同，</w:t>
      </w:r>
      <w:r>
        <w:rPr>
          <w:rFonts w:hint="eastAsia" w:asciiTheme="minorEastAsia" w:hAnsiTheme="minorEastAsia" w:cstheme="minorEastAsia"/>
          <w:b w:val="0"/>
          <w:bCs w:val="0"/>
          <w:sz w:val="24"/>
          <w:szCs w:val="24"/>
          <w:highlight w:val="none"/>
          <w:lang w:eastAsia="zh-CN"/>
        </w:rPr>
        <w:t>投标人</w:t>
      </w:r>
      <w:r>
        <w:rPr>
          <w:rFonts w:hint="eastAsia" w:asciiTheme="minorEastAsia" w:hAnsiTheme="minorEastAsia" w:eastAsiaTheme="minorEastAsia" w:cstheme="minorEastAsia"/>
          <w:b w:val="0"/>
          <w:bCs w:val="0"/>
          <w:sz w:val="24"/>
          <w:szCs w:val="24"/>
          <w:highlight w:val="none"/>
        </w:rPr>
        <w:t>须在收到</w:t>
      </w:r>
      <w:r>
        <w:rPr>
          <w:rFonts w:hint="eastAsia" w:asciiTheme="minorEastAsia" w:hAnsiTheme="minorEastAsia" w:cstheme="minorEastAsia"/>
          <w:b w:val="0"/>
          <w:bCs w:val="0"/>
          <w:sz w:val="24"/>
          <w:szCs w:val="24"/>
          <w:highlight w:val="none"/>
          <w:lang w:eastAsia="zh-CN"/>
        </w:rPr>
        <w:t>采购人</w:t>
      </w:r>
      <w:r>
        <w:rPr>
          <w:rFonts w:hint="eastAsia" w:asciiTheme="minorEastAsia" w:hAnsiTheme="minorEastAsia" w:eastAsiaTheme="minorEastAsia" w:cstheme="minorEastAsia"/>
          <w:b w:val="0"/>
          <w:bCs w:val="0"/>
          <w:sz w:val="24"/>
          <w:szCs w:val="24"/>
          <w:highlight w:val="none"/>
        </w:rPr>
        <w:t>解除合同通知后3日内无条件退回</w:t>
      </w:r>
      <w:r>
        <w:rPr>
          <w:rFonts w:hint="eastAsia" w:asciiTheme="minorEastAsia" w:hAnsiTheme="minorEastAsia" w:cstheme="minorEastAsia"/>
          <w:b w:val="0"/>
          <w:bCs w:val="0"/>
          <w:sz w:val="24"/>
          <w:szCs w:val="24"/>
          <w:highlight w:val="none"/>
          <w:lang w:eastAsia="zh-CN"/>
        </w:rPr>
        <w:t>采购人</w:t>
      </w:r>
      <w:r>
        <w:rPr>
          <w:rFonts w:hint="eastAsia" w:asciiTheme="minorEastAsia" w:hAnsiTheme="minorEastAsia" w:eastAsiaTheme="minorEastAsia" w:cstheme="minorEastAsia"/>
          <w:b w:val="0"/>
          <w:bCs w:val="0"/>
          <w:sz w:val="24"/>
          <w:szCs w:val="24"/>
          <w:highlight w:val="none"/>
        </w:rPr>
        <w:t>已经支付的全部款项。</w:t>
      </w:r>
    </w:p>
    <w:p w14:paraId="6F1BED03">
      <w:pPr>
        <w:widowControl/>
        <w:numPr>
          <w:ilvl w:val="0"/>
          <w:numId w:val="7"/>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若</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履行义务不符合约定，经</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书面提出后</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3 </w:t>
      </w:r>
      <w:r>
        <w:rPr>
          <w:rFonts w:hint="eastAsia" w:asciiTheme="minorEastAsia" w:hAnsiTheme="minorEastAsia" w:eastAsiaTheme="minorEastAsia" w:cstheme="minorEastAsia"/>
          <w:b w:val="0"/>
          <w:bCs w:val="0"/>
          <w:color w:val="auto"/>
          <w:sz w:val="24"/>
          <w:szCs w:val="24"/>
          <w:highlight w:val="none"/>
        </w:rPr>
        <w:t>日内仍没有改正，或整改后仍达不到</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要求的，</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有权单方解除合同，</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须承担违约责任。因</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违约导致</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提前解除合同的，</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须退回</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已经支付的全部款项，且应按本合同总金额10%的比例向</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支付违约金，违约金不足以弥补</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损失的，</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还须继续赔偿。</w:t>
      </w:r>
    </w:p>
    <w:p w14:paraId="6EBDF983">
      <w:pPr>
        <w:numPr>
          <w:ilvl w:val="0"/>
          <w:numId w:val="7"/>
        </w:numPr>
        <w:spacing w:afterLines="0" w:line="360" w:lineRule="auto"/>
        <w:ind w:left="0" w:leftChars="0" w:firstLine="480" w:firstLineChars="200"/>
        <w:jc w:val="left"/>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有以下情形之一的，</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有权单方解除合同，并不再支付当期合同款项，</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应按合同总金额的30%向</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支付违约金，且应另行赔偿</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因此遭受的全部损失：</w:t>
      </w:r>
    </w:p>
    <w:p w14:paraId="6CA1F5F3">
      <w:pPr>
        <w:spacing w:afterLines="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严重违约的，或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原因给</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造成严重经济损失的；</w:t>
      </w:r>
    </w:p>
    <w:p w14:paraId="6420BD84">
      <w:pPr>
        <w:spacing w:afterLines="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履行义务不符合合同约定或</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要求的，经</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提出后合理期限内仍未改正的，或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拒不改正、怠于改正的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经两次改正仍达不到合同约定或</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要求的；</w:t>
      </w:r>
    </w:p>
    <w:p w14:paraId="0950BF72">
      <w:pPr>
        <w:pStyle w:val="16"/>
        <w:spacing w:before="0" w:after="0" w:afterLines="0" w:line="360" w:lineRule="auto"/>
        <w:ind w:firstLine="52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未能按合同约定的时间提供服务累计超过</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rPr>
        <w:t>次的（包括未能及时响应、解决故障的）；</w:t>
      </w:r>
    </w:p>
    <w:p w14:paraId="52A57D77">
      <w:pPr>
        <w:spacing w:afterLines="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在本合同有效期内丧失履行本合同的能力、经营资质的。</w:t>
      </w:r>
    </w:p>
    <w:p w14:paraId="6C3729F5">
      <w:pPr>
        <w:numPr>
          <w:ilvl w:val="0"/>
          <w:numId w:val="8"/>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保证提供的服务或服务配套的工具或技术</w:t>
      </w:r>
      <w:r>
        <w:rPr>
          <w:rFonts w:hint="eastAsia" w:asciiTheme="minorEastAsia" w:hAnsiTheme="minorEastAsia" w:eastAsiaTheme="minorEastAsia" w:cstheme="minorEastAsia"/>
          <w:b w:val="0"/>
          <w:bCs w:val="0"/>
          <w:color w:val="auto"/>
          <w:sz w:val="24"/>
          <w:szCs w:val="24"/>
          <w:highlight w:val="none"/>
          <w:lang w:eastAsia="zh-Hans"/>
        </w:rPr>
        <w:t>、</w:t>
      </w:r>
      <w:r>
        <w:rPr>
          <w:rFonts w:hint="eastAsia" w:asciiTheme="minorEastAsia" w:hAnsiTheme="minorEastAsia" w:eastAsiaTheme="minorEastAsia" w:cstheme="minorEastAsia"/>
          <w:b w:val="0"/>
          <w:bCs w:val="0"/>
          <w:color w:val="auto"/>
          <w:sz w:val="24"/>
          <w:szCs w:val="24"/>
          <w:highlight w:val="none"/>
        </w:rPr>
        <w:t>软件、系统</w:t>
      </w:r>
      <w:r>
        <w:rPr>
          <w:rFonts w:hint="eastAsia" w:asciiTheme="minorEastAsia" w:hAnsiTheme="minorEastAsia" w:eastAsiaTheme="minorEastAsia" w:cstheme="minorEastAsia"/>
          <w:b w:val="0"/>
          <w:bCs w:val="0"/>
          <w:color w:val="auto"/>
          <w:sz w:val="24"/>
          <w:szCs w:val="24"/>
          <w:highlight w:val="none"/>
          <w:lang w:eastAsia="zh-Hans"/>
        </w:rPr>
        <w:t>、硬件设备等</w:t>
      </w:r>
      <w:r>
        <w:rPr>
          <w:rFonts w:hint="eastAsia" w:asciiTheme="minorEastAsia" w:hAnsiTheme="minorEastAsia" w:eastAsiaTheme="minorEastAsia" w:cstheme="minorEastAsia"/>
          <w:b w:val="0"/>
          <w:bCs w:val="0"/>
          <w:color w:val="auto"/>
          <w:sz w:val="24"/>
          <w:szCs w:val="24"/>
          <w:highlight w:val="none"/>
        </w:rPr>
        <w:t>，不会产生因第三方提出的包括但不限于侵犯其专利权、商标权、工业设计权等知识产权或侵犯其所有权、抵押权等物权或其他权利而引发的纠纷。若有纠纷，</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应承担全部责任（包括一切经济及法律责任），并赔偿给</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造成的全部损失</w:t>
      </w:r>
      <w:r>
        <w:rPr>
          <w:rFonts w:hint="eastAsia" w:asciiTheme="minorEastAsia" w:hAnsiTheme="minorEastAsia" w:eastAsiaTheme="minorEastAsia" w:cstheme="minorEastAsia"/>
          <w:b w:val="0"/>
          <w:bCs w:val="0"/>
          <w:color w:val="auto"/>
          <w:sz w:val="24"/>
          <w:szCs w:val="24"/>
          <w:highlight w:val="none"/>
          <w:lang w:eastAsia="zh-CN"/>
        </w:rPr>
        <w:t>。</w:t>
      </w:r>
    </w:p>
    <w:p w14:paraId="41C16575">
      <w:pPr>
        <w:numPr>
          <w:ilvl w:val="0"/>
          <w:numId w:val="8"/>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不得以任何理由将其在本合同项下的权利或义务全部或部分转让给任何第三方，不得将本项目转包或者分包，否则</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有权单方解除本合同，</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须退还</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已付的全部款项，并向</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支付本合同总金额30%的违约金，违约金不足以弥补</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损失的，</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还须继续赔偿。</w:t>
      </w:r>
    </w:p>
    <w:p w14:paraId="563FE262">
      <w:pPr>
        <w:numPr>
          <w:ilvl w:val="0"/>
          <w:numId w:val="8"/>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所提供的维保服务不符合采购文件、合同要求或其投标承诺的，或在投标阶段为中标而盲目虚假承诺、低价恶性竞争的，或在履行合同阶段通过偷工减料、以次充好获取利润的，</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有权拒绝验收</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不予</w:t>
      </w:r>
      <w:r>
        <w:rPr>
          <w:rFonts w:hint="eastAsia" w:asciiTheme="minorEastAsia" w:hAnsiTheme="minorEastAsia" w:eastAsiaTheme="minorEastAsia" w:cstheme="minorEastAsia"/>
          <w:b w:val="0"/>
          <w:bCs w:val="0"/>
          <w:color w:val="auto"/>
          <w:sz w:val="24"/>
          <w:szCs w:val="24"/>
          <w:highlight w:val="none"/>
        </w:rPr>
        <w:t>付款，并交有关机关依法依规处理，全部责任由</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自行承担。</w:t>
      </w:r>
    </w:p>
    <w:p w14:paraId="42A66B5E">
      <w:pPr>
        <w:numPr>
          <w:ilvl w:val="0"/>
          <w:numId w:val="8"/>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lang w:eastAsia="zh-Hans"/>
        </w:rPr>
        <w:t>未能在合同约定期限内响应或者提供相应维保服务的，或者因</w:t>
      </w:r>
      <w:r>
        <w:rPr>
          <w:rFonts w:hint="eastAsia" w:asciiTheme="minorEastAsia" w:hAnsiTheme="minorEastAsia" w:eastAsiaTheme="minorEastAsia" w:cstheme="minorEastAsia"/>
          <w:b w:val="0"/>
          <w:bCs w:val="0"/>
          <w:color w:val="auto"/>
          <w:sz w:val="24"/>
          <w:szCs w:val="24"/>
          <w:highlight w:val="none"/>
        </w:rPr>
        <w:t>维保造成故障扩大化或由此引起损失的，</w:t>
      </w:r>
      <w:r>
        <w:rPr>
          <w:rFonts w:hint="eastAsia" w:asciiTheme="minorEastAsia" w:hAnsiTheme="minorEastAsia" w:cstheme="minorEastAsia"/>
          <w:b w:val="0"/>
          <w:bCs w:val="0"/>
          <w:color w:val="auto"/>
          <w:sz w:val="24"/>
          <w:szCs w:val="24"/>
          <w:highlight w:val="none"/>
          <w:lang w:eastAsia="zh-CN"/>
        </w:rPr>
        <w:t>采购人</w:t>
      </w:r>
      <w:r>
        <w:rPr>
          <w:rFonts w:hint="eastAsia" w:asciiTheme="minorEastAsia" w:hAnsiTheme="minorEastAsia" w:eastAsiaTheme="minorEastAsia" w:cstheme="minorEastAsia"/>
          <w:b w:val="0"/>
          <w:bCs w:val="0"/>
          <w:color w:val="auto"/>
          <w:sz w:val="24"/>
          <w:szCs w:val="24"/>
          <w:highlight w:val="none"/>
        </w:rPr>
        <w:t>有权另行委托第三方进行维保处理，由此产生的全部费用及损失由</w:t>
      </w:r>
      <w:r>
        <w:rPr>
          <w:rFonts w:hint="eastAsia" w:asciiTheme="minorEastAsia" w:hAnsi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承担。</w:t>
      </w:r>
    </w:p>
    <w:p w14:paraId="11113613">
      <w:pPr>
        <w:numPr>
          <w:ilvl w:val="0"/>
          <w:numId w:val="8"/>
        </w:numPr>
        <w:tabs>
          <w:tab w:val="left" w:pos="5245"/>
        </w:tabs>
        <w:spacing w:afterLines="0" w:line="360" w:lineRule="auto"/>
        <w:ind w:left="0" w:leftChars="0" w:firstLine="480" w:firstLineChars="200"/>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本合同所称之损失包括直接经济损失和合同履行后可以获得的利益及合理的调查费、评估费、公证费、诉讼费、交通费、律师费</w:t>
      </w:r>
      <w:r>
        <w:rPr>
          <w:rFonts w:hint="eastAsia" w:asciiTheme="minorEastAsia" w:hAnsiTheme="minorEastAsia" w:eastAsiaTheme="minorEastAsia" w:cstheme="minorEastAsia"/>
          <w:b w:val="0"/>
          <w:bCs w:val="0"/>
          <w:color w:val="auto"/>
          <w:sz w:val="24"/>
          <w:szCs w:val="24"/>
          <w:highlight w:val="none"/>
          <w:lang w:eastAsia="zh-Hans"/>
        </w:rPr>
        <w:t>、财产保全费、担保费</w:t>
      </w:r>
      <w:r>
        <w:rPr>
          <w:rFonts w:hint="eastAsia" w:asciiTheme="minorEastAsia" w:hAnsiTheme="minorEastAsia" w:eastAsiaTheme="minorEastAsia" w:cstheme="minorEastAsia"/>
          <w:b w:val="0"/>
          <w:bCs w:val="0"/>
          <w:color w:val="auto"/>
          <w:sz w:val="24"/>
          <w:szCs w:val="24"/>
          <w:highlight w:val="none"/>
        </w:rPr>
        <w:t>等相关法律费用。</w:t>
      </w:r>
    </w:p>
    <w:p w14:paraId="27692184">
      <w:pPr>
        <w:rPr>
          <w:rFonts w:hint="eastAsia"/>
          <w:highlight w:val="none"/>
          <w:lang w:val="en-US" w:eastAsia="zh-CN"/>
        </w:rPr>
      </w:pPr>
    </w:p>
    <w:p w14:paraId="51487441">
      <w:pPr>
        <w:pStyle w:val="2"/>
        <w:keepNext w:val="0"/>
        <w:pageBreakBefore w:val="0"/>
        <w:widowControl w:val="0"/>
        <w:kinsoku/>
        <w:wordWrap/>
        <w:overflowPunct/>
        <w:topLinePunct w:val="0"/>
        <w:autoSpaceDE/>
        <w:autoSpaceDN/>
        <w:bidi w:val="0"/>
        <w:snapToGrid w:val="0"/>
        <w:spacing w:line="240" w:lineRule="auto"/>
        <w:ind w:firstLine="560"/>
        <w:textAlignment w:val="auto"/>
        <w:rPr>
          <w:rFonts w:hint="eastAsia" w:asciiTheme="minorEastAsia" w:hAnsiTheme="minorEastAsia" w:eastAsiaTheme="minorEastAsia" w:cstheme="minorEastAsia"/>
          <w:sz w:val="21"/>
          <w:szCs w:val="21"/>
          <w:highlight w:val="none"/>
        </w:rPr>
      </w:pPr>
    </w:p>
    <w:p w14:paraId="1B3CACE0">
      <w:pPr>
        <w:keepNext w:val="0"/>
        <w:pageBreakBefore w:val="0"/>
        <w:kinsoku/>
        <w:overflowPunct/>
        <w:topLinePunct w:val="0"/>
        <w:autoSpaceDE/>
        <w:autoSpaceDN/>
        <w:bidi w:val="0"/>
        <w:snapToGrid w:val="0"/>
        <w:spacing w:line="240" w:lineRule="auto"/>
        <w:rPr>
          <w:rFonts w:hint="eastAsia" w:asciiTheme="minorEastAsia" w:hAnsiTheme="minorEastAsia" w:eastAsiaTheme="minorEastAsia" w:cstheme="minorEastAsia"/>
          <w:sz w:val="21"/>
          <w:szCs w:val="21"/>
          <w:highlight w:val="none"/>
        </w:rPr>
      </w:pPr>
    </w:p>
    <w:p w14:paraId="2EA17960">
      <w:pPr>
        <w:rPr>
          <w:rFonts w:hint="eastAsia" w:ascii="宋体" w:hAnsi="宋体" w:eastAsia="宋体" w:cs="宋体"/>
          <w:szCs w:val="21"/>
          <w:highlight w:val="none"/>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华文仿宋">
    <w:altName w:val="仿宋"/>
    <w:panose1 w:val="02010600040101010101"/>
    <w:charset w:val="86"/>
    <w:family w:val="auto"/>
    <w:pitch w:val="default"/>
    <w:sig w:usb0="00000000" w:usb1="00000000" w:usb2="00000000" w:usb3="00000000" w:csb0="0004009F" w:csb1="DFD70000"/>
  </w:font>
  <w:font w:name="方正小标宋简体">
    <w:altName w:val="黑体"/>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A7CEE">
    <w:pPr>
      <w:pStyle w:val="9"/>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14:paraId="06F413A5">
                <w:pPr>
                  <w:pStyle w:val="9"/>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D9BCD"/>
    <w:multiLevelType w:val="singleLevel"/>
    <w:tmpl w:val="863D9BCD"/>
    <w:lvl w:ilvl="0" w:tentative="0">
      <w:start w:val="1"/>
      <w:numFmt w:val="chineseCounting"/>
      <w:suff w:val="nothing"/>
      <w:lvlText w:val="%1、"/>
      <w:lvlJc w:val="left"/>
      <w:pPr>
        <w:ind w:left="0" w:firstLine="420"/>
      </w:pPr>
      <w:rPr>
        <w:rFonts w:hint="eastAsia"/>
      </w:rPr>
    </w:lvl>
  </w:abstractNum>
  <w:abstractNum w:abstractNumId="1">
    <w:nsid w:val="97F8A006"/>
    <w:multiLevelType w:val="singleLevel"/>
    <w:tmpl w:val="97F8A006"/>
    <w:lvl w:ilvl="0" w:tentative="0">
      <w:start w:val="1"/>
      <w:numFmt w:val="chineseCounting"/>
      <w:suff w:val="nothing"/>
      <w:lvlText w:val="（%1）"/>
      <w:lvlJc w:val="left"/>
      <w:pPr>
        <w:ind w:left="0" w:firstLine="420"/>
      </w:pPr>
      <w:rPr>
        <w:rFonts w:hint="eastAsia"/>
      </w:rPr>
    </w:lvl>
  </w:abstractNum>
  <w:abstractNum w:abstractNumId="2">
    <w:nsid w:val="B64754E7"/>
    <w:multiLevelType w:val="singleLevel"/>
    <w:tmpl w:val="B64754E7"/>
    <w:lvl w:ilvl="0" w:tentative="0">
      <w:start w:val="1"/>
      <w:numFmt w:val="decimal"/>
      <w:suff w:val="nothing"/>
      <w:lvlText w:val="%1．"/>
      <w:lvlJc w:val="left"/>
      <w:pPr>
        <w:ind w:left="0" w:firstLine="400"/>
      </w:pPr>
      <w:rPr>
        <w:rFonts w:hint="default"/>
      </w:rPr>
    </w:lvl>
  </w:abstractNum>
  <w:abstractNum w:abstractNumId="3">
    <w:nsid w:val="D7236CED"/>
    <w:multiLevelType w:val="singleLevel"/>
    <w:tmpl w:val="D7236CED"/>
    <w:lvl w:ilvl="0" w:tentative="0">
      <w:start w:val="1"/>
      <w:numFmt w:val="decimalEnclosedCircleChinese"/>
      <w:suff w:val="nothing"/>
      <w:lvlText w:val="%1　"/>
      <w:lvlJc w:val="left"/>
      <w:pPr>
        <w:ind w:left="0" w:firstLine="400"/>
      </w:pPr>
      <w:rPr>
        <w:rFonts w:hint="eastAsia"/>
      </w:rPr>
    </w:lvl>
  </w:abstractNum>
  <w:abstractNum w:abstractNumId="4">
    <w:nsid w:val="F99AFFC6"/>
    <w:multiLevelType w:val="singleLevel"/>
    <w:tmpl w:val="F99AFFC6"/>
    <w:lvl w:ilvl="0" w:tentative="0">
      <w:start w:val="1"/>
      <w:numFmt w:val="chineseCounting"/>
      <w:suff w:val="nothing"/>
      <w:lvlText w:val="（%1）"/>
      <w:lvlJc w:val="left"/>
      <w:pPr>
        <w:ind w:left="0" w:firstLine="420"/>
      </w:pPr>
      <w:rPr>
        <w:rFonts w:hint="eastAsia"/>
      </w:rPr>
    </w:lvl>
  </w:abstractNum>
  <w:abstractNum w:abstractNumId="5">
    <w:nsid w:val="FB04D17F"/>
    <w:multiLevelType w:val="singleLevel"/>
    <w:tmpl w:val="FB04D17F"/>
    <w:lvl w:ilvl="0" w:tentative="0">
      <w:start w:val="4"/>
      <w:numFmt w:val="decimal"/>
      <w:suff w:val="nothing"/>
      <w:lvlText w:val="%1、"/>
      <w:lvlJc w:val="left"/>
    </w:lvl>
  </w:abstractNum>
  <w:abstractNum w:abstractNumId="6">
    <w:nsid w:val="5D596AB6"/>
    <w:multiLevelType w:val="singleLevel"/>
    <w:tmpl w:val="5D596AB6"/>
    <w:lvl w:ilvl="0" w:tentative="0">
      <w:start w:val="1"/>
      <w:numFmt w:val="chineseCounting"/>
      <w:pStyle w:val="5"/>
      <w:suff w:val="nothing"/>
      <w:lvlText w:val="%1、"/>
      <w:lvlJc w:val="left"/>
      <w:pPr>
        <w:ind w:left="0" w:firstLine="420"/>
      </w:pPr>
      <w:rPr>
        <w:rFonts w:hint="eastAsia"/>
      </w:rPr>
    </w:lvl>
  </w:abstractNum>
  <w:abstractNum w:abstractNumId="7">
    <w:nsid w:val="6C7014AC"/>
    <w:multiLevelType w:val="singleLevel"/>
    <w:tmpl w:val="6C7014AC"/>
    <w:lvl w:ilvl="0" w:tentative="0">
      <w:start w:val="1"/>
      <w:numFmt w:val="decimal"/>
      <w:suff w:val="nothing"/>
      <w:lvlText w:val="%1．"/>
      <w:lvlJc w:val="left"/>
      <w:pPr>
        <w:ind w:left="0" w:firstLine="400"/>
      </w:pPr>
      <w:rPr>
        <w:rFonts w:hint="default"/>
      </w:rPr>
    </w:lvl>
  </w:abstractNum>
  <w:num w:numId="1">
    <w:abstractNumId w:val="6"/>
  </w:num>
  <w:num w:numId="2">
    <w:abstractNumId w:val="0"/>
  </w:num>
  <w:num w:numId="3">
    <w:abstractNumId w:val="2"/>
  </w:num>
  <w:num w:numId="4">
    <w:abstractNumId w:val="7"/>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I4YjMzY2Y3NjdjMGM1NDJiYjI1MGE2MWEyNTVkNTYifQ=="/>
  </w:docVars>
  <w:rsids>
    <w:rsidRoot w:val="4FFC5FA2"/>
    <w:rsid w:val="000624C6"/>
    <w:rsid w:val="001C35EF"/>
    <w:rsid w:val="006105BC"/>
    <w:rsid w:val="006A471C"/>
    <w:rsid w:val="00A23411"/>
    <w:rsid w:val="00C528DB"/>
    <w:rsid w:val="01B1771A"/>
    <w:rsid w:val="05C30855"/>
    <w:rsid w:val="06CB55A0"/>
    <w:rsid w:val="07207949"/>
    <w:rsid w:val="08B6005B"/>
    <w:rsid w:val="0AF34F6D"/>
    <w:rsid w:val="109F26E4"/>
    <w:rsid w:val="145C1041"/>
    <w:rsid w:val="14E07226"/>
    <w:rsid w:val="186975EA"/>
    <w:rsid w:val="1AB64061"/>
    <w:rsid w:val="1F375CC2"/>
    <w:rsid w:val="20DB2F52"/>
    <w:rsid w:val="2F526669"/>
    <w:rsid w:val="329621B2"/>
    <w:rsid w:val="32AD00B9"/>
    <w:rsid w:val="36DB2D77"/>
    <w:rsid w:val="370B0B2C"/>
    <w:rsid w:val="3B4A6275"/>
    <w:rsid w:val="3BDB4DF3"/>
    <w:rsid w:val="420B225C"/>
    <w:rsid w:val="44BD6D2B"/>
    <w:rsid w:val="4A1C3C31"/>
    <w:rsid w:val="4EE2719B"/>
    <w:rsid w:val="4FFC5FA2"/>
    <w:rsid w:val="53460CB6"/>
    <w:rsid w:val="56FA2A30"/>
    <w:rsid w:val="5EBF6344"/>
    <w:rsid w:val="5F0E03BD"/>
    <w:rsid w:val="608E2BDB"/>
    <w:rsid w:val="62355AF7"/>
    <w:rsid w:val="62EA2ED9"/>
    <w:rsid w:val="6487048F"/>
    <w:rsid w:val="691D3680"/>
    <w:rsid w:val="6C3B2ED4"/>
    <w:rsid w:val="6CDB5633"/>
    <w:rsid w:val="70866F42"/>
    <w:rsid w:val="71E61721"/>
    <w:rsid w:val="790E7C86"/>
    <w:rsid w:val="7A100DB6"/>
    <w:rsid w:val="7BB865F7"/>
    <w:rsid w:val="7D34021E"/>
    <w:rsid w:val="7DFF2EA4"/>
    <w:rsid w:val="7F46351C"/>
    <w:rsid w:val="7FD74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Autospacing="0" w:afterAutospacing="0"/>
      <w:ind w:firstLine="0" w:firstLineChars="0"/>
      <w:jc w:val="left"/>
      <w:outlineLvl w:val="0"/>
    </w:pPr>
    <w:rPr>
      <w:rFonts w:hint="eastAsia" w:ascii="宋体" w:hAnsi="宋体" w:cs="Times New Roman"/>
      <w:b/>
      <w:kern w:val="44"/>
      <w:sz w:val="28"/>
      <w:szCs w:val="48"/>
    </w:rPr>
  </w:style>
  <w:style w:type="paragraph" w:styleId="5">
    <w:name w:val="heading 2"/>
    <w:basedOn w:val="1"/>
    <w:next w:val="1"/>
    <w:autoRedefine/>
    <w:semiHidden/>
    <w:unhideWhenUsed/>
    <w:qFormat/>
    <w:uiPriority w:val="0"/>
    <w:pPr>
      <w:keepNext/>
      <w:keepLines/>
      <w:numPr>
        <w:ilvl w:val="0"/>
        <w:numId w:val="1"/>
      </w:numPr>
      <w:adjustRightInd w:val="0"/>
      <w:snapToGrid w:val="0"/>
      <w:spacing w:beforeLines="0" w:beforeAutospacing="0" w:afterLines="0" w:afterAutospacing="0" w:line="560" w:lineRule="exact"/>
      <w:ind w:firstLine="0" w:firstLineChars="0"/>
      <w:jc w:val="both"/>
      <w:outlineLvl w:val="1"/>
    </w:pPr>
    <w:rPr>
      <w:rFonts w:ascii="仿宋" w:hAnsi="仿宋" w:eastAsia="楷体"/>
      <w:b/>
      <w:kern w:val="0"/>
      <w:sz w:val="32"/>
      <w:szCs w:val="20"/>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unhideWhenUsed/>
    <w:qFormat/>
    <w:uiPriority w:val="99"/>
    <w:pPr>
      <w:spacing w:line="360" w:lineRule="auto"/>
      <w:ind w:left="0" w:leftChars="0" w:firstLine="420" w:firstLineChars="200"/>
    </w:pPr>
    <w:rPr>
      <w:rFonts w:ascii="仿宋" w:hAnsi="仿宋" w:eastAsia="仿宋"/>
    </w:rPr>
  </w:style>
  <w:style w:type="paragraph" w:styleId="3">
    <w:name w:val="Body Text Indent"/>
    <w:basedOn w:val="1"/>
    <w:autoRedefine/>
    <w:qFormat/>
    <w:uiPriority w:val="0"/>
    <w:pPr>
      <w:spacing w:line="480" w:lineRule="auto"/>
      <w:ind w:left="1258" w:leftChars="599" w:firstLine="1"/>
    </w:pPr>
    <w:rPr>
      <w:rFonts w:ascii="黑体" w:hAnsi="宋体" w:eastAsia="黑体"/>
      <w:sz w:val="28"/>
    </w:rPr>
  </w:style>
  <w:style w:type="paragraph" w:styleId="6">
    <w:name w:val="Normal Indent"/>
    <w:basedOn w:val="1"/>
    <w:qFormat/>
    <w:uiPriority w:val="0"/>
    <w:pPr>
      <w:ind w:firstLine="420"/>
    </w:pPr>
    <w:rPr>
      <w:rFonts w:ascii="Times New Roman" w:hAnsi="Times New Roman"/>
      <w:kern w:val="0"/>
      <w:sz w:val="20"/>
      <w:szCs w:val="20"/>
    </w:rPr>
  </w:style>
  <w:style w:type="paragraph" w:styleId="7">
    <w:name w:val="annotation text"/>
    <w:basedOn w:val="1"/>
    <w:autoRedefine/>
    <w:qFormat/>
    <w:uiPriority w:val="0"/>
    <w:pPr>
      <w:jc w:val="left"/>
    </w:pPr>
  </w:style>
  <w:style w:type="paragraph" w:styleId="8">
    <w:name w:val="Body Text"/>
    <w:basedOn w:val="1"/>
    <w:next w:val="1"/>
    <w:autoRedefine/>
    <w:qFormat/>
    <w:uiPriority w:val="0"/>
    <w:pPr>
      <w:spacing w:line="360" w:lineRule="auto"/>
    </w:pPr>
    <w:rPr>
      <w:b/>
      <w:bCs/>
      <w:sz w:val="24"/>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envelope return"/>
    <w:basedOn w:val="1"/>
    <w:qFormat/>
    <w:uiPriority w:val="99"/>
    <w:pPr>
      <w:snapToGrid w:val="0"/>
    </w:pPr>
    <w:rPr>
      <w:rFonts w:ascii="Arial" w:hAnsi="Arial"/>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annotation reference"/>
    <w:autoRedefine/>
    <w:qFormat/>
    <w:uiPriority w:val="0"/>
    <w:rPr>
      <w:sz w:val="21"/>
      <w:szCs w:val="21"/>
    </w:rPr>
  </w:style>
  <w:style w:type="paragraph" w:customStyle="1" w:styleId="16">
    <w:name w:val="表格文字"/>
    <w:basedOn w:val="1"/>
    <w:autoRedefine/>
    <w:qFormat/>
    <w:uiPriority w:val="0"/>
    <w:pPr>
      <w:spacing w:before="25" w:after="25" w:line="300" w:lineRule="auto"/>
    </w:pPr>
    <w:rPr>
      <w:rFonts w:ascii="Times" w:hAnsi="Times"/>
      <w:spacing w:val="10"/>
      <w:sz w:val="24"/>
    </w:rPr>
  </w:style>
  <w:style w:type="paragraph" w:styleId="17">
    <w:name w:val="List Paragraph"/>
    <w:basedOn w:val="1"/>
    <w:autoRedefine/>
    <w:qFormat/>
    <w:uiPriority w:val="0"/>
    <w:pPr>
      <w:ind w:firstLine="420" w:firstLineChars="200"/>
    </w:pPr>
    <w:rPr>
      <w:rFonts w:ascii="Times New Roman" w:hAnsi="Times New Roman" w:eastAsia="宋体" w:cs="Times New Roman"/>
      <w:szCs w:val="20"/>
    </w:rPr>
  </w:style>
  <w:style w:type="paragraph" w:customStyle="1" w:styleId="18">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9">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20">
    <w:name w:val=".正文"/>
    <w:basedOn w:val="1"/>
    <w:qFormat/>
    <w:uiPriority w:val="0"/>
    <w:pPr>
      <w:spacing w:beforeLines="50"/>
      <w:ind w:firstLine="200" w:firstLineChars="200"/>
    </w:pPr>
    <w:rPr>
      <w:rFonts w:ascii="Calibri" w:hAnsi="Calibri" w:eastAsia="华文仿宋"/>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1562</Words>
  <Characters>1595</Characters>
  <Lines>55</Lines>
  <Paragraphs>15</Paragraphs>
  <TotalTime>2</TotalTime>
  <ScaleCrop>false</ScaleCrop>
  <LinksUpToDate>false</LinksUpToDate>
  <CharactersWithSpaces>1596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2019-11-07T01:08:00Z</dcterms:created>
  <dc:creator>yc</dc:creator>
  <cp:lastModifiedBy>裴龙</cp:lastModifiedBy>
  <dcterms:modified xsi:type="dcterms:W3CDTF">2026-10-27T08:34:15Z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0F95D6815F9946A289F38B054A7A92EE_12</vt:lpwstr>
  </property>
  <property fmtid="{D5CDD505-2E9C-101B-9397-08002B2CF9AE}" pid="4" name="KSOTemplateDocerSaveRecord">
    <vt:lpwstr>eyJoZGlkIjoiNGI4YjMzY2Y3NjdjMGM1NDJiYjI1MGE2MWEyNTVkNTYiLCJ1c2VySWQiOiI1MTY5NDI1NjIifQ==</vt:lpwstr>
  </property>
</Properties>
</file>