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8BE4FD">
      <w:pPr>
        <w:spacing w:line="560" w:lineRule="exact"/>
        <w:jc w:val="center"/>
        <w:rPr>
          <w:rFonts w:asciiTheme="majorEastAsia" w:hAnsiTheme="majorEastAsia" w:eastAsiaTheme="majorEastAsia"/>
          <w:b/>
        </w:rPr>
      </w:pPr>
      <w:r>
        <w:rPr>
          <w:rFonts w:hint="eastAsia" w:asciiTheme="majorEastAsia" w:hAnsiTheme="majorEastAsia" w:eastAsiaTheme="majorEastAsia"/>
          <w:b/>
          <w:sz w:val="44"/>
          <w:szCs w:val="44"/>
        </w:rPr>
        <w:t>中山大学附属第八医院（深圳福田）货物类</w:t>
      </w:r>
    </w:p>
    <w:p w14:paraId="1F6554B2">
      <w:pPr>
        <w:spacing w:line="640" w:lineRule="exact"/>
        <w:jc w:val="center"/>
        <w:rPr>
          <w:rFonts w:asciiTheme="majorEastAsia" w:hAnsiTheme="majorEastAsia" w:eastAsiaTheme="majorEastAsia"/>
          <w:b/>
          <w:sz w:val="44"/>
          <w:szCs w:val="44"/>
        </w:rPr>
      </w:pPr>
      <w:r>
        <w:rPr>
          <w:rFonts w:hint="eastAsia" w:asciiTheme="majorEastAsia" w:hAnsiTheme="majorEastAsia" w:eastAsiaTheme="majorEastAsia"/>
          <w:b/>
          <w:sz w:val="44"/>
          <w:szCs w:val="44"/>
        </w:rPr>
        <w:t>采购需求书</w:t>
      </w:r>
    </w:p>
    <w:p w14:paraId="73F5A4D6">
      <w:pPr>
        <w:spacing w:line="540" w:lineRule="exact"/>
        <w:ind w:firstLine="240" w:firstLineChars="100"/>
        <w:rPr>
          <w:rFonts w:cs="方正小标宋简体" w:asciiTheme="majorEastAsia" w:hAnsiTheme="majorEastAsia" w:eastAsiaTheme="majorEastAsia"/>
          <w:sz w:val="36"/>
          <w:szCs w:val="36"/>
        </w:rPr>
      </w:pPr>
      <w:r>
        <w:rPr>
          <w:rFonts w:hint="eastAsia" w:cs="宋体" w:asciiTheme="majorEastAsia" w:hAnsiTheme="majorEastAsia" w:eastAsiaTheme="majorEastAsia"/>
          <w:sz w:val="24"/>
        </w:rPr>
        <w:t>说明：“★”号条款为实质性条款，必须完全满足，不满足则不予采购</w:t>
      </w:r>
    </w:p>
    <w:p w14:paraId="44C84DB0">
      <w:pPr>
        <w:spacing w:line="540" w:lineRule="exact"/>
        <w:ind w:firstLine="361" w:firstLineChars="100"/>
        <w:jc w:val="center"/>
        <w:rPr>
          <w:rFonts w:cs="方正小标宋简体" w:asciiTheme="majorEastAsia" w:hAnsiTheme="majorEastAsia" w:eastAsiaTheme="majorEastAsia"/>
          <w:b/>
          <w:sz w:val="36"/>
          <w:szCs w:val="36"/>
        </w:rPr>
      </w:pPr>
      <w:r>
        <w:rPr>
          <w:rFonts w:hint="eastAsia" w:cs="方正小标宋简体" w:asciiTheme="majorEastAsia" w:hAnsiTheme="majorEastAsia" w:eastAsiaTheme="majorEastAsia"/>
          <w:b/>
          <w:sz w:val="36"/>
          <w:szCs w:val="36"/>
        </w:rPr>
        <w:t>第一部分 项目基本要求</w:t>
      </w:r>
    </w:p>
    <w:p w14:paraId="1E64CAD0">
      <w:pPr>
        <w:spacing w:before="100" w:beforeAutospacing="1" w:line="276" w:lineRule="auto"/>
        <w:rPr>
          <w:rFonts w:cs="方正小标宋简体" w:asciiTheme="majorEastAsia" w:hAnsiTheme="majorEastAsia" w:eastAsiaTheme="majorEastAsia"/>
          <w:sz w:val="32"/>
          <w:szCs w:val="32"/>
        </w:rPr>
      </w:pPr>
      <w:r>
        <w:rPr>
          <w:rFonts w:hint="eastAsia" w:cs="方正小标宋简体" w:asciiTheme="majorEastAsia" w:hAnsiTheme="majorEastAsia" w:eastAsiaTheme="majorEastAsia"/>
          <w:sz w:val="32"/>
          <w:szCs w:val="32"/>
        </w:rPr>
        <w:t xml:space="preserve"> 一、项目基本信息</w:t>
      </w:r>
    </w:p>
    <w:p w14:paraId="69165461">
      <w:pPr>
        <w:spacing w:before="100" w:beforeAutospacing="1" w:line="276" w:lineRule="auto"/>
        <w:rPr>
          <w:rFonts w:hint="default" w:cs="方正小标宋简体" w:asciiTheme="majorEastAsia" w:hAnsiTheme="majorEastAsia" w:eastAsiaTheme="majorEastAsia"/>
          <w:sz w:val="24"/>
          <w:shd w:val="clear" w:color="auto" w:fill="FFFFFF"/>
          <w:lang w:val="en-US" w:eastAsia="zh-CN"/>
        </w:rPr>
      </w:pPr>
      <w:r>
        <w:rPr>
          <w:rFonts w:hint="eastAsia" w:asciiTheme="majorEastAsia" w:hAnsiTheme="majorEastAsia" w:eastAsiaTheme="majorEastAsia"/>
          <w:b/>
          <w:color w:val="000000"/>
          <w:sz w:val="24"/>
          <w:szCs w:val="21"/>
        </w:rPr>
        <w:t>申请科室：</w:t>
      </w:r>
      <w:r>
        <w:rPr>
          <w:rFonts w:hint="eastAsia" w:asciiTheme="majorEastAsia" w:hAnsiTheme="majorEastAsia" w:eastAsiaTheme="majorEastAsia"/>
          <w:b/>
          <w:color w:val="000000"/>
          <w:sz w:val="24"/>
          <w:szCs w:val="21"/>
          <w:lang w:val="en-US" w:eastAsia="zh-CN"/>
        </w:rPr>
        <w:t>消化内镜中心</w:t>
      </w:r>
      <w:r>
        <w:rPr>
          <w:rFonts w:hint="eastAsia" w:asciiTheme="majorEastAsia" w:hAnsiTheme="majorEastAsia" w:eastAsiaTheme="majorEastAsia"/>
          <w:b/>
          <w:color w:val="000000"/>
          <w:sz w:val="24"/>
          <w:szCs w:val="21"/>
        </w:rPr>
        <w:t xml:space="preserve">         </w:t>
      </w:r>
      <w:r>
        <w:rPr>
          <w:rFonts w:hint="eastAsia" w:cs="宋体" w:asciiTheme="majorEastAsia" w:hAnsiTheme="majorEastAsia" w:eastAsiaTheme="majorEastAsia"/>
          <w:b/>
          <w:color w:val="000000"/>
          <w:sz w:val="24"/>
          <w:szCs w:val="21"/>
        </w:rPr>
        <w:t>负责人姓名：</w:t>
      </w:r>
      <w:r>
        <w:rPr>
          <w:rFonts w:hint="eastAsia" w:asciiTheme="majorEastAsia" w:hAnsiTheme="majorEastAsia" w:eastAsiaTheme="majorEastAsia"/>
          <w:b/>
          <w:color w:val="000000"/>
          <w:sz w:val="24"/>
          <w:szCs w:val="21"/>
        </w:rPr>
        <w:t xml:space="preserve"> </w:t>
      </w:r>
      <w:r>
        <w:rPr>
          <w:rFonts w:hint="eastAsia" w:asciiTheme="majorEastAsia" w:hAnsiTheme="majorEastAsia" w:eastAsiaTheme="majorEastAsia"/>
          <w:b/>
          <w:color w:val="000000"/>
          <w:sz w:val="24"/>
          <w:szCs w:val="21"/>
          <w:lang w:val="en-US" w:eastAsia="zh-CN"/>
        </w:rPr>
        <w:t>陈泓磊</w:t>
      </w:r>
      <w:r>
        <w:rPr>
          <w:rFonts w:hint="eastAsia" w:asciiTheme="majorEastAsia" w:hAnsiTheme="majorEastAsia" w:eastAsiaTheme="majorEastAsia"/>
          <w:b/>
          <w:color w:val="000000"/>
          <w:sz w:val="24"/>
          <w:szCs w:val="21"/>
        </w:rPr>
        <w:t xml:space="preserve">            </w:t>
      </w:r>
      <w:r>
        <w:rPr>
          <w:rFonts w:hint="eastAsia" w:cs="宋体" w:asciiTheme="majorEastAsia" w:hAnsiTheme="majorEastAsia" w:eastAsiaTheme="majorEastAsia"/>
          <w:b/>
          <w:color w:val="000000"/>
          <w:sz w:val="24"/>
          <w:szCs w:val="21"/>
        </w:rPr>
        <w:t>负责人电话：</w:t>
      </w:r>
      <w:r>
        <w:rPr>
          <w:rFonts w:hint="eastAsia" w:cs="宋体" w:asciiTheme="majorEastAsia" w:hAnsiTheme="majorEastAsia" w:eastAsiaTheme="majorEastAsia"/>
          <w:b/>
          <w:color w:val="000000"/>
          <w:sz w:val="24"/>
          <w:szCs w:val="21"/>
          <w:lang w:val="en-US" w:eastAsia="zh-CN"/>
        </w:rPr>
        <w:t>18138728623</w:t>
      </w:r>
    </w:p>
    <w:tbl>
      <w:tblPr>
        <w:tblStyle w:val="10"/>
        <w:tblW w:w="109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1"/>
        <w:gridCol w:w="1222"/>
        <w:gridCol w:w="660"/>
        <w:gridCol w:w="757"/>
        <w:gridCol w:w="293"/>
        <w:gridCol w:w="700"/>
        <w:gridCol w:w="566"/>
        <w:gridCol w:w="828"/>
        <w:gridCol w:w="306"/>
        <w:gridCol w:w="596"/>
        <w:gridCol w:w="319"/>
        <w:gridCol w:w="799"/>
        <w:gridCol w:w="1185"/>
        <w:gridCol w:w="993"/>
        <w:gridCol w:w="1062"/>
      </w:tblGrid>
      <w:tr w14:paraId="0C53F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70" w:type="dxa"/>
            <w:gridSpan w:val="4"/>
          </w:tcPr>
          <w:p w14:paraId="5031DC2B">
            <w:pPr>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申请设备名称</w:t>
            </w:r>
          </w:p>
        </w:tc>
        <w:tc>
          <w:tcPr>
            <w:tcW w:w="1559" w:type="dxa"/>
            <w:gridSpan w:val="3"/>
          </w:tcPr>
          <w:p w14:paraId="50AAF13D">
            <w:pPr>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进口/国产</w:t>
            </w:r>
          </w:p>
        </w:tc>
        <w:tc>
          <w:tcPr>
            <w:tcW w:w="1134" w:type="dxa"/>
            <w:gridSpan w:val="2"/>
          </w:tcPr>
          <w:p w14:paraId="40B40593">
            <w:pPr>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数量</w:t>
            </w:r>
          </w:p>
        </w:tc>
        <w:tc>
          <w:tcPr>
            <w:tcW w:w="915" w:type="dxa"/>
            <w:gridSpan w:val="2"/>
          </w:tcPr>
          <w:p w14:paraId="4C6FFAED">
            <w:pPr>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单位</w:t>
            </w:r>
          </w:p>
        </w:tc>
        <w:tc>
          <w:tcPr>
            <w:tcW w:w="1984" w:type="dxa"/>
            <w:gridSpan w:val="2"/>
          </w:tcPr>
          <w:p w14:paraId="55A5CBD3">
            <w:pPr>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预算单价（万元）</w:t>
            </w:r>
          </w:p>
        </w:tc>
        <w:tc>
          <w:tcPr>
            <w:tcW w:w="2055" w:type="dxa"/>
            <w:gridSpan w:val="2"/>
          </w:tcPr>
          <w:p w14:paraId="6FAD688F">
            <w:pPr>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预算总价（万元）</w:t>
            </w:r>
          </w:p>
        </w:tc>
      </w:tr>
      <w:tr w14:paraId="3438D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70" w:type="dxa"/>
            <w:gridSpan w:val="4"/>
            <w:vAlign w:val="center"/>
          </w:tcPr>
          <w:p w14:paraId="25E819FE">
            <w:pPr>
              <w:jc w:val="center"/>
              <w:rPr>
                <w:rFonts w:hint="default"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全自动软式内镜清洗消毒机</w:t>
            </w:r>
          </w:p>
        </w:tc>
        <w:tc>
          <w:tcPr>
            <w:tcW w:w="1559" w:type="dxa"/>
            <w:gridSpan w:val="3"/>
            <w:vAlign w:val="center"/>
          </w:tcPr>
          <w:p w14:paraId="76F6D08B">
            <w:pPr>
              <w:jc w:val="center"/>
              <w:rPr>
                <w:rFonts w:hint="eastAsia"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国产</w:t>
            </w:r>
          </w:p>
        </w:tc>
        <w:tc>
          <w:tcPr>
            <w:tcW w:w="1134" w:type="dxa"/>
            <w:gridSpan w:val="2"/>
            <w:vAlign w:val="center"/>
          </w:tcPr>
          <w:p w14:paraId="137F5EA8">
            <w:pPr>
              <w:jc w:val="center"/>
              <w:rPr>
                <w:rFonts w:hint="eastAsia"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2</w:t>
            </w:r>
          </w:p>
        </w:tc>
        <w:tc>
          <w:tcPr>
            <w:tcW w:w="915" w:type="dxa"/>
            <w:gridSpan w:val="2"/>
            <w:vAlign w:val="center"/>
          </w:tcPr>
          <w:p w14:paraId="5CC9A7A6">
            <w:pPr>
              <w:jc w:val="center"/>
              <w:rPr>
                <w:rFonts w:hint="eastAsia"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台</w:t>
            </w:r>
          </w:p>
        </w:tc>
        <w:tc>
          <w:tcPr>
            <w:tcW w:w="1984" w:type="dxa"/>
            <w:gridSpan w:val="2"/>
          </w:tcPr>
          <w:p w14:paraId="522BD937">
            <w:pPr>
              <w:jc w:val="center"/>
              <w:rPr>
                <w:rFonts w:hint="default"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9.9</w:t>
            </w:r>
          </w:p>
        </w:tc>
        <w:tc>
          <w:tcPr>
            <w:tcW w:w="2055" w:type="dxa"/>
            <w:gridSpan w:val="2"/>
            <w:vAlign w:val="center"/>
          </w:tcPr>
          <w:p w14:paraId="1ED8806C">
            <w:pPr>
              <w:jc w:val="center"/>
              <w:rPr>
                <w:rFonts w:hint="default"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19.8</w:t>
            </w:r>
          </w:p>
        </w:tc>
      </w:tr>
      <w:tr w14:paraId="2CC44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53" w:type="dxa"/>
            <w:gridSpan w:val="2"/>
            <w:vAlign w:val="center"/>
          </w:tcPr>
          <w:p w14:paraId="74DE05BD">
            <w:pPr>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项目背景</w:t>
            </w:r>
          </w:p>
        </w:tc>
        <w:tc>
          <w:tcPr>
            <w:tcW w:w="9064" w:type="dxa"/>
            <w:gridSpan w:val="13"/>
          </w:tcPr>
          <w:p w14:paraId="4F33F3DB">
            <w:pPr>
              <w:rPr>
                <w:rFonts w:hint="default"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科室的2台内镜清洗消毒机已经超过使用年限，影响内镜清洗消毒和运行效率，故需要申请更换。</w:t>
            </w:r>
          </w:p>
        </w:tc>
      </w:tr>
      <w:tr w14:paraId="7C6EC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17" w:type="dxa"/>
            <w:gridSpan w:val="15"/>
          </w:tcPr>
          <w:p w14:paraId="2270DDEF">
            <w:pPr>
              <w:rPr>
                <w:rFonts w:cs="宋体" w:asciiTheme="majorEastAsia" w:hAnsiTheme="majorEastAsia" w:eastAsiaTheme="majorEastAsia"/>
                <w:b/>
                <w:bCs/>
                <w:sz w:val="24"/>
              </w:rPr>
            </w:pPr>
            <w:r>
              <w:rPr>
                <w:rFonts w:hint="eastAsia" w:cs="宋体" w:asciiTheme="majorEastAsia" w:hAnsiTheme="majorEastAsia" w:eastAsiaTheme="majorEastAsia"/>
                <w:b/>
                <w:sz w:val="24"/>
              </w:rPr>
              <w:t>★</w:t>
            </w:r>
            <w:r>
              <w:rPr>
                <w:rFonts w:hint="eastAsia" w:cs="宋体" w:asciiTheme="majorEastAsia" w:hAnsiTheme="majorEastAsia" w:eastAsiaTheme="majorEastAsia"/>
                <w:b/>
                <w:bCs/>
                <w:sz w:val="24"/>
              </w:rPr>
              <w:t>设备配置总清单（包括主机和各种配件或附件、试剂耗材及软件等，写明规格和数量）</w:t>
            </w:r>
          </w:p>
        </w:tc>
      </w:tr>
      <w:tr w14:paraId="2FEAD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1" w:type="dxa"/>
            <w:vAlign w:val="center"/>
          </w:tcPr>
          <w:p w14:paraId="21B05108">
            <w:pPr>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序号</w:t>
            </w:r>
          </w:p>
        </w:tc>
        <w:tc>
          <w:tcPr>
            <w:tcW w:w="1882" w:type="dxa"/>
            <w:gridSpan w:val="2"/>
            <w:vAlign w:val="center"/>
          </w:tcPr>
          <w:p w14:paraId="5B75F562">
            <w:pPr>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货物名称</w:t>
            </w:r>
          </w:p>
        </w:tc>
        <w:tc>
          <w:tcPr>
            <w:tcW w:w="1050" w:type="dxa"/>
            <w:gridSpan w:val="2"/>
            <w:vAlign w:val="center"/>
          </w:tcPr>
          <w:p w14:paraId="4FECE4A8">
            <w:pPr>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进口/国产</w:t>
            </w:r>
          </w:p>
        </w:tc>
        <w:tc>
          <w:tcPr>
            <w:tcW w:w="700" w:type="dxa"/>
            <w:vAlign w:val="center"/>
          </w:tcPr>
          <w:p w14:paraId="4545B14F">
            <w:pPr>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数量</w:t>
            </w:r>
          </w:p>
        </w:tc>
        <w:tc>
          <w:tcPr>
            <w:tcW w:w="1394" w:type="dxa"/>
            <w:gridSpan w:val="2"/>
            <w:vAlign w:val="center"/>
          </w:tcPr>
          <w:p w14:paraId="143FEBC0">
            <w:pPr>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单位</w:t>
            </w:r>
          </w:p>
        </w:tc>
        <w:tc>
          <w:tcPr>
            <w:tcW w:w="902" w:type="dxa"/>
            <w:gridSpan w:val="2"/>
            <w:vAlign w:val="center"/>
          </w:tcPr>
          <w:p w14:paraId="7C1A43DD">
            <w:pPr>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预算单价(万元)</w:t>
            </w:r>
          </w:p>
        </w:tc>
        <w:tc>
          <w:tcPr>
            <w:tcW w:w="1118" w:type="dxa"/>
            <w:gridSpan w:val="2"/>
            <w:vAlign w:val="center"/>
          </w:tcPr>
          <w:p w14:paraId="69B9A4A6">
            <w:pPr>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预算总价(万元)</w:t>
            </w:r>
          </w:p>
        </w:tc>
        <w:tc>
          <w:tcPr>
            <w:tcW w:w="1185" w:type="dxa"/>
            <w:vAlign w:val="center"/>
          </w:tcPr>
          <w:p w14:paraId="5527F521">
            <w:pPr>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是否需要注册证/备案证</w:t>
            </w:r>
          </w:p>
        </w:tc>
        <w:tc>
          <w:tcPr>
            <w:tcW w:w="993" w:type="dxa"/>
            <w:vAlign w:val="center"/>
          </w:tcPr>
          <w:p w14:paraId="0F2FC130">
            <w:pPr>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是否属于消耗品</w:t>
            </w:r>
          </w:p>
        </w:tc>
        <w:tc>
          <w:tcPr>
            <w:tcW w:w="1062" w:type="dxa"/>
            <w:vAlign w:val="center"/>
          </w:tcPr>
          <w:p w14:paraId="41D891DC">
            <w:pPr>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是否需要单独报价</w:t>
            </w:r>
          </w:p>
        </w:tc>
      </w:tr>
      <w:tr w14:paraId="680FB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1" w:type="dxa"/>
            <w:vAlign w:val="center"/>
          </w:tcPr>
          <w:p w14:paraId="2C4C122F">
            <w:pPr>
              <w:jc w:val="center"/>
              <w:rPr>
                <w:rFonts w:hint="eastAsia"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1</w:t>
            </w:r>
          </w:p>
        </w:tc>
        <w:tc>
          <w:tcPr>
            <w:tcW w:w="1882" w:type="dxa"/>
            <w:gridSpan w:val="2"/>
            <w:vAlign w:val="center"/>
          </w:tcPr>
          <w:p w14:paraId="155ED3D9">
            <w:pPr>
              <w:jc w:val="center"/>
              <w:rPr>
                <w:rFonts w:hint="default"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全自动软式内镜清洗消毒器主机</w:t>
            </w:r>
          </w:p>
        </w:tc>
        <w:tc>
          <w:tcPr>
            <w:tcW w:w="1050" w:type="dxa"/>
            <w:gridSpan w:val="2"/>
            <w:vAlign w:val="center"/>
          </w:tcPr>
          <w:p w14:paraId="46EA523C">
            <w:pPr>
              <w:jc w:val="center"/>
              <w:rPr>
                <w:rFonts w:hint="eastAsia" w:asciiTheme="majorEastAsia" w:hAnsiTheme="majorEastAsia" w:eastAsiaTheme="majorEastAsia"/>
                <w:b/>
                <w:sz w:val="24"/>
                <w:szCs w:val="21"/>
                <w:lang w:val="en-US" w:eastAsia="zh-CN"/>
              </w:rPr>
            </w:pPr>
            <w:r>
              <w:rPr>
                <w:rFonts w:hint="eastAsia" w:asciiTheme="majorEastAsia" w:hAnsiTheme="majorEastAsia" w:eastAsiaTheme="majorEastAsia"/>
                <w:b/>
                <w:sz w:val="24"/>
                <w:szCs w:val="21"/>
                <w:lang w:val="en-US" w:eastAsia="zh-CN"/>
              </w:rPr>
              <w:t>国产</w:t>
            </w:r>
          </w:p>
        </w:tc>
        <w:tc>
          <w:tcPr>
            <w:tcW w:w="700" w:type="dxa"/>
            <w:vAlign w:val="center"/>
          </w:tcPr>
          <w:p w14:paraId="09FC4A08">
            <w:pPr>
              <w:jc w:val="center"/>
              <w:rPr>
                <w:rFonts w:hint="eastAsia" w:asciiTheme="majorEastAsia" w:hAnsiTheme="majorEastAsia" w:eastAsiaTheme="majorEastAsia"/>
                <w:b/>
                <w:sz w:val="24"/>
                <w:szCs w:val="21"/>
                <w:lang w:val="en-US" w:eastAsia="zh-CN"/>
              </w:rPr>
            </w:pPr>
            <w:r>
              <w:rPr>
                <w:rFonts w:hint="eastAsia" w:asciiTheme="majorEastAsia" w:hAnsiTheme="majorEastAsia" w:eastAsiaTheme="majorEastAsia"/>
                <w:b/>
                <w:sz w:val="24"/>
                <w:szCs w:val="21"/>
                <w:lang w:val="en-US" w:eastAsia="zh-CN"/>
              </w:rPr>
              <w:t>2</w:t>
            </w:r>
          </w:p>
        </w:tc>
        <w:tc>
          <w:tcPr>
            <w:tcW w:w="1394" w:type="dxa"/>
            <w:gridSpan w:val="2"/>
            <w:vAlign w:val="center"/>
          </w:tcPr>
          <w:p w14:paraId="2F11A9E0">
            <w:pPr>
              <w:jc w:val="center"/>
              <w:rPr>
                <w:rFonts w:hint="eastAsia" w:asciiTheme="majorEastAsia" w:hAnsiTheme="majorEastAsia" w:eastAsiaTheme="majorEastAsia"/>
                <w:b/>
                <w:sz w:val="24"/>
                <w:szCs w:val="21"/>
                <w:lang w:val="en-US" w:eastAsia="zh-CN"/>
              </w:rPr>
            </w:pPr>
            <w:r>
              <w:rPr>
                <w:rFonts w:hint="eastAsia" w:asciiTheme="majorEastAsia" w:hAnsiTheme="majorEastAsia" w:eastAsiaTheme="majorEastAsia"/>
                <w:b/>
                <w:sz w:val="24"/>
                <w:szCs w:val="21"/>
                <w:lang w:val="en-US" w:eastAsia="zh-CN"/>
              </w:rPr>
              <w:t>台</w:t>
            </w:r>
          </w:p>
        </w:tc>
        <w:tc>
          <w:tcPr>
            <w:tcW w:w="902" w:type="dxa"/>
            <w:gridSpan w:val="2"/>
            <w:vAlign w:val="center"/>
          </w:tcPr>
          <w:p w14:paraId="30F99EE0">
            <w:pPr>
              <w:jc w:val="center"/>
              <w:rPr>
                <w:rFonts w:hint="default" w:asciiTheme="majorEastAsia" w:hAnsiTheme="majorEastAsia" w:eastAsiaTheme="majorEastAsia"/>
                <w:b/>
                <w:sz w:val="24"/>
                <w:szCs w:val="21"/>
                <w:lang w:val="en-US" w:eastAsia="zh-CN"/>
              </w:rPr>
            </w:pPr>
            <w:r>
              <w:rPr>
                <w:rFonts w:hint="eastAsia" w:asciiTheme="majorEastAsia" w:hAnsiTheme="majorEastAsia" w:eastAsiaTheme="majorEastAsia"/>
                <w:b/>
                <w:sz w:val="24"/>
                <w:szCs w:val="21"/>
                <w:lang w:val="en-US" w:eastAsia="zh-CN"/>
              </w:rPr>
              <w:t>9.9</w:t>
            </w:r>
          </w:p>
        </w:tc>
        <w:tc>
          <w:tcPr>
            <w:tcW w:w="1118" w:type="dxa"/>
            <w:gridSpan w:val="2"/>
            <w:vAlign w:val="center"/>
          </w:tcPr>
          <w:p w14:paraId="3D265F8A">
            <w:pPr>
              <w:jc w:val="center"/>
              <w:rPr>
                <w:rFonts w:hint="default" w:asciiTheme="majorEastAsia" w:hAnsiTheme="majorEastAsia" w:eastAsiaTheme="majorEastAsia"/>
                <w:b/>
                <w:sz w:val="24"/>
                <w:szCs w:val="21"/>
                <w:lang w:val="en-US" w:eastAsia="zh-CN"/>
              </w:rPr>
            </w:pPr>
            <w:r>
              <w:rPr>
                <w:rFonts w:hint="eastAsia" w:asciiTheme="majorEastAsia" w:hAnsiTheme="majorEastAsia" w:eastAsiaTheme="majorEastAsia"/>
                <w:b/>
                <w:sz w:val="24"/>
                <w:szCs w:val="21"/>
                <w:lang w:val="en-US" w:eastAsia="zh-CN"/>
              </w:rPr>
              <w:t>19.8</w:t>
            </w:r>
          </w:p>
        </w:tc>
        <w:tc>
          <w:tcPr>
            <w:tcW w:w="1185" w:type="dxa"/>
            <w:vAlign w:val="center"/>
          </w:tcPr>
          <w:p w14:paraId="2CDDD232">
            <w:pPr>
              <w:jc w:val="center"/>
              <w:rPr>
                <w:rFonts w:hint="eastAsia" w:asciiTheme="majorEastAsia" w:hAnsiTheme="majorEastAsia" w:eastAsiaTheme="majorEastAsia"/>
                <w:b/>
                <w:sz w:val="24"/>
                <w:szCs w:val="21"/>
                <w:lang w:eastAsia="zh-CN"/>
              </w:rPr>
            </w:pPr>
            <w:r>
              <w:rPr>
                <w:rFonts w:hint="eastAsia" w:asciiTheme="majorEastAsia" w:hAnsiTheme="majorEastAsia" w:eastAsiaTheme="majorEastAsia"/>
                <w:b/>
                <w:sz w:val="24"/>
                <w:szCs w:val="21"/>
                <w:lang w:eastAsia="zh-CN"/>
              </w:rPr>
              <w:t>是</w:t>
            </w:r>
          </w:p>
        </w:tc>
        <w:tc>
          <w:tcPr>
            <w:tcW w:w="993" w:type="dxa"/>
            <w:vAlign w:val="center"/>
          </w:tcPr>
          <w:p w14:paraId="51A20B5E">
            <w:pPr>
              <w:jc w:val="center"/>
              <w:rPr>
                <w:rFonts w:hint="eastAsia" w:asciiTheme="majorEastAsia" w:hAnsiTheme="majorEastAsia" w:eastAsiaTheme="majorEastAsia"/>
                <w:b/>
                <w:sz w:val="24"/>
                <w:szCs w:val="21"/>
                <w:lang w:val="en-US" w:eastAsia="zh-CN"/>
              </w:rPr>
            </w:pPr>
            <w:r>
              <w:rPr>
                <w:rFonts w:hint="eastAsia" w:asciiTheme="majorEastAsia" w:hAnsiTheme="majorEastAsia" w:eastAsiaTheme="majorEastAsia"/>
                <w:b/>
                <w:sz w:val="24"/>
                <w:szCs w:val="21"/>
                <w:lang w:val="en-US" w:eastAsia="zh-CN"/>
              </w:rPr>
              <w:t>否</w:t>
            </w:r>
          </w:p>
        </w:tc>
        <w:tc>
          <w:tcPr>
            <w:tcW w:w="1062" w:type="dxa"/>
            <w:vAlign w:val="center"/>
          </w:tcPr>
          <w:p w14:paraId="5F1D22BE">
            <w:pPr>
              <w:jc w:val="center"/>
              <w:rPr>
                <w:rFonts w:hint="eastAsia" w:asciiTheme="majorEastAsia" w:hAnsiTheme="majorEastAsia" w:eastAsiaTheme="majorEastAsia"/>
                <w:b/>
                <w:sz w:val="24"/>
                <w:szCs w:val="21"/>
                <w:lang w:val="en-US" w:eastAsia="zh-CN"/>
              </w:rPr>
            </w:pPr>
            <w:r>
              <w:rPr>
                <w:rFonts w:hint="eastAsia" w:asciiTheme="majorEastAsia" w:hAnsiTheme="majorEastAsia" w:eastAsiaTheme="majorEastAsia"/>
                <w:b/>
                <w:sz w:val="24"/>
                <w:szCs w:val="21"/>
                <w:lang w:val="en-US" w:eastAsia="zh-CN"/>
              </w:rPr>
              <w:t>否</w:t>
            </w:r>
          </w:p>
        </w:tc>
      </w:tr>
      <w:tr w14:paraId="1F5F9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1" w:type="dxa"/>
            <w:vAlign w:val="center"/>
          </w:tcPr>
          <w:p w14:paraId="1684F33D">
            <w:pPr>
              <w:jc w:val="center"/>
              <w:rPr>
                <w:rFonts w:hint="eastAsia"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2</w:t>
            </w:r>
          </w:p>
        </w:tc>
        <w:tc>
          <w:tcPr>
            <w:tcW w:w="1882" w:type="dxa"/>
            <w:gridSpan w:val="2"/>
            <w:vAlign w:val="center"/>
          </w:tcPr>
          <w:p w14:paraId="34B34F7A">
            <w:pPr>
              <w:jc w:val="center"/>
              <w:rPr>
                <w:rFonts w:hint="eastAsia"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过滤滤芯</w:t>
            </w:r>
          </w:p>
        </w:tc>
        <w:tc>
          <w:tcPr>
            <w:tcW w:w="1050" w:type="dxa"/>
            <w:gridSpan w:val="2"/>
            <w:vAlign w:val="center"/>
          </w:tcPr>
          <w:p w14:paraId="27ACA906">
            <w:pPr>
              <w:jc w:val="center"/>
              <w:rPr>
                <w:rFonts w:hint="eastAsia"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国产</w:t>
            </w:r>
          </w:p>
        </w:tc>
        <w:tc>
          <w:tcPr>
            <w:tcW w:w="700" w:type="dxa"/>
            <w:vAlign w:val="center"/>
          </w:tcPr>
          <w:p w14:paraId="5A5A4620">
            <w:pPr>
              <w:jc w:val="center"/>
              <w:rPr>
                <w:rFonts w:hint="eastAsia"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6</w:t>
            </w:r>
          </w:p>
        </w:tc>
        <w:tc>
          <w:tcPr>
            <w:tcW w:w="1394" w:type="dxa"/>
            <w:gridSpan w:val="2"/>
            <w:vAlign w:val="center"/>
          </w:tcPr>
          <w:p w14:paraId="2115695C">
            <w:pPr>
              <w:jc w:val="center"/>
              <w:rPr>
                <w:rFonts w:hint="default"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个</w:t>
            </w:r>
          </w:p>
        </w:tc>
        <w:tc>
          <w:tcPr>
            <w:tcW w:w="902" w:type="dxa"/>
            <w:gridSpan w:val="2"/>
            <w:vAlign w:val="center"/>
          </w:tcPr>
          <w:p w14:paraId="2EC9FA2D">
            <w:pPr>
              <w:jc w:val="center"/>
              <w:rPr>
                <w:rFonts w:hint="default"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含在主机内</w:t>
            </w:r>
          </w:p>
        </w:tc>
        <w:tc>
          <w:tcPr>
            <w:tcW w:w="1118" w:type="dxa"/>
            <w:gridSpan w:val="2"/>
            <w:vAlign w:val="center"/>
          </w:tcPr>
          <w:p w14:paraId="24C7738E">
            <w:pPr>
              <w:jc w:val="center"/>
              <w:rPr>
                <w:rFonts w:hint="eastAsia"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含在主机内</w:t>
            </w:r>
          </w:p>
        </w:tc>
        <w:tc>
          <w:tcPr>
            <w:tcW w:w="1185" w:type="dxa"/>
            <w:vAlign w:val="center"/>
          </w:tcPr>
          <w:p w14:paraId="4AFDA0D1">
            <w:pPr>
              <w:jc w:val="center"/>
              <w:rPr>
                <w:rFonts w:hint="eastAsia"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否</w:t>
            </w:r>
          </w:p>
        </w:tc>
        <w:tc>
          <w:tcPr>
            <w:tcW w:w="993" w:type="dxa"/>
            <w:vAlign w:val="center"/>
          </w:tcPr>
          <w:p w14:paraId="385A94E5">
            <w:pPr>
              <w:jc w:val="center"/>
              <w:rPr>
                <w:rFonts w:hint="eastAsia" w:asciiTheme="majorEastAsia" w:hAnsiTheme="majorEastAsia" w:eastAsiaTheme="majorEastAsia"/>
                <w:sz w:val="24"/>
                <w:szCs w:val="21"/>
                <w:highlight w:val="yellow"/>
                <w:lang w:val="en-US" w:eastAsia="zh-CN"/>
              </w:rPr>
            </w:pPr>
            <w:r>
              <w:rPr>
                <w:rFonts w:hint="eastAsia" w:asciiTheme="majorEastAsia" w:hAnsiTheme="majorEastAsia" w:eastAsiaTheme="majorEastAsia"/>
                <w:sz w:val="24"/>
                <w:szCs w:val="21"/>
                <w:highlight w:val="yellow"/>
                <w:lang w:val="en-US" w:eastAsia="zh-CN"/>
              </w:rPr>
              <w:t>是</w:t>
            </w:r>
          </w:p>
        </w:tc>
        <w:tc>
          <w:tcPr>
            <w:tcW w:w="1062" w:type="dxa"/>
            <w:vAlign w:val="center"/>
          </w:tcPr>
          <w:p w14:paraId="3E441B5F">
            <w:pPr>
              <w:jc w:val="center"/>
              <w:rPr>
                <w:rFonts w:hint="eastAsia"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否</w:t>
            </w:r>
          </w:p>
        </w:tc>
      </w:tr>
      <w:tr w14:paraId="379E5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1" w:type="dxa"/>
            <w:vAlign w:val="center"/>
          </w:tcPr>
          <w:p w14:paraId="7DBF805F">
            <w:pPr>
              <w:jc w:val="center"/>
              <w:rPr>
                <w:rFonts w:hint="eastAsia"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3</w:t>
            </w:r>
          </w:p>
        </w:tc>
        <w:tc>
          <w:tcPr>
            <w:tcW w:w="1882" w:type="dxa"/>
            <w:gridSpan w:val="2"/>
            <w:vAlign w:val="center"/>
          </w:tcPr>
          <w:p w14:paraId="5BEB6B88">
            <w:pPr>
              <w:jc w:val="center"/>
              <w:rPr>
                <w:rFonts w:hint="eastAsia"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清洗液</w:t>
            </w:r>
          </w:p>
        </w:tc>
        <w:tc>
          <w:tcPr>
            <w:tcW w:w="1050" w:type="dxa"/>
            <w:gridSpan w:val="2"/>
            <w:vAlign w:val="center"/>
          </w:tcPr>
          <w:p w14:paraId="4063DB56">
            <w:pPr>
              <w:jc w:val="center"/>
              <w:rPr>
                <w:rFonts w:hint="eastAsia"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国产</w:t>
            </w:r>
          </w:p>
        </w:tc>
        <w:tc>
          <w:tcPr>
            <w:tcW w:w="700" w:type="dxa"/>
            <w:vAlign w:val="center"/>
          </w:tcPr>
          <w:p w14:paraId="11BF7018">
            <w:pPr>
              <w:jc w:val="center"/>
              <w:rPr>
                <w:rFonts w:hint="eastAsia"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2</w:t>
            </w:r>
          </w:p>
        </w:tc>
        <w:tc>
          <w:tcPr>
            <w:tcW w:w="1394" w:type="dxa"/>
            <w:gridSpan w:val="2"/>
            <w:vAlign w:val="center"/>
          </w:tcPr>
          <w:p w14:paraId="0C6DE089">
            <w:pPr>
              <w:pStyle w:val="3"/>
              <w:rPr>
                <w:rFonts w:hint="default"/>
                <w:highlight w:val="yellow"/>
                <w:lang w:val="en-US"/>
              </w:rPr>
            </w:pPr>
            <w:r>
              <w:rPr>
                <w:rFonts w:hint="eastAsia" w:asciiTheme="majorEastAsia" w:hAnsiTheme="majorEastAsia" w:eastAsiaTheme="majorEastAsia"/>
                <w:sz w:val="24"/>
                <w:szCs w:val="21"/>
                <w:lang w:val="en-US" w:eastAsia="zh-CN"/>
              </w:rPr>
              <w:t>桶</w:t>
            </w:r>
            <w:r>
              <w:rPr>
                <w:rFonts w:hint="eastAsia"/>
                <w:highlight w:val="yellow"/>
                <w:lang w:eastAsia="zh-CN"/>
              </w:rPr>
              <w:t>（</w:t>
            </w:r>
            <w:r>
              <w:rPr>
                <w:rFonts w:hint="eastAsia"/>
                <w:highlight w:val="yellow"/>
                <w:lang w:val="en-US" w:eastAsia="zh-CN"/>
              </w:rPr>
              <w:t>2.5L/桶</w:t>
            </w:r>
          </w:p>
          <w:p w14:paraId="20CB7423">
            <w:pPr>
              <w:jc w:val="center"/>
              <w:rPr>
                <w:rFonts w:hint="eastAsia"/>
                <w:lang w:val="en-US" w:eastAsia="zh-CN"/>
              </w:rPr>
            </w:pPr>
            <w:r>
              <w:rPr>
                <w:rFonts w:hint="eastAsia"/>
                <w:highlight w:val="yellow"/>
                <w:lang w:eastAsia="zh-CN"/>
              </w:rPr>
              <w:t>）</w:t>
            </w:r>
          </w:p>
        </w:tc>
        <w:tc>
          <w:tcPr>
            <w:tcW w:w="902" w:type="dxa"/>
            <w:gridSpan w:val="2"/>
            <w:vAlign w:val="center"/>
          </w:tcPr>
          <w:p w14:paraId="48759F53">
            <w:pPr>
              <w:jc w:val="center"/>
              <w:rPr>
                <w:rFonts w:hint="eastAsia"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含在主机内</w:t>
            </w:r>
          </w:p>
        </w:tc>
        <w:tc>
          <w:tcPr>
            <w:tcW w:w="1118" w:type="dxa"/>
            <w:gridSpan w:val="2"/>
            <w:vAlign w:val="center"/>
          </w:tcPr>
          <w:p w14:paraId="768A6618">
            <w:pPr>
              <w:jc w:val="center"/>
              <w:rPr>
                <w:rFonts w:hint="eastAsia"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含在主机内</w:t>
            </w:r>
          </w:p>
        </w:tc>
        <w:tc>
          <w:tcPr>
            <w:tcW w:w="1185" w:type="dxa"/>
            <w:vAlign w:val="center"/>
          </w:tcPr>
          <w:p w14:paraId="39D13316">
            <w:pPr>
              <w:jc w:val="center"/>
              <w:rPr>
                <w:rFonts w:hint="eastAsia"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否</w:t>
            </w:r>
          </w:p>
        </w:tc>
        <w:tc>
          <w:tcPr>
            <w:tcW w:w="993" w:type="dxa"/>
            <w:vAlign w:val="center"/>
          </w:tcPr>
          <w:p w14:paraId="54134F85">
            <w:pPr>
              <w:jc w:val="center"/>
              <w:rPr>
                <w:rFonts w:hint="default" w:asciiTheme="majorEastAsia" w:hAnsiTheme="majorEastAsia" w:eastAsiaTheme="majorEastAsia"/>
                <w:sz w:val="24"/>
                <w:szCs w:val="21"/>
                <w:highlight w:val="yellow"/>
                <w:lang w:val="en-US" w:eastAsia="zh-CN"/>
              </w:rPr>
            </w:pPr>
            <w:r>
              <w:rPr>
                <w:rFonts w:hint="eastAsia" w:asciiTheme="majorEastAsia" w:hAnsiTheme="majorEastAsia" w:eastAsiaTheme="majorEastAsia"/>
                <w:sz w:val="24"/>
                <w:szCs w:val="21"/>
                <w:highlight w:val="yellow"/>
                <w:lang w:val="en-US" w:eastAsia="zh-CN"/>
              </w:rPr>
              <w:t>是</w:t>
            </w:r>
          </w:p>
        </w:tc>
        <w:tc>
          <w:tcPr>
            <w:tcW w:w="1062" w:type="dxa"/>
            <w:vAlign w:val="center"/>
          </w:tcPr>
          <w:p w14:paraId="3458630D">
            <w:pPr>
              <w:jc w:val="center"/>
              <w:rPr>
                <w:rFonts w:hint="eastAsia"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否</w:t>
            </w:r>
          </w:p>
        </w:tc>
      </w:tr>
    </w:tbl>
    <w:p w14:paraId="34C83CDD">
      <w:pPr>
        <w:spacing w:before="100" w:beforeAutospacing="1" w:after="240" w:line="276" w:lineRule="auto"/>
        <w:ind w:firstLine="480" w:firstLineChars="150"/>
        <w:rPr>
          <w:rFonts w:cs="方正小标宋简体" w:asciiTheme="majorEastAsia" w:hAnsiTheme="majorEastAsia" w:eastAsiaTheme="majorEastAsia"/>
          <w:sz w:val="32"/>
          <w:szCs w:val="32"/>
        </w:rPr>
      </w:pPr>
      <w:r>
        <w:rPr>
          <w:rFonts w:hint="eastAsia" w:cs="方正小标宋简体" w:asciiTheme="majorEastAsia" w:hAnsiTheme="majorEastAsia" w:eastAsiaTheme="majorEastAsia"/>
          <w:sz w:val="32"/>
          <w:szCs w:val="32"/>
        </w:rPr>
        <w:t>二、特殊资格要求说明</w:t>
      </w:r>
    </w:p>
    <w:p w14:paraId="09C44DB9">
      <w:pPr>
        <w:pStyle w:val="17"/>
        <w:ind w:left="400" w:firstLine="0" w:firstLineChars="0"/>
        <w:rPr>
          <w:rFonts w:asciiTheme="majorEastAsia" w:hAnsiTheme="majorEastAsia" w:eastAsiaTheme="majorEastAsia"/>
          <w:bCs/>
          <w:color w:val="FF0000"/>
          <w:szCs w:val="21"/>
        </w:rPr>
      </w:pPr>
      <w:r>
        <w:rPr>
          <w:rFonts w:hint="eastAsia" w:cs="宋体" w:asciiTheme="majorEastAsia" w:hAnsiTheme="majorEastAsia" w:eastAsiaTheme="majorEastAsia"/>
          <w:sz w:val="24"/>
        </w:rPr>
        <w:t>本项目属于医疗器械目录管理,需提供：</w:t>
      </w:r>
    </w:p>
    <w:p w14:paraId="3C98617D">
      <w:pPr>
        <w:pStyle w:val="17"/>
        <w:adjustRightInd w:val="0"/>
        <w:snapToGrid w:val="0"/>
        <w:ind w:firstLine="480"/>
        <w:rPr>
          <w:rFonts w:cs="宋体" w:asciiTheme="majorEastAsia" w:hAnsiTheme="majorEastAsia" w:eastAsiaTheme="majorEastAsia"/>
          <w:sz w:val="24"/>
        </w:rPr>
      </w:pPr>
      <w:r>
        <w:rPr>
          <w:rFonts w:hint="eastAsia" w:cs="宋体" w:asciiTheme="majorEastAsia" w:hAnsiTheme="majorEastAsia" w:eastAsiaTheme="majorEastAsia"/>
          <w:sz w:val="24"/>
        </w:rPr>
        <w:t>若投标供应商为所投产品的生产企业，必须提供《医疗器械生产企业许可（备案）证》且生产范围包含该产品，不在住所或者生产地址所在地销售的厂家还需提供医疗器械经营许可证/（第一类/二类）医疗器械经营备案凭证;若投标供应商为所投产品的代理商或授权供应商，必须提供《医疗器械经营企业许可(备案)证》 且经营范围包含该产品。</w:t>
      </w:r>
    </w:p>
    <w:p w14:paraId="352A233A">
      <w:pPr>
        <w:numPr>
          <w:ilvl w:val="0"/>
          <w:numId w:val="1"/>
        </w:numPr>
        <w:spacing w:before="240" w:line="540" w:lineRule="exact"/>
        <w:jc w:val="center"/>
        <w:rPr>
          <w:rFonts w:cs="方正小标宋简体" w:asciiTheme="majorEastAsia" w:hAnsiTheme="majorEastAsia" w:eastAsiaTheme="majorEastAsia"/>
          <w:b/>
          <w:sz w:val="36"/>
          <w:szCs w:val="36"/>
        </w:rPr>
      </w:pPr>
      <w:r>
        <w:rPr>
          <w:rFonts w:hint="eastAsia" w:cs="方正小标宋简体" w:asciiTheme="majorEastAsia" w:hAnsiTheme="majorEastAsia" w:eastAsiaTheme="majorEastAsia"/>
          <w:b/>
          <w:sz w:val="36"/>
          <w:szCs w:val="36"/>
        </w:rPr>
        <w:t>技术与商务需求</w:t>
      </w:r>
    </w:p>
    <w:p w14:paraId="36677357">
      <w:pPr>
        <w:spacing w:before="240"/>
        <w:ind w:firstLine="241" w:firstLineChars="100"/>
        <w:rPr>
          <w:rFonts w:hint="eastAsia" w:cs="宋体" w:asciiTheme="majorEastAsia" w:hAnsiTheme="majorEastAsia" w:eastAsiaTheme="majorEastAsia"/>
          <w:sz w:val="20"/>
        </w:rPr>
      </w:pPr>
      <w:r>
        <w:rPr>
          <w:rFonts w:hint="eastAsia" w:cs="宋体" w:asciiTheme="majorEastAsia" w:hAnsiTheme="majorEastAsia" w:eastAsiaTheme="majorEastAsia"/>
          <w:b/>
          <w:bCs/>
          <w:sz w:val="24"/>
        </w:rPr>
        <w:t>说明：</w:t>
      </w:r>
      <w:r>
        <w:rPr>
          <w:rFonts w:hint="eastAsia" w:cs="宋体" w:asciiTheme="majorEastAsia" w:hAnsiTheme="majorEastAsia" w:eastAsiaTheme="majorEastAsia"/>
          <w:b/>
          <w:sz w:val="24"/>
        </w:rPr>
        <w:t>1.“★”号条款为实质性条款，必须完全满足，不满足则不予采购。</w:t>
      </w:r>
      <w:r>
        <w:rPr>
          <w:rFonts w:hint="eastAsia" w:cs="宋体" w:asciiTheme="majorEastAsia" w:hAnsiTheme="majorEastAsia" w:eastAsiaTheme="majorEastAsia"/>
          <w:sz w:val="20"/>
        </w:rPr>
        <w:t>（核心技术要求（以</w:t>
      </w:r>
      <w:r>
        <w:rPr>
          <w:rFonts w:hint="eastAsia" w:cs="宋体" w:asciiTheme="majorEastAsia" w:hAnsiTheme="majorEastAsia" w:eastAsiaTheme="majorEastAsia"/>
          <w:sz w:val="20"/>
          <w:szCs w:val="20"/>
        </w:rPr>
        <w:t>★</w:t>
      </w:r>
      <w:r>
        <w:rPr>
          <w:rFonts w:hint="eastAsia" w:cs="宋体" w:asciiTheme="majorEastAsia" w:hAnsiTheme="majorEastAsia" w:eastAsiaTheme="majorEastAsia"/>
          <w:sz w:val="20"/>
        </w:rPr>
        <w:t>号标注）为技术条款实质性要求不允许负偏离;否则将被否决。其数量≤5条，且必须有不少于3个品牌满足，并在第四部分作出承诺。）</w:t>
      </w:r>
    </w:p>
    <w:p w14:paraId="5D8C40FF">
      <w:pPr>
        <w:ind w:firstLine="360" w:firstLineChars="100"/>
        <w:rPr>
          <w:rFonts w:cs="宋体" w:asciiTheme="majorEastAsia" w:hAnsiTheme="majorEastAsia" w:eastAsiaTheme="majorEastAsia"/>
          <w:bCs/>
          <w:sz w:val="20"/>
          <w:szCs w:val="20"/>
        </w:rPr>
      </w:pPr>
      <w:r>
        <w:rPr>
          <w:rFonts w:hint="eastAsia" w:cs="方正小标宋简体" w:asciiTheme="majorEastAsia" w:hAnsiTheme="majorEastAsia" w:eastAsiaTheme="majorEastAsia"/>
          <w:sz w:val="36"/>
          <w:szCs w:val="36"/>
        </w:rPr>
        <w:t xml:space="preserve">   </w:t>
      </w:r>
      <w:r>
        <w:rPr>
          <w:rFonts w:hint="eastAsia" w:cs="宋体" w:asciiTheme="majorEastAsia" w:hAnsiTheme="majorEastAsia" w:eastAsiaTheme="majorEastAsia"/>
          <w:b/>
          <w:sz w:val="24"/>
        </w:rPr>
        <w:t xml:space="preserve"> 2.“▲”</w:t>
      </w:r>
      <w:r>
        <w:rPr>
          <w:rFonts w:hint="eastAsia" w:cs="宋体" w:asciiTheme="majorEastAsia" w:hAnsiTheme="majorEastAsia" w:eastAsiaTheme="majorEastAsia"/>
          <w:b/>
          <w:bCs/>
          <w:sz w:val="24"/>
        </w:rPr>
        <w:t>号条款为重要技术参数，需逐一确定是否满足。</w:t>
      </w:r>
      <w:r>
        <w:rPr>
          <w:rFonts w:hint="eastAsia" w:cs="宋体" w:asciiTheme="majorEastAsia" w:hAnsiTheme="majorEastAsia" w:eastAsiaTheme="majorEastAsia"/>
          <w:bCs/>
          <w:sz w:val="20"/>
          <w:szCs w:val="20"/>
        </w:rPr>
        <w:t>（</w:t>
      </w:r>
      <w:r>
        <w:rPr>
          <w:rFonts w:hint="eastAsia" w:cs="宋体" w:asciiTheme="majorEastAsia" w:hAnsiTheme="majorEastAsia" w:eastAsiaTheme="majorEastAsia"/>
          <w:sz w:val="20"/>
          <w:szCs w:val="20"/>
        </w:rPr>
        <w:t>重要技术要求（以▲号标注）数量≤全部技术要求的10%。</w:t>
      </w:r>
      <w:r>
        <w:rPr>
          <w:rFonts w:hint="eastAsia" w:cs="宋体" w:asciiTheme="majorEastAsia" w:hAnsiTheme="majorEastAsia" w:eastAsiaTheme="majorEastAsia"/>
          <w:bCs/>
          <w:sz w:val="20"/>
          <w:szCs w:val="20"/>
        </w:rPr>
        <w:t>）</w:t>
      </w:r>
    </w:p>
    <w:p w14:paraId="63393D4C">
      <w:pPr>
        <w:ind w:firstLine="201" w:firstLineChars="100"/>
        <w:rPr>
          <w:rFonts w:cs="方正小标宋简体" w:asciiTheme="majorEastAsia" w:hAnsiTheme="majorEastAsia" w:eastAsiaTheme="majorEastAsia"/>
          <w:b/>
          <w:sz w:val="20"/>
          <w:szCs w:val="20"/>
        </w:rPr>
      </w:pPr>
      <w:r>
        <w:rPr>
          <w:rFonts w:hint="eastAsia" w:cs="方正小标宋简体" w:asciiTheme="majorEastAsia" w:hAnsiTheme="majorEastAsia" w:eastAsiaTheme="majorEastAsia"/>
          <w:b/>
          <w:sz w:val="20"/>
          <w:szCs w:val="20"/>
        </w:rPr>
        <w:t>“★”号条款:所投产品如纳入医疗器械管理，投标供应商必须提供所投产品的《医疗器械注册(备案)证》的扫描件。(如有效期不足6个月的，需提供审批部门的回执。)</w:t>
      </w:r>
    </w:p>
    <w:tbl>
      <w:tblPr>
        <w:tblStyle w:val="10"/>
        <w:tblW w:w="100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935"/>
        <w:gridCol w:w="120"/>
        <w:gridCol w:w="7444"/>
        <w:gridCol w:w="817"/>
      </w:tblGrid>
      <w:tr w14:paraId="01AE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09" w:type="dxa"/>
            <w:gridSpan w:val="4"/>
            <w:vAlign w:val="center"/>
          </w:tcPr>
          <w:p w14:paraId="1B72A56B">
            <w:pPr>
              <w:adjustRightInd w:val="0"/>
              <w:snapToGrid w:val="0"/>
              <w:rPr>
                <w:rFonts w:asciiTheme="majorEastAsia" w:hAnsiTheme="majorEastAsia" w:eastAsiaTheme="majorEastAsia"/>
                <w:b/>
                <w:sz w:val="28"/>
                <w:szCs w:val="21"/>
              </w:rPr>
            </w:pPr>
            <w:r>
              <w:rPr>
                <w:rFonts w:hint="eastAsia" w:asciiTheme="majorEastAsia" w:hAnsiTheme="majorEastAsia" w:eastAsiaTheme="majorEastAsia"/>
                <w:b/>
                <w:sz w:val="28"/>
                <w:szCs w:val="21"/>
              </w:rPr>
              <w:t>一、技术部分</w:t>
            </w:r>
          </w:p>
        </w:tc>
        <w:tc>
          <w:tcPr>
            <w:tcW w:w="817" w:type="dxa"/>
            <w:vAlign w:val="center"/>
          </w:tcPr>
          <w:p w14:paraId="667BE815">
            <w:pPr>
              <w:adjustRightInd w:val="0"/>
              <w:snapToGrid w:val="0"/>
              <w:jc w:val="center"/>
              <w:rPr>
                <w:rFonts w:asciiTheme="majorEastAsia" w:hAnsiTheme="majorEastAsia" w:eastAsiaTheme="majorEastAsia"/>
                <w:b/>
                <w:sz w:val="24"/>
                <w:szCs w:val="21"/>
              </w:rPr>
            </w:pPr>
          </w:p>
        </w:tc>
      </w:tr>
      <w:tr w14:paraId="5ABC8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Align w:val="center"/>
          </w:tcPr>
          <w:p w14:paraId="4E0A055A">
            <w:pPr>
              <w:adjustRightInd w:val="0"/>
              <w:snapToGrid w:val="0"/>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序号</w:t>
            </w:r>
          </w:p>
        </w:tc>
        <w:tc>
          <w:tcPr>
            <w:tcW w:w="935" w:type="dxa"/>
            <w:vAlign w:val="center"/>
          </w:tcPr>
          <w:p w14:paraId="41B7141A">
            <w:pPr>
              <w:adjustRightInd w:val="0"/>
              <w:snapToGrid w:val="0"/>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货物名称</w:t>
            </w:r>
          </w:p>
        </w:tc>
        <w:tc>
          <w:tcPr>
            <w:tcW w:w="7564" w:type="dxa"/>
            <w:gridSpan w:val="2"/>
            <w:vAlign w:val="center"/>
          </w:tcPr>
          <w:p w14:paraId="2FCA32BF">
            <w:pPr>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技术要求</w:t>
            </w:r>
          </w:p>
        </w:tc>
        <w:tc>
          <w:tcPr>
            <w:tcW w:w="817" w:type="dxa"/>
            <w:vAlign w:val="center"/>
          </w:tcPr>
          <w:p w14:paraId="369FF744">
            <w:pPr>
              <w:adjustRightInd w:val="0"/>
              <w:snapToGrid w:val="0"/>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标注</w:t>
            </w:r>
          </w:p>
        </w:tc>
      </w:tr>
      <w:tr w14:paraId="4560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restart"/>
          </w:tcPr>
          <w:p w14:paraId="067B3360">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rPr>
              <w:t>1</w:t>
            </w:r>
          </w:p>
        </w:tc>
        <w:tc>
          <w:tcPr>
            <w:tcW w:w="935" w:type="dxa"/>
            <w:vMerge w:val="restart"/>
          </w:tcPr>
          <w:p w14:paraId="277AB9CE">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sz w:val="24"/>
                <w:szCs w:val="21"/>
                <w:lang w:val="en-US" w:eastAsia="zh-CN"/>
              </w:rPr>
              <w:t>全自动软式内镜清洗消毒机</w:t>
            </w:r>
          </w:p>
        </w:tc>
        <w:tc>
          <w:tcPr>
            <w:tcW w:w="7564" w:type="dxa"/>
            <w:gridSpan w:val="2"/>
            <w:vAlign w:val="top"/>
          </w:tcPr>
          <w:p w14:paraId="34AA2CE2">
            <w:pPr>
              <w:keepNext w:val="0"/>
              <w:keepLines w:val="0"/>
              <w:pageBreakBefore w:val="0"/>
              <w:widowControl w:val="0"/>
              <w:kinsoku/>
              <w:wordWrap/>
              <w:overflowPunct/>
              <w:topLinePunct w:val="0"/>
              <w:autoSpaceDE/>
              <w:autoSpaceDN/>
              <w:bidi w:val="0"/>
              <w:spacing w:after="0" w:line="240" w:lineRule="auto"/>
              <w:textAlignment w:val="auto"/>
              <w:rPr>
                <w:rFonts w:asciiTheme="majorEastAsia" w:hAnsiTheme="majorEastAsia" w:eastAsiaTheme="majorEastAsia"/>
                <w:b/>
                <w:sz w:val="24"/>
                <w:szCs w:val="21"/>
              </w:rPr>
            </w:pPr>
            <w:r>
              <w:rPr>
                <w:rFonts w:hint="eastAsia" w:ascii="宋体" w:hAnsi="宋体" w:eastAsia="宋体" w:cs="宋体"/>
                <w:bCs/>
                <w:color w:val="auto"/>
                <w:sz w:val="21"/>
                <w:szCs w:val="21"/>
                <w:highlight w:val="none"/>
              </w:rPr>
              <w:t>1</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用于各种型号的软式内窥镜的清洗消毒和灭菌</w:t>
            </w:r>
          </w:p>
        </w:tc>
        <w:tc>
          <w:tcPr>
            <w:tcW w:w="817" w:type="dxa"/>
          </w:tcPr>
          <w:p w14:paraId="7512B400">
            <w:pPr>
              <w:adjustRightInd w:val="0"/>
              <w:snapToGrid w:val="0"/>
              <w:rPr>
                <w:rFonts w:asciiTheme="majorEastAsia" w:hAnsiTheme="majorEastAsia" w:eastAsiaTheme="majorEastAsia"/>
                <w:b/>
                <w:sz w:val="24"/>
                <w:szCs w:val="21"/>
              </w:rPr>
            </w:pPr>
          </w:p>
        </w:tc>
      </w:tr>
      <w:tr w14:paraId="00AC2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11FF6E4B">
            <w:pPr>
              <w:adjustRightInd w:val="0"/>
              <w:snapToGrid w:val="0"/>
              <w:rPr>
                <w:rFonts w:hint="eastAsia" w:asciiTheme="majorEastAsia" w:hAnsiTheme="majorEastAsia" w:eastAsiaTheme="majorEastAsia"/>
                <w:b/>
                <w:sz w:val="24"/>
                <w:szCs w:val="21"/>
              </w:rPr>
            </w:pPr>
          </w:p>
        </w:tc>
        <w:tc>
          <w:tcPr>
            <w:tcW w:w="935" w:type="dxa"/>
            <w:vMerge w:val="continue"/>
          </w:tcPr>
          <w:p w14:paraId="6CC71AE5">
            <w:pPr>
              <w:adjustRightInd w:val="0"/>
              <w:snapToGrid w:val="0"/>
              <w:rPr>
                <w:rFonts w:asciiTheme="majorEastAsia" w:hAnsiTheme="majorEastAsia" w:eastAsiaTheme="majorEastAsia"/>
                <w:b/>
                <w:sz w:val="24"/>
                <w:szCs w:val="21"/>
              </w:rPr>
            </w:pPr>
          </w:p>
        </w:tc>
        <w:tc>
          <w:tcPr>
            <w:tcW w:w="7564" w:type="dxa"/>
            <w:gridSpan w:val="2"/>
            <w:vAlign w:val="top"/>
          </w:tcPr>
          <w:p w14:paraId="3BBB0D81">
            <w:pPr>
              <w:keepNext w:val="0"/>
              <w:keepLines w:val="0"/>
              <w:pageBreakBefore w:val="0"/>
              <w:widowControl w:val="0"/>
              <w:numPr>
                <w:ilvl w:val="0"/>
                <w:numId w:val="2"/>
              </w:numPr>
              <w:kinsoku/>
              <w:wordWrap/>
              <w:overflowPunct/>
              <w:topLinePunct w:val="0"/>
              <w:autoSpaceDE/>
              <w:autoSpaceDN/>
              <w:bidi w:val="0"/>
              <w:spacing w:after="0" w:line="240" w:lineRule="auto"/>
              <w:textAlignment w:val="auto"/>
              <w:rPr>
                <w:rFonts w:hint="eastAsia" w:ascii="宋体" w:hAnsi="宋体" w:eastAsia="宋体" w:cs="宋体"/>
                <w:bCs/>
                <w:color w:val="auto"/>
                <w:sz w:val="21"/>
                <w:szCs w:val="21"/>
                <w:highlight w:val="none"/>
              </w:rPr>
            </w:pPr>
            <w:r>
              <w:rPr>
                <w:rFonts w:hint="eastAsia" w:ascii="宋体" w:hAnsi="宋体" w:cs="宋体"/>
                <w:bCs/>
                <w:color w:val="auto"/>
                <w:sz w:val="21"/>
                <w:szCs w:val="21"/>
                <w:highlight w:val="none"/>
                <w:lang w:val="en-US" w:eastAsia="zh-CN"/>
              </w:rPr>
              <w:t>单槽洗消腔体，洗消槽尺寸≥</w:t>
            </w:r>
            <w:r>
              <w:rPr>
                <w:rFonts w:hint="eastAsia" w:ascii="宋体" w:hAnsi="宋体" w:eastAsia="宋体" w:cs="宋体"/>
                <w:color w:val="auto"/>
                <w:sz w:val="21"/>
                <w:szCs w:val="21"/>
                <w:highlight w:val="none"/>
              </w:rPr>
              <w:t>5</w:t>
            </w:r>
            <w:r>
              <w:rPr>
                <w:rFonts w:hint="eastAsia" w:ascii="宋体" w:hAnsi="宋体" w:cs="宋体"/>
                <w:color w:val="auto"/>
                <w:sz w:val="21"/>
                <w:szCs w:val="21"/>
                <w:highlight w:val="none"/>
                <w:lang w:val="en-US" w:eastAsia="zh-CN"/>
              </w:rPr>
              <w:t>0</w:t>
            </w:r>
            <w:r>
              <w:rPr>
                <w:rFonts w:hint="eastAsia" w:ascii="宋体" w:hAnsi="宋体" w:eastAsia="宋体" w:cs="宋体"/>
                <w:color w:val="auto"/>
                <w:sz w:val="21"/>
                <w:szCs w:val="21"/>
                <w:highlight w:val="none"/>
              </w:rPr>
              <w:t>0*400</w:t>
            </w:r>
            <w:r>
              <w:rPr>
                <w:rFonts w:hint="eastAsia" w:ascii="宋体" w:hAnsi="宋体" w:cs="宋体"/>
                <w:color w:val="auto"/>
                <w:sz w:val="21"/>
                <w:szCs w:val="21"/>
                <w:highlight w:val="none"/>
                <w:lang w:val="en-US" w:eastAsia="zh-CN"/>
              </w:rPr>
              <w:t>mm</w:t>
            </w:r>
            <w:r>
              <w:rPr>
                <w:rFonts w:hint="eastAsia" w:ascii="宋体" w:hAnsi="宋体" w:eastAsia="宋体" w:cs="宋体"/>
                <w:color w:val="auto"/>
                <w:sz w:val="21"/>
                <w:szCs w:val="21"/>
                <w:highlight w:val="none"/>
              </w:rPr>
              <w:t>（长*宽）</w:t>
            </w:r>
            <w:r>
              <w:rPr>
                <w:rFonts w:hint="eastAsia" w:ascii="宋体" w:hAnsi="宋体" w:cs="宋体"/>
                <w:color w:val="auto"/>
                <w:sz w:val="21"/>
                <w:szCs w:val="21"/>
                <w:highlight w:val="none"/>
                <w:lang w:eastAsia="zh-CN"/>
              </w:rPr>
              <w:t>，</w:t>
            </w:r>
            <w:r>
              <w:rPr>
                <w:rFonts w:hint="eastAsia" w:ascii="宋体" w:hAnsi="宋体" w:eastAsia="宋体" w:cs="宋体"/>
                <w:bCs/>
                <w:color w:val="auto"/>
                <w:sz w:val="21"/>
                <w:szCs w:val="21"/>
                <w:highlight w:val="none"/>
              </w:rPr>
              <w:t>单槽外形尺寸≥</w:t>
            </w:r>
            <w:r>
              <w:rPr>
                <w:rFonts w:hint="eastAsia" w:ascii="宋体" w:hAnsi="宋体" w:cs="宋体"/>
                <w:bCs/>
                <w:color w:val="auto"/>
                <w:sz w:val="21"/>
                <w:szCs w:val="21"/>
                <w:highlight w:val="none"/>
                <w:lang w:val="en-US" w:eastAsia="zh-CN"/>
              </w:rPr>
              <w:t>590</w:t>
            </w:r>
            <w:r>
              <w:rPr>
                <w:rFonts w:hint="eastAsia" w:ascii="宋体" w:hAnsi="宋体" w:eastAsia="宋体" w:cs="宋体"/>
                <w:bCs/>
                <w:color w:val="auto"/>
                <w:sz w:val="21"/>
                <w:szCs w:val="21"/>
                <w:highlight w:val="none"/>
              </w:rPr>
              <w:t>*</w:t>
            </w:r>
            <w:r>
              <w:rPr>
                <w:rFonts w:hint="eastAsia" w:ascii="宋体" w:hAnsi="宋体" w:cs="宋体"/>
                <w:bCs/>
                <w:color w:val="auto"/>
                <w:sz w:val="21"/>
                <w:szCs w:val="21"/>
                <w:highlight w:val="none"/>
                <w:lang w:val="en-US" w:eastAsia="zh-CN"/>
              </w:rPr>
              <w:t>76</w:t>
            </w:r>
            <w:r>
              <w:rPr>
                <w:rFonts w:hint="eastAsia" w:ascii="宋体" w:hAnsi="宋体" w:eastAsia="宋体" w:cs="宋体"/>
                <w:bCs/>
                <w:color w:val="auto"/>
                <w:sz w:val="21"/>
                <w:szCs w:val="21"/>
                <w:highlight w:val="none"/>
              </w:rPr>
              <w:t>0*7</w:t>
            </w:r>
            <w:r>
              <w:rPr>
                <w:rFonts w:hint="eastAsia" w:ascii="宋体" w:hAnsi="宋体" w:cs="宋体"/>
                <w:bCs/>
                <w:color w:val="auto"/>
                <w:sz w:val="21"/>
                <w:szCs w:val="21"/>
                <w:highlight w:val="none"/>
                <w:lang w:val="en-US" w:eastAsia="zh-CN"/>
              </w:rPr>
              <w:t>00</w:t>
            </w:r>
            <w:r>
              <w:rPr>
                <w:rFonts w:hint="eastAsia" w:ascii="宋体" w:hAnsi="宋体" w:eastAsia="宋体" w:cs="宋体"/>
                <w:bCs/>
                <w:color w:val="auto"/>
                <w:sz w:val="21"/>
                <w:szCs w:val="21"/>
                <w:highlight w:val="none"/>
              </w:rPr>
              <w:t>mm(</w:t>
            </w:r>
            <w:r>
              <w:rPr>
                <w:rFonts w:hint="eastAsia" w:ascii="宋体" w:hAnsi="宋体" w:cs="宋体"/>
                <w:bCs/>
                <w:color w:val="auto"/>
                <w:sz w:val="21"/>
                <w:szCs w:val="21"/>
                <w:highlight w:val="none"/>
                <w:lang w:val="en-US" w:eastAsia="zh-CN"/>
              </w:rPr>
              <w:t>长宽高</w:t>
            </w:r>
            <w:r>
              <w:rPr>
                <w:rFonts w:hint="eastAsia" w:ascii="宋体" w:hAnsi="宋体" w:eastAsia="宋体" w:cs="宋体"/>
                <w:bCs/>
                <w:color w:val="auto"/>
                <w:sz w:val="21"/>
                <w:szCs w:val="21"/>
                <w:highlight w:val="none"/>
              </w:rPr>
              <w:t>)</w:t>
            </w:r>
          </w:p>
          <w:p w14:paraId="25EB1D49">
            <w:pPr>
              <w:keepNext w:val="0"/>
              <w:keepLines w:val="0"/>
              <w:pageBreakBefore w:val="0"/>
              <w:widowControl w:val="0"/>
              <w:numPr>
                <w:ilvl w:val="0"/>
                <w:numId w:val="0"/>
              </w:numPr>
              <w:kinsoku/>
              <w:wordWrap/>
              <w:overflowPunct/>
              <w:topLinePunct w:val="0"/>
              <w:autoSpaceDE/>
              <w:autoSpaceDN/>
              <w:bidi w:val="0"/>
              <w:spacing w:after="0" w:line="240" w:lineRule="auto"/>
              <w:textAlignment w:val="auto"/>
              <w:rPr>
                <w:rFonts w:asciiTheme="majorEastAsia" w:hAnsiTheme="majorEastAsia" w:eastAsiaTheme="majorEastAsia"/>
                <w:b/>
                <w:sz w:val="24"/>
                <w:szCs w:val="21"/>
              </w:rPr>
            </w:pPr>
            <w:r>
              <w:rPr>
                <w:rFonts w:hint="eastAsia" w:ascii="宋体" w:hAnsi="宋体" w:eastAsia="宋体" w:cs="宋体"/>
                <w:b/>
                <w:bCs/>
                <w:color w:val="auto"/>
                <w:sz w:val="21"/>
                <w:szCs w:val="21"/>
                <w:highlight w:val="yellow"/>
              </w:rPr>
              <w:t>（提供产品槽体尺寸测量</w:t>
            </w:r>
            <w:r>
              <w:rPr>
                <w:rFonts w:hint="eastAsia" w:ascii="宋体" w:hAnsi="宋体" w:cs="宋体"/>
                <w:b/>
                <w:bCs/>
                <w:color w:val="auto"/>
                <w:sz w:val="21"/>
                <w:szCs w:val="21"/>
                <w:highlight w:val="yellow"/>
                <w:lang w:val="en-US" w:eastAsia="zh-CN"/>
              </w:rPr>
              <w:t>实物</w:t>
            </w:r>
            <w:r>
              <w:rPr>
                <w:rFonts w:hint="eastAsia" w:ascii="宋体" w:hAnsi="宋体" w:eastAsia="宋体" w:cs="宋体"/>
                <w:b/>
                <w:bCs/>
                <w:color w:val="auto"/>
                <w:sz w:val="21"/>
                <w:szCs w:val="21"/>
                <w:highlight w:val="yellow"/>
              </w:rPr>
              <w:t>图片）</w:t>
            </w:r>
          </w:p>
        </w:tc>
        <w:tc>
          <w:tcPr>
            <w:tcW w:w="817" w:type="dxa"/>
          </w:tcPr>
          <w:p w14:paraId="6F35F86D">
            <w:pPr>
              <w:adjustRightInd w:val="0"/>
              <w:snapToGrid w:val="0"/>
              <w:rPr>
                <w:rFonts w:asciiTheme="majorEastAsia" w:hAnsiTheme="majorEastAsia" w:eastAsiaTheme="majorEastAsia"/>
                <w:b/>
                <w:sz w:val="24"/>
                <w:szCs w:val="21"/>
              </w:rPr>
            </w:pPr>
          </w:p>
        </w:tc>
      </w:tr>
      <w:tr w14:paraId="5A288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7D9A2C11">
            <w:pPr>
              <w:adjustRightInd w:val="0"/>
              <w:snapToGrid w:val="0"/>
              <w:rPr>
                <w:rFonts w:hint="eastAsia" w:asciiTheme="majorEastAsia" w:hAnsiTheme="majorEastAsia" w:eastAsiaTheme="majorEastAsia"/>
                <w:b/>
                <w:sz w:val="24"/>
                <w:szCs w:val="21"/>
              </w:rPr>
            </w:pPr>
          </w:p>
        </w:tc>
        <w:tc>
          <w:tcPr>
            <w:tcW w:w="935" w:type="dxa"/>
            <w:vMerge w:val="continue"/>
          </w:tcPr>
          <w:p w14:paraId="277CFAB9">
            <w:pPr>
              <w:adjustRightInd w:val="0"/>
              <w:snapToGrid w:val="0"/>
              <w:rPr>
                <w:rFonts w:asciiTheme="majorEastAsia" w:hAnsiTheme="majorEastAsia" w:eastAsiaTheme="majorEastAsia"/>
                <w:b/>
                <w:sz w:val="24"/>
                <w:szCs w:val="21"/>
              </w:rPr>
            </w:pPr>
          </w:p>
        </w:tc>
        <w:tc>
          <w:tcPr>
            <w:tcW w:w="7564" w:type="dxa"/>
            <w:gridSpan w:val="2"/>
            <w:vAlign w:val="top"/>
          </w:tcPr>
          <w:p w14:paraId="47259FD0">
            <w:pPr>
              <w:keepNext w:val="0"/>
              <w:keepLines w:val="0"/>
              <w:pageBreakBefore w:val="0"/>
              <w:widowControl w:val="0"/>
              <w:kinsoku/>
              <w:wordWrap/>
              <w:overflowPunct/>
              <w:topLinePunct w:val="0"/>
              <w:autoSpaceDE/>
              <w:autoSpaceDN/>
              <w:bidi w:val="0"/>
              <w:spacing w:after="0" w:line="240" w:lineRule="auto"/>
              <w:textAlignment w:val="auto"/>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3、单次可洗消内镜数量≥1条</w:t>
            </w:r>
          </w:p>
        </w:tc>
        <w:tc>
          <w:tcPr>
            <w:tcW w:w="817" w:type="dxa"/>
          </w:tcPr>
          <w:p w14:paraId="5937F198">
            <w:pPr>
              <w:adjustRightInd w:val="0"/>
              <w:snapToGrid w:val="0"/>
              <w:rPr>
                <w:rFonts w:asciiTheme="majorEastAsia" w:hAnsiTheme="majorEastAsia" w:eastAsiaTheme="majorEastAsia"/>
                <w:b/>
                <w:sz w:val="24"/>
                <w:szCs w:val="21"/>
              </w:rPr>
            </w:pPr>
          </w:p>
        </w:tc>
      </w:tr>
      <w:tr w14:paraId="3268A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10" w:type="dxa"/>
            <w:vMerge w:val="continue"/>
          </w:tcPr>
          <w:p w14:paraId="4980A172">
            <w:pPr>
              <w:adjustRightInd w:val="0"/>
              <w:snapToGrid w:val="0"/>
              <w:rPr>
                <w:rFonts w:hint="eastAsia" w:asciiTheme="majorEastAsia" w:hAnsiTheme="majorEastAsia" w:eastAsiaTheme="majorEastAsia"/>
                <w:b/>
                <w:sz w:val="24"/>
                <w:szCs w:val="21"/>
              </w:rPr>
            </w:pPr>
          </w:p>
        </w:tc>
        <w:tc>
          <w:tcPr>
            <w:tcW w:w="935" w:type="dxa"/>
            <w:vMerge w:val="continue"/>
          </w:tcPr>
          <w:p w14:paraId="520EEECC">
            <w:pPr>
              <w:adjustRightInd w:val="0"/>
              <w:snapToGrid w:val="0"/>
              <w:rPr>
                <w:rFonts w:asciiTheme="majorEastAsia" w:hAnsiTheme="majorEastAsia" w:eastAsiaTheme="majorEastAsia"/>
                <w:b/>
                <w:sz w:val="24"/>
                <w:szCs w:val="21"/>
              </w:rPr>
            </w:pPr>
          </w:p>
        </w:tc>
        <w:tc>
          <w:tcPr>
            <w:tcW w:w="7564" w:type="dxa"/>
            <w:gridSpan w:val="2"/>
            <w:vAlign w:val="top"/>
          </w:tcPr>
          <w:p w14:paraId="7E249D6F">
            <w:pPr>
              <w:keepNext w:val="0"/>
              <w:keepLines w:val="0"/>
              <w:pageBreakBefore w:val="0"/>
              <w:widowControl w:val="0"/>
              <w:kinsoku/>
              <w:wordWrap/>
              <w:overflowPunct/>
              <w:topLinePunct w:val="0"/>
              <w:autoSpaceDE/>
              <w:autoSpaceDN/>
              <w:bidi w:val="0"/>
              <w:spacing w:after="0" w:line="240" w:lineRule="auto"/>
              <w:textAlignment w:val="auto"/>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4、配置≥3个水过滤器，过滤精度至少包含</w:t>
            </w:r>
            <w:r>
              <w:rPr>
                <w:rFonts w:hint="eastAsia" w:ascii="宋体" w:hAnsi="宋体" w:eastAsia="宋体" w:cs="宋体"/>
                <w:bCs/>
                <w:color w:val="auto"/>
                <w:sz w:val="21"/>
                <w:szCs w:val="21"/>
                <w:highlight w:val="none"/>
              </w:rPr>
              <w:t>1.0μm、0.45μm和0.2μm</w:t>
            </w:r>
          </w:p>
        </w:tc>
        <w:tc>
          <w:tcPr>
            <w:tcW w:w="817" w:type="dxa"/>
          </w:tcPr>
          <w:p w14:paraId="3744E8C5">
            <w:pPr>
              <w:adjustRightInd w:val="0"/>
              <w:snapToGrid w:val="0"/>
              <w:rPr>
                <w:rFonts w:asciiTheme="majorEastAsia" w:hAnsiTheme="majorEastAsia" w:eastAsiaTheme="majorEastAsia"/>
                <w:b/>
                <w:sz w:val="24"/>
                <w:szCs w:val="21"/>
              </w:rPr>
            </w:pPr>
          </w:p>
        </w:tc>
      </w:tr>
      <w:tr w14:paraId="44C32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452E8D63">
            <w:pPr>
              <w:adjustRightInd w:val="0"/>
              <w:snapToGrid w:val="0"/>
              <w:rPr>
                <w:rFonts w:hint="eastAsia" w:asciiTheme="majorEastAsia" w:hAnsiTheme="majorEastAsia" w:eastAsiaTheme="majorEastAsia"/>
                <w:b/>
                <w:sz w:val="24"/>
                <w:szCs w:val="21"/>
              </w:rPr>
            </w:pPr>
          </w:p>
        </w:tc>
        <w:tc>
          <w:tcPr>
            <w:tcW w:w="935" w:type="dxa"/>
            <w:vMerge w:val="continue"/>
          </w:tcPr>
          <w:p w14:paraId="095E0D6E">
            <w:pPr>
              <w:adjustRightInd w:val="0"/>
              <w:snapToGrid w:val="0"/>
              <w:rPr>
                <w:rFonts w:asciiTheme="majorEastAsia" w:hAnsiTheme="majorEastAsia" w:eastAsiaTheme="majorEastAsia"/>
                <w:b/>
                <w:sz w:val="24"/>
                <w:szCs w:val="21"/>
              </w:rPr>
            </w:pPr>
          </w:p>
        </w:tc>
        <w:tc>
          <w:tcPr>
            <w:tcW w:w="7564" w:type="dxa"/>
            <w:gridSpan w:val="2"/>
            <w:vAlign w:val="top"/>
          </w:tcPr>
          <w:p w14:paraId="4E2CA0C4">
            <w:pPr>
              <w:keepNext w:val="0"/>
              <w:keepLines w:val="0"/>
              <w:pageBreakBefore w:val="0"/>
              <w:widowControl w:val="0"/>
              <w:numPr>
                <w:ilvl w:val="0"/>
                <w:numId w:val="3"/>
              </w:numPr>
              <w:kinsoku/>
              <w:wordWrap/>
              <w:overflowPunct/>
              <w:topLinePunct w:val="0"/>
              <w:autoSpaceDE/>
              <w:autoSpaceDN/>
              <w:bidi w:val="0"/>
              <w:spacing w:after="0" w:line="240" w:lineRule="auto"/>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空气过滤器</w:t>
            </w:r>
            <w:r>
              <w:rPr>
                <w:rFonts w:hint="eastAsia" w:ascii="宋体" w:hAnsi="宋体" w:cs="宋体"/>
                <w:bCs/>
                <w:color w:val="auto"/>
                <w:sz w:val="21"/>
                <w:szCs w:val="21"/>
                <w:highlight w:val="none"/>
                <w:lang w:val="en-US" w:eastAsia="zh-CN"/>
              </w:rPr>
              <w:t>精度≤</w:t>
            </w:r>
            <w:r>
              <w:rPr>
                <w:rFonts w:hint="eastAsia" w:ascii="宋体" w:hAnsi="宋体" w:eastAsia="宋体" w:cs="宋体"/>
                <w:bCs/>
                <w:color w:val="auto"/>
                <w:sz w:val="21"/>
                <w:szCs w:val="21"/>
                <w:highlight w:val="none"/>
              </w:rPr>
              <w:t>0.2μm</w:t>
            </w:r>
          </w:p>
          <w:p w14:paraId="06B5E971">
            <w:pPr>
              <w:keepNext w:val="0"/>
              <w:keepLines w:val="0"/>
              <w:pageBreakBefore w:val="0"/>
              <w:widowControl w:val="0"/>
              <w:numPr>
                <w:ilvl w:val="0"/>
                <w:numId w:val="0"/>
              </w:numPr>
              <w:kinsoku/>
              <w:wordWrap/>
              <w:overflowPunct/>
              <w:topLinePunct w:val="0"/>
              <w:autoSpaceDE/>
              <w:autoSpaceDN/>
              <w:bidi w:val="0"/>
              <w:spacing w:after="0" w:line="240" w:lineRule="auto"/>
              <w:textAlignment w:val="auto"/>
              <w:rPr>
                <w:rFonts w:hint="default" w:ascii="宋体" w:hAnsi="宋体" w:eastAsia="宋体" w:cs="宋体"/>
                <w:bCs/>
                <w:color w:val="auto"/>
                <w:sz w:val="21"/>
                <w:szCs w:val="21"/>
                <w:highlight w:val="none"/>
                <w:lang w:val="en-US" w:eastAsia="zh-CN"/>
              </w:rPr>
            </w:pPr>
            <w:r>
              <w:rPr>
                <w:rFonts w:hint="eastAsia" w:ascii="宋体" w:hAnsi="宋体" w:eastAsia="宋体" w:cs="宋体"/>
                <w:b/>
                <w:bCs/>
                <w:color w:val="auto"/>
                <w:sz w:val="21"/>
                <w:szCs w:val="21"/>
                <w:highlight w:val="yellow"/>
              </w:rPr>
              <w:t>（提供第三方检测机构</w:t>
            </w:r>
            <w:r>
              <w:rPr>
                <w:rFonts w:hint="eastAsia" w:ascii="宋体" w:hAnsi="宋体" w:cs="宋体"/>
                <w:b/>
                <w:bCs/>
                <w:color w:val="auto"/>
                <w:sz w:val="21"/>
                <w:szCs w:val="21"/>
                <w:highlight w:val="yellow"/>
                <w:lang w:val="en-US" w:eastAsia="zh-CN"/>
              </w:rPr>
              <w:t>出具的</w:t>
            </w:r>
            <w:r>
              <w:rPr>
                <w:rFonts w:hint="eastAsia" w:ascii="宋体" w:hAnsi="宋体" w:eastAsia="宋体" w:cs="宋体"/>
                <w:b/>
                <w:bCs/>
                <w:color w:val="auto"/>
                <w:sz w:val="21"/>
                <w:szCs w:val="21"/>
                <w:highlight w:val="yellow"/>
              </w:rPr>
              <w:t>空气过滤器</w:t>
            </w:r>
            <w:r>
              <w:rPr>
                <w:rFonts w:hint="eastAsia" w:ascii="宋体" w:hAnsi="宋体" w:cs="宋体"/>
                <w:b/>
                <w:bCs/>
                <w:color w:val="auto"/>
                <w:sz w:val="21"/>
                <w:szCs w:val="21"/>
                <w:highlight w:val="yellow"/>
                <w:lang w:val="en-US" w:eastAsia="zh-CN"/>
              </w:rPr>
              <w:t>检测</w:t>
            </w:r>
            <w:r>
              <w:rPr>
                <w:rFonts w:hint="eastAsia" w:ascii="宋体" w:hAnsi="宋体" w:eastAsia="宋体" w:cs="宋体"/>
                <w:b/>
                <w:bCs/>
                <w:color w:val="auto"/>
                <w:sz w:val="21"/>
                <w:szCs w:val="21"/>
                <w:highlight w:val="yellow"/>
              </w:rPr>
              <w:t>报告</w:t>
            </w:r>
            <w:r>
              <w:rPr>
                <w:rFonts w:hint="eastAsia" w:ascii="宋体" w:hAnsi="宋体" w:cs="宋体"/>
                <w:b/>
                <w:bCs/>
                <w:color w:val="auto"/>
                <w:sz w:val="21"/>
                <w:szCs w:val="21"/>
                <w:highlight w:val="yellow"/>
                <w:lang w:eastAsia="zh-CN"/>
              </w:rPr>
              <w:t>，</w:t>
            </w:r>
            <w:r>
              <w:rPr>
                <w:rFonts w:hint="eastAsia" w:ascii="宋体" w:hAnsi="宋体" w:cs="宋体"/>
                <w:b/>
                <w:color w:val="auto"/>
                <w:sz w:val="21"/>
                <w:szCs w:val="21"/>
                <w:highlight w:val="yellow"/>
                <w:lang w:val="en-US" w:eastAsia="zh-CN"/>
              </w:rPr>
              <w:t>内容需</w:t>
            </w:r>
            <w:r>
              <w:rPr>
                <w:rFonts w:hint="eastAsia" w:ascii="宋体" w:hAnsi="宋体" w:eastAsia="宋体" w:cs="宋体"/>
                <w:b/>
                <w:color w:val="auto"/>
                <w:sz w:val="21"/>
                <w:szCs w:val="21"/>
                <w:highlight w:val="yellow"/>
              </w:rPr>
              <w:t>包含以上数据参数</w:t>
            </w:r>
            <w:r>
              <w:rPr>
                <w:rFonts w:hint="eastAsia" w:ascii="宋体" w:hAnsi="宋体" w:eastAsia="宋体" w:cs="宋体"/>
                <w:b/>
                <w:bCs/>
                <w:color w:val="auto"/>
                <w:sz w:val="21"/>
                <w:szCs w:val="21"/>
                <w:highlight w:val="yellow"/>
              </w:rPr>
              <w:t>）</w:t>
            </w:r>
          </w:p>
        </w:tc>
        <w:tc>
          <w:tcPr>
            <w:tcW w:w="817" w:type="dxa"/>
          </w:tcPr>
          <w:p w14:paraId="5EFEEB4E">
            <w:pPr>
              <w:adjustRightInd w:val="0"/>
              <w:snapToGrid w:val="0"/>
              <w:rPr>
                <w:rFonts w:asciiTheme="majorEastAsia" w:hAnsiTheme="majorEastAsia" w:eastAsiaTheme="majorEastAsia"/>
                <w:b/>
                <w:sz w:val="24"/>
                <w:szCs w:val="21"/>
              </w:rPr>
            </w:pPr>
          </w:p>
        </w:tc>
      </w:tr>
      <w:tr w14:paraId="09BC4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40062D07">
            <w:pPr>
              <w:adjustRightInd w:val="0"/>
              <w:snapToGrid w:val="0"/>
              <w:rPr>
                <w:rFonts w:hint="eastAsia" w:asciiTheme="majorEastAsia" w:hAnsiTheme="majorEastAsia" w:eastAsiaTheme="majorEastAsia"/>
                <w:b/>
                <w:sz w:val="24"/>
                <w:szCs w:val="21"/>
              </w:rPr>
            </w:pPr>
          </w:p>
        </w:tc>
        <w:tc>
          <w:tcPr>
            <w:tcW w:w="935" w:type="dxa"/>
            <w:vMerge w:val="continue"/>
          </w:tcPr>
          <w:p w14:paraId="7574D9B9">
            <w:pPr>
              <w:adjustRightInd w:val="0"/>
              <w:snapToGrid w:val="0"/>
              <w:rPr>
                <w:rFonts w:asciiTheme="majorEastAsia" w:hAnsiTheme="majorEastAsia" w:eastAsiaTheme="majorEastAsia"/>
                <w:b/>
                <w:sz w:val="24"/>
                <w:szCs w:val="21"/>
              </w:rPr>
            </w:pPr>
          </w:p>
        </w:tc>
        <w:tc>
          <w:tcPr>
            <w:tcW w:w="7564" w:type="dxa"/>
            <w:gridSpan w:val="2"/>
            <w:vAlign w:val="top"/>
          </w:tcPr>
          <w:p w14:paraId="3C437778">
            <w:pPr>
              <w:keepNext w:val="0"/>
              <w:keepLines w:val="0"/>
              <w:pageBreakBefore w:val="0"/>
              <w:widowControl w:val="0"/>
              <w:numPr>
                <w:ilvl w:val="0"/>
                <w:numId w:val="4"/>
              </w:numPr>
              <w:kinsoku/>
              <w:wordWrap/>
              <w:overflowPunct/>
              <w:topLinePunct w:val="0"/>
              <w:autoSpaceDE/>
              <w:autoSpaceDN/>
              <w:bidi w:val="0"/>
              <w:spacing w:after="0" w:line="240" w:lineRule="auto"/>
              <w:textAlignment w:val="auto"/>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rPr>
              <w:t>清洗方式：</w:t>
            </w:r>
            <w:r>
              <w:rPr>
                <w:rFonts w:hint="eastAsia" w:ascii="宋体" w:hAnsi="宋体" w:cs="宋体"/>
                <w:color w:val="auto"/>
                <w:kern w:val="0"/>
                <w:sz w:val="21"/>
                <w:szCs w:val="21"/>
                <w:highlight w:val="none"/>
                <w:lang w:val="en-US" w:eastAsia="zh-CN"/>
              </w:rPr>
              <w:t>至少配置</w:t>
            </w:r>
            <w:r>
              <w:rPr>
                <w:rFonts w:hint="eastAsia" w:ascii="宋体" w:hAnsi="宋体" w:eastAsia="宋体" w:cs="宋体"/>
                <w:bCs/>
                <w:color w:val="auto"/>
                <w:sz w:val="21"/>
                <w:szCs w:val="21"/>
                <w:highlight w:val="none"/>
              </w:rPr>
              <w:t>底部和顶部两级旋转喷淋装置</w:t>
            </w:r>
          </w:p>
          <w:p w14:paraId="325554CD">
            <w:pPr>
              <w:keepNext w:val="0"/>
              <w:keepLines w:val="0"/>
              <w:pageBreakBefore w:val="0"/>
              <w:widowControl w:val="0"/>
              <w:numPr>
                <w:ilvl w:val="0"/>
                <w:numId w:val="0"/>
              </w:numPr>
              <w:kinsoku/>
              <w:wordWrap/>
              <w:overflowPunct/>
              <w:topLinePunct w:val="0"/>
              <w:autoSpaceDE/>
              <w:autoSpaceDN/>
              <w:bidi w:val="0"/>
              <w:spacing w:after="0" w:line="240" w:lineRule="auto"/>
              <w:textAlignment w:val="auto"/>
              <w:rPr>
                <w:rFonts w:hint="default" w:ascii="宋体" w:hAnsi="宋体" w:eastAsia="宋体" w:cs="宋体"/>
                <w:bCs/>
                <w:color w:val="auto"/>
                <w:sz w:val="21"/>
                <w:szCs w:val="21"/>
                <w:highlight w:val="none"/>
                <w:lang w:val="en-US" w:eastAsia="zh-CN"/>
              </w:rPr>
            </w:pPr>
            <w:r>
              <w:rPr>
                <w:rFonts w:hint="eastAsia" w:ascii="宋体" w:hAnsi="宋体" w:eastAsia="宋体" w:cs="宋体"/>
                <w:b/>
                <w:bCs/>
                <w:color w:val="auto"/>
                <w:sz w:val="21"/>
                <w:szCs w:val="21"/>
                <w:highlight w:val="yellow"/>
              </w:rPr>
              <w:t>（提供第三方检测机构</w:t>
            </w:r>
            <w:r>
              <w:rPr>
                <w:rFonts w:hint="eastAsia" w:ascii="宋体" w:hAnsi="宋体" w:cs="宋体"/>
                <w:b/>
                <w:bCs/>
                <w:color w:val="auto"/>
                <w:sz w:val="21"/>
                <w:szCs w:val="21"/>
                <w:highlight w:val="yellow"/>
                <w:lang w:val="en-US" w:eastAsia="zh-CN"/>
              </w:rPr>
              <w:t>出具的检测</w:t>
            </w:r>
            <w:r>
              <w:rPr>
                <w:rFonts w:hint="eastAsia" w:ascii="宋体" w:hAnsi="宋体" w:eastAsia="宋体" w:cs="宋体"/>
                <w:b/>
                <w:bCs/>
                <w:color w:val="auto"/>
                <w:sz w:val="21"/>
                <w:szCs w:val="21"/>
                <w:highlight w:val="yellow"/>
              </w:rPr>
              <w:t>报告</w:t>
            </w:r>
            <w:r>
              <w:rPr>
                <w:rFonts w:hint="eastAsia" w:ascii="宋体" w:hAnsi="宋体" w:cs="宋体"/>
                <w:b/>
                <w:bCs/>
                <w:color w:val="auto"/>
                <w:sz w:val="21"/>
                <w:szCs w:val="21"/>
                <w:highlight w:val="yellow"/>
                <w:lang w:val="en-US" w:eastAsia="zh-CN"/>
              </w:rPr>
              <w:t>或产品技术白皮书或产品说明等作为证明材料，证明材料需体现满足上述参数要求）</w:t>
            </w:r>
          </w:p>
        </w:tc>
        <w:tc>
          <w:tcPr>
            <w:tcW w:w="817" w:type="dxa"/>
          </w:tcPr>
          <w:p w14:paraId="415C1973">
            <w:pPr>
              <w:adjustRightInd w:val="0"/>
              <w:snapToGrid w:val="0"/>
              <w:rPr>
                <w:rFonts w:asciiTheme="majorEastAsia" w:hAnsiTheme="majorEastAsia" w:eastAsiaTheme="majorEastAsia"/>
                <w:b/>
                <w:sz w:val="24"/>
                <w:szCs w:val="21"/>
              </w:rPr>
            </w:pPr>
          </w:p>
        </w:tc>
      </w:tr>
      <w:tr w14:paraId="28235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47F8A891">
            <w:pPr>
              <w:adjustRightInd w:val="0"/>
              <w:snapToGrid w:val="0"/>
              <w:rPr>
                <w:rFonts w:hint="eastAsia" w:asciiTheme="majorEastAsia" w:hAnsiTheme="majorEastAsia" w:eastAsiaTheme="majorEastAsia"/>
                <w:b/>
                <w:sz w:val="24"/>
                <w:szCs w:val="21"/>
              </w:rPr>
            </w:pPr>
          </w:p>
        </w:tc>
        <w:tc>
          <w:tcPr>
            <w:tcW w:w="935" w:type="dxa"/>
            <w:vMerge w:val="continue"/>
          </w:tcPr>
          <w:p w14:paraId="304480B5">
            <w:pPr>
              <w:adjustRightInd w:val="0"/>
              <w:snapToGrid w:val="0"/>
              <w:rPr>
                <w:rFonts w:asciiTheme="majorEastAsia" w:hAnsiTheme="majorEastAsia" w:eastAsiaTheme="majorEastAsia"/>
                <w:b/>
                <w:sz w:val="24"/>
                <w:szCs w:val="21"/>
              </w:rPr>
            </w:pPr>
          </w:p>
        </w:tc>
        <w:tc>
          <w:tcPr>
            <w:tcW w:w="7564" w:type="dxa"/>
            <w:gridSpan w:val="2"/>
            <w:shd w:val="clear" w:color="auto" w:fill="auto"/>
            <w:vAlign w:val="top"/>
          </w:tcPr>
          <w:p w14:paraId="14CE0E81">
            <w:pPr>
              <w:keepNext w:val="0"/>
              <w:keepLines w:val="0"/>
              <w:pageBreakBefore w:val="0"/>
              <w:widowControl w:val="0"/>
              <w:kinsoku/>
              <w:wordWrap/>
              <w:overflowPunct/>
              <w:topLinePunct w:val="0"/>
              <w:autoSpaceDE/>
              <w:autoSpaceDN/>
              <w:bidi w:val="0"/>
              <w:spacing w:after="0" w:line="240" w:lineRule="auto"/>
              <w:jc w:val="left"/>
              <w:textAlignment w:val="auto"/>
              <w:rPr>
                <w:rFonts w:hint="eastAsia" w:cs="Times New Roman" w:asciiTheme="majorEastAsia" w:hAnsiTheme="majorEastAsia" w:eastAsiaTheme="majorEastAsia"/>
                <w:b/>
                <w:kern w:val="2"/>
                <w:sz w:val="24"/>
                <w:szCs w:val="21"/>
                <w:lang w:val="en-US" w:eastAsia="zh-CN" w:bidi="ar-SA"/>
              </w:rPr>
            </w:pPr>
            <w:r>
              <w:rPr>
                <w:rFonts w:hint="eastAsia" w:ascii="宋体" w:hAnsi="宋体" w:cs="宋体"/>
                <w:bCs/>
                <w:color w:val="auto"/>
                <w:sz w:val="21"/>
                <w:szCs w:val="21"/>
                <w:highlight w:val="none"/>
                <w:lang w:val="en-US" w:eastAsia="zh-CN"/>
              </w:rPr>
              <w:t>7</w:t>
            </w:r>
            <w:r>
              <w:rPr>
                <w:rFonts w:hint="eastAsia" w:ascii="宋体" w:hAnsi="宋体" w:eastAsia="宋体" w:cs="宋体"/>
                <w:bCs/>
                <w:color w:val="auto"/>
                <w:sz w:val="21"/>
                <w:szCs w:val="21"/>
                <w:highlight w:val="none"/>
                <w:lang w:val="en-US" w:eastAsia="zh-CN"/>
              </w:rPr>
              <w:t>、</w:t>
            </w:r>
            <w:r>
              <w:rPr>
                <w:rFonts w:hint="eastAsia" w:ascii="宋体" w:hAnsi="宋体" w:eastAsia="宋体" w:cs="宋体"/>
                <w:color w:val="auto"/>
                <w:sz w:val="21"/>
                <w:szCs w:val="21"/>
                <w:highlight w:val="none"/>
              </w:rPr>
              <w:t>全封闭消毒：洗消槽</w:t>
            </w:r>
            <w:r>
              <w:rPr>
                <w:rFonts w:hint="eastAsia" w:ascii="宋体" w:hAnsi="宋体" w:cs="宋体"/>
                <w:color w:val="auto"/>
                <w:sz w:val="21"/>
                <w:szCs w:val="21"/>
                <w:highlight w:val="none"/>
                <w:lang w:val="en-US" w:eastAsia="zh-CN"/>
              </w:rPr>
              <w:t>为</w:t>
            </w:r>
            <w:r>
              <w:rPr>
                <w:rFonts w:hint="eastAsia" w:ascii="宋体" w:hAnsi="宋体" w:eastAsia="宋体" w:cs="宋体"/>
                <w:color w:val="auto"/>
                <w:sz w:val="21"/>
                <w:szCs w:val="21"/>
                <w:highlight w:val="none"/>
              </w:rPr>
              <w:t>全封闭结构，消毒剂气体不外泄</w:t>
            </w:r>
          </w:p>
        </w:tc>
        <w:tc>
          <w:tcPr>
            <w:tcW w:w="817" w:type="dxa"/>
            <w:shd w:val="clear" w:color="auto" w:fill="auto"/>
            <w:vAlign w:val="top"/>
          </w:tcPr>
          <w:p w14:paraId="7C91027D">
            <w:pPr>
              <w:adjustRightInd w:val="0"/>
              <w:snapToGrid w:val="0"/>
              <w:rPr>
                <w:rFonts w:cs="Times New Roman" w:asciiTheme="majorEastAsia" w:hAnsiTheme="majorEastAsia" w:eastAsiaTheme="majorEastAsia"/>
                <w:b/>
                <w:kern w:val="2"/>
                <w:sz w:val="24"/>
                <w:szCs w:val="21"/>
                <w:lang w:val="en-US" w:eastAsia="zh-CN" w:bidi="ar-SA"/>
              </w:rPr>
            </w:pPr>
          </w:p>
        </w:tc>
      </w:tr>
      <w:tr w14:paraId="43B84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425D994C">
            <w:pPr>
              <w:adjustRightInd w:val="0"/>
              <w:snapToGrid w:val="0"/>
              <w:rPr>
                <w:rFonts w:hint="eastAsia" w:asciiTheme="majorEastAsia" w:hAnsiTheme="majorEastAsia" w:eastAsiaTheme="majorEastAsia"/>
                <w:b/>
                <w:sz w:val="24"/>
                <w:szCs w:val="21"/>
              </w:rPr>
            </w:pPr>
          </w:p>
        </w:tc>
        <w:tc>
          <w:tcPr>
            <w:tcW w:w="935" w:type="dxa"/>
            <w:vMerge w:val="continue"/>
          </w:tcPr>
          <w:p w14:paraId="690D9E1F">
            <w:pPr>
              <w:adjustRightInd w:val="0"/>
              <w:snapToGrid w:val="0"/>
              <w:rPr>
                <w:rFonts w:asciiTheme="majorEastAsia" w:hAnsiTheme="majorEastAsia" w:eastAsiaTheme="majorEastAsia"/>
                <w:b/>
                <w:sz w:val="24"/>
                <w:szCs w:val="21"/>
              </w:rPr>
            </w:pPr>
          </w:p>
        </w:tc>
        <w:tc>
          <w:tcPr>
            <w:tcW w:w="7564" w:type="dxa"/>
            <w:gridSpan w:val="2"/>
            <w:shd w:val="clear" w:color="auto" w:fill="auto"/>
            <w:vAlign w:val="top"/>
          </w:tcPr>
          <w:p w14:paraId="1EF40861">
            <w:pPr>
              <w:keepNext w:val="0"/>
              <w:keepLines w:val="0"/>
              <w:pageBreakBefore w:val="0"/>
              <w:widowControl w:val="0"/>
              <w:numPr>
                <w:ilvl w:val="-1"/>
                <w:numId w:val="0"/>
              </w:numPr>
              <w:kinsoku/>
              <w:wordWrap/>
              <w:overflowPunct/>
              <w:topLinePunct w:val="0"/>
              <w:autoSpaceDE/>
              <w:autoSpaceDN/>
              <w:bidi w:val="0"/>
              <w:spacing w:after="0" w:line="240" w:lineRule="auto"/>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cs="宋体"/>
                <w:bCs/>
                <w:color w:val="auto"/>
                <w:sz w:val="21"/>
                <w:szCs w:val="21"/>
                <w:highlight w:val="none"/>
                <w:lang w:val="en-US" w:eastAsia="zh-CN"/>
              </w:rPr>
              <w:t>8、具备</w:t>
            </w:r>
            <w:r>
              <w:rPr>
                <w:rFonts w:hint="eastAsia" w:ascii="宋体" w:hAnsi="宋体" w:eastAsia="宋体" w:cs="宋体"/>
                <w:color w:val="auto"/>
                <w:sz w:val="21"/>
                <w:szCs w:val="21"/>
                <w:highlight w:val="none"/>
              </w:rPr>
              <w:t>内管腔增压泵压力监测</w:t>
            </w:r>
            <w:r>
              <w:rPr>
                <w:rFonts w:hint="eastAsia" w:ascii="宋体" w:hAnsi="宋体" w:cs="宋体"/>
                <w:color w:val="auto"/>
                <w:sz w:val="21"/>
                <w:szCs w:val="21"/>
                <w:highlight w:val="none"/>
                <w:lang w:val="en-US" w:eastAsia="zh-CN"/>
              </w:rPr>
              <w:t>功能，</w:t>
            </w:r>
            <w:r>
              <w:rPr>
                <w:rFonts w:hint="eastAsia" w:ascii="宋体" w:hAnsi="宋体" w:eastAsia="宋体" w:cs="宋体"/>
                <w:color w:val="auto"/>
                <w:sz w:val="21"/>
                <w:szCs w:val="21"/>
                <w:highlight w:val="none"/>
              </w:rPr>
              <w:t>屏幕实时显示内循环流量。</w:t>
            </w:r>
          </w:p>
          <w:p w14:paraId="132CCD40">
            <w:pPr>
              <w:keepNext w:val="0"/>
              <w:keepLines w:val="0"/>
              <w:pageBreakBefore w:val="0"/>
              <w:widowControl w:val="0"/>
              <w:numPr>
                <w:ilvl w:val="0"/>
                <w:numId w:val="0"/>
              </w:numPr>
              <w:kinsoku/>
              <w:wordWrap/>
              <w:overflowPunct/>
              <w:topLinePunct w:val="0"/>
              <w:autoSpaceDE/>
              <w:autoSpaceDN/>
              <w:bidi w:val="0"/>
              <w:spacing w:after="0" w:line="240" w:lineRule="auto"/>
              <w:ind w:leftChars="0"/>
              <w:textAlignment w:val="auto"/>
              <w:rPr>
                <w:rFonts w:hint="default"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b/>
                <w:bCs/>
                <w:color w:val="auto"/>
                <w:sz w:val="21"/>
                <w:szCs w:val="21"/>
                <w:highlight w:val="yellow"/>
              </w:rPr>
              <w:t>（提供</w:t>
            </w:r>
            <w:r>
              <w:rPr>
                <w:rFonts w:hint="eastAsia" w:ascii="宋体" w:hAnsi="宋体" w:cs="宋体"/>
                <w:b/>
                <w:bCs/>
                <w:color w:val="auto"/>
                <w:sz w:val="21"/>
                <w:szCs w:val="21"/>
                <w:highlight w:val="yellow"/>
                <w:lang w:val="en-US" w:eastAsia="zh-CN"/>
              </w:rPr>
              <w:t>截图或</w:t>
            </w:r>
            <w:r>
              <w:rPr>
                <w:rFonts w:hint="eastAsia" w:ascii="宋体" w:hAnsi="宋体" w:eastAsia="宋体" w:cs="宋体"/>
                <w:b/>
                <w:bCs/>
                <w:color w:val="auto"/>
                <w:sz w:val="21"/>
                <w:szCs w:val="21"/>
                <w:highlight w:val="yellow"/>
              </w:rPr>
              <w:t>屏幕显示图片</w:t>
            </w:r>
            <w:r>
              <w:rPr>
                <w:rFonts w:hint="eastAsia" w:ascii="宋体" w:hAnsi="宋体" w:cs="宋体"/>
                <w:b/>
                <w:bCs/>
                <w:color w:val="auto"/>
                <w:sz w:val="21"/>
                <w:szCs w:val="21"/>
                <w:highlight w:val="yellow"/>
                <w:lang w:val="en-US" w:eastAsia="zh-CN"/>
              </w:rPr>
              <w:t>作为证明材料</w:t>
            </w:r>
            <w:r>
              <w:rPr>
                <w:rFonts w:hint="eastAsia" w:ascii="宋体" w:hAnsi="宋体" w:eastAsia="宋体" w:cs="宋体"/>
                <w:b/>
                <w:bCs/>
                <w:color w:val="auto"/>
                <w:sz w:val="21"/>
                <w:szCs w:val="21"/>
                <w:highlight w:val="yellow"/>
              </w:rPr>
              <w:t>）</w:t>
            </w:r>
          </w:p>
        </w:tc>
        <w:tc>
          <w:tcPr>
            <w:tcW w:w="817" w:type="dxa"/>
            <w:shd w:val="clear" w:color="auto" w:fill="auto"/>
            <w:vAlign w:val="top"/>
          </w:tcPr>
          <w:p w14:paraId="38EF296F">
            <w:pPr>
              <w:adjustRightInd w:val="0"/>
              <w:snapToGrid w:val="0"/>
              <w:rPr>
                <w:rFonts w:cs="Times New Roman" w:asciiTheme="majorEastAsia" w:hAnsiTheme="majorEastAsia" w:eastAsiaTheme="majorEastAsia"/>
                <w:b/>
                <w:kern w:val="2"/>
                <w:sz w:val="24"/>
                <w:szCs w:val="21"/>
                <w:lang w:val="en-US" w:eastAsia="zh-CN" w:bidi="ar-SA"/>
              </w:rPr>
            </w:pPr>
            <w:r>
              <w:rPr>
                <w:rFonts w:hint="eastAsia" w:ascii="宋体" w:hAnsi="宋体" w:eastAsia="宋体" w:cs="宋体"/>
                <w:color w:val="auto"/>
                <w:sz w:val="21"/>
                <w:szCs w:val="21"/>
                <w:highlight w:val="none"/>
              </w:rPr>
              <w:t>▲</w:t>
            </w:r>
          </w:p>
        </w:tc>
      </w:tr>
      <w:tr w14:paraId="13CEE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16C75489">
            <w:pPr>
              <w:adjustRightInd w:val="0"/>
              <w:snapToGrid w:val="0"/>
              <w:rPr>
                <w:rFonts w:hint="eastAsia" w:asciiTheme="majorEastAsia" w:hAnsiTheme="majorEastAsia" w:eastAsiaTheme="majorEastAsia"/>
                <w:b/>
                <w:sz w:val="24"/>
                <w:szCs w:val="21"/>
              </w:rPr>
            </w:pPr>
          </w:p>
        </w:tc>
        <w:tc>
          <w:tcPr>
            <w:tcW w:w="935" w:type="dxa"/>
            <w:vMerge w:val="continue"/>
          </w:tcPr>
          <w:p w14:paraId="74F01109">
            <w:pPr>
              <w:adjustRightInd w:val="0"/>
              <w:snapToGrid w:val="0"/>
              <w:rPr>
                <w:rFonts w:asciiTheme="majorEastAsia" w:hAnsiTheme="majorEastAsia" w:eastAsiaTheme="majorEastAsia"/>
                <w:b/>
                <w:sz w:val="24"/>
                <w:szCs w:val="21"/>
              </w:rPr>
            </w:pPr>
          </w:p>
        </w:tc>
        <w:tc>
          <w:tcPr>
            <w:tcW w:w="7564" w:type="dxa"/>
            <w:gridSpan w:val="2"/>
            <w:shd w:val="clear" w:color="auto" w:fill="auto"/>
            <w:vAlign w:val="top"/>
          </w:tcPr>
          <w:p w14:paraId="6E1BC136">
            <w:pPr>
              <w:keepNext w:val="0"/>
              <w:keepLines w:val="0"/>
              <w:pageBreakBefore w:val="0"/>
              <w:widowControl w:val="0"/>
              <w:numPr>
                <w:ilvl w:val="-1"/>
                <w:numId w:val="0"/>
              </w:numPr>
              <w:kinsoku/>
              <w:wordWrap/>
              <w:overflowPunct/>
              <w:topLinePunct w:val="0"/>
              <w:autoSpaceDE/>
              <w:autoSpaceDN/>
              <w:bidi w:val="0"/>
              <w:spacing w:after="0" w:line="240" w:lineRule="auto"/>
              <w:jc w:val="left"/>
              <w:textAlignment w:val="auto"/>
              <w:rPr>
                <w:rFonts w:hint="eastAsia" w:ascii="宋体" w:hAnsi="宋体" w:eastAsia="宋体" w:cs="宋体"/>
                <w:bCs/>
                <w:color w:val="auto"/>
                <w:sz w:val="21"/>
                <w:szCs w:val="21"/>
                <w:highlight w:val="none"/>
              </w:rPr>
            </w:pPr>
            <w:r>
              <w:rPr>
                <w:rFonts w:hint="eastAsia" w:ascii="宋体" w:hAnsi="宋体" w:cs="宋体"/>
                <w:bCs/>
                <w:color w:val="auto"/>
                <w:sz w:val="21"/>
                <w:szCs w:val="21"/>
                <w:highlight w:val="none"/>
                <w:lang w:val="en-US" w:eastAsia="zh-CN"/>
              </w:rPr>
              <w:t>9、</w:t>
            </w:r>
            <w:r>
              <w:rPr>
                <w:rFonts w:hint="eastAsia" w:ascii="宋体" w:hAnsi="宋体" w:eastAsia="宋体" w:cs="宋体"/>
                <w:bCs/>
                <w:color w:val="auto"/>
                <w:sz w:val="21"/>
                <w:szCs w:val="21"/>
                <w:highlight w:val="none"/>
              </w:rPr>
              <w:t>压力控制精度：压力指示装置准确度至少为±1.0kPa，分辨率</w:t>
            </w:r>
            <w:r>
              <w:rPr>
                <w:rFonts w:hint="eastAsia" w:ascii="宋体" w:hAnsi="宋体" w:cs="宋体"/>
                <w:bCs/>
                <w:color w:val="auto"/>
                <w:sz w:val="21"/>
                <w:szCs w:val="21"/>
                <w:highlight w:val="none"/>
                <w:lang w:val="en-US" w:eastAsia="zh-CN"/>
              </w:rPr>
              <w:t>≤</w:t>
            </w:r>
            <w:r>
              <w:rPr>
                <w:rFonts w:hint="eastAsia" w:ascii="宋体" w:hAnsi="宋体" w:eastAsia="宋体" w:cs="宋体"/>
                <w:bCs/>
                <w:color w:val="auto"/>
                <w:sz w:val="21"/>
                <w:szCs w:val="21"/>
                <w:highlight w:val="none"/>
              </w:rPr>
              <w:t>0.1kPa</w:t>
            </w:r>
          </w:p>
          <w:p w14:paraId="2DE5955A">
            <w:pPr>
              <w:keepNext w:val="0"/>
              <w:keepLines w:val="0"/>
              <w:pageBreakBefore w:val="0"/>
              <w:widowControl w:val="0"/>
              <w:numPr>
                <w:ilvl w:val="0"/>
                <w:numId w:val="0"/>
              </w:numPr>
              <w:kinsoku/>
              <w:wordWrap/>
              <w:overflowPunct/>
              <w:topLinePunct w:val="0"/>
              <w:autoSpaceDE/>
              <w:autoSpaceDN/>
              <w:bidi w:val="0"/>
              <w:spacing w:after="0" w:line="240" w:lineRule="auto"/>
              <w:jc w:val="left"/>
              <w:textAlignment w:val="auto"/>
              <w:rPr>
                <w:rFonts w:hint="default"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b/>
                <w:color w:val="auto"/>
                <w:sz w:val="21"/>
                <w:szCs w:val="21"/>
                <w:highlight w:val="yellow"/>
              </w:rPr>
              <w:t>（提供第三方检测机构出具的检测报告，</w:t>
            </w:r>
            <w:r>
              <w:rPr>
                <w:rFonts w:hint="eastAsia" w:ascii="宋体" w:hAnsi="宋体" w:cs="宋体"/>
                <w:b/>
                <w:color w:val="auto"/>
                <w:sz w:val="21"/>
                <w:szCs w:val="21"/>
                <w:highlight w:val="yellow"/>
                <w:lang w:val="en-US" w:eastAsia="zh-CN"/>
              </w:rPr>
              <w:t>内容需</w:t>
            </w:r>
            <w:r>
              <w:rPr>
                <w:rFonts w:hint="eastAsia" w:ascii="宋体" w:hAnsi="宋体" w:eastAsia="宋体" w:cs="宋体"/>
                <w:b/>
                <w:color w:val="auto"/>
                <w:sz w:val="21"/>
                <w:szCs w:val="21"/>
                <w:highlight w:val="yellow"/>
              </w:rPr>
              <w:t>包含以上数据参数）</w:t>
            </w:r>
          </w:p>
        </w:tc>
        <w:tc>
          <w:tcPr>
            <w:tcW w:w="817" w:type="dxa"/>
            <w:shd w:val="clear" w:color="auto" w:fill="auto"/>
            <w:vAlign w:val="top"/>
          </w:tcPr>
          <w:p w14:paraId="65D9E44D">
            <w:pPr>
              <w:adjustRightInd w:val="0"/>
              <w:snapToGrid w:val="0"/>
              <w:rPr>
                <w:rFonts w:hint="eastAsia" w:cs="Times New Roman" w:asciiTheme="majorEastAsia" w:hAnsiTheme="majorEastAsia" w:eastAsiaTheme="majorEastAsia"/>
                <w:b/>
                <w:kern w:val="2"/>
                <w:sz w:val="24"/>
                <w:szCs w:val="21"/>
                <w:lang w:val="en-US" w:eastAsia="zh-CN" w:bidi="ar-SA"/>
              </w:rPr>
            </w:pPr>
            <w:r>
              <w:rPr>
                <w:rFonts w:hint="eastAsia" w:ascii="宋体" w:hAnsi="宋体" w:eastAsia="宋体" w:cs="宋体"/>
                <w:color w:val="auto"/>
                <w:sz w:val="21"/>
                <w:szCs w:val="21"/>
                <w:highlight w:val="none"/>
              </w:rPr>
              <w:t>▲</w:t>
            </w:r>
          </w:p>
        </w:tc>
      </w:tr>
      <w:tr w14:paraId="47124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0" w:type="dxa"/>
            <w:vMerge w:val="continue"/>
          </w:tcPr>
          <w:p w14:paraId="0823AB84">
            <w:pPr>
              <w:adjustRightInd w:val="0"/>
              <w:snapToGrid w:val="0"/>
              <w:rPr>
                <w:rFonts w:hint="eastAsia" w:asciiTheme="majorEastAsia" w:hAnsiTheme="majorEastAsia" w:eastAsiaTheme="majorEastAsia"/>
                <w:b/>
                <w:sz w:val="24"/>
                <w:szCs w:val="21"/>
              </w:rPr>
            </w:pPr>
          </w:p>
        </w:tc>
        <w:tc>
          <w:tcPr>
            <w:tcW w:w="935" w:type="dxa"/>
            <w:vMerge w:val="continue"/>
          </w:tcPr>
          <w:p w14:paraId="18C28B80">
            <w:pPr>
              <w:adjustRightInd w:val="0"/>
              <w:snapToGrid w:val="0"/>
              <w:rPr>
                <w:rFonts w:asciiTheme="majorEastAsia" w:hAnsiTheme="majorEastAsia" w:eastAsiaTheme="majorEastAsia"/>
                <w:b/>
                <w:sz w:val="24"/>
                <w:szCs w:val="21"/>
              </w:rPr>
            </w:pPr>
          </w:p>
        </w:tc>
        <w:tc>
          <w:tcPr>
            <w:tcW w:w="7564" w:type="dxa"/>
            <w:gridSpan w:val="2"/>
            <w:shd w:val="clear" w:color="auto" w:fill="auto"/>
            <w:vAlign w:val="top"/>
          </w:tcPr>
          <w:p w14:paraId="5041096F">
            <w:pPr>
              <w:keepNext w:val="0"/>
              <w:keepLines w:val="0"/>
              <w:pageBreakBefore w:val="0"/>
              <w:widowControl w:val="0"/>
              <w:numPr>
                <w:ilvl w:val="-1"/>
                <w:numId w:val="0"/>
              </w:numPr>
              <w:kinsoku/>
              <w:wordWrap/>
              <w:overflowPunct/>
              <w:topLinePunct w:val="0"/>
              <w:autoSpaceDE/>
              <w:autoSpaceDN/>
              <w:bidi w:val="0"/>
              <w:spacing w:after="0" w:line="240" w:lineRule="auto"/>
              <w:jc w:val="left"/>
              <w:textAlignment w:val="auto"/>
              <w:rPr>
                <w:rFonts w:hint="eastAsia" w:ascii="宋体" w:hAnsi="宋体" w:eastAsia="宋体" w:cs="宋体"/>
                <w:bCs/>
                <w:color w:val="auto"/>
                <w:sz w:val="21"/>
                <w:szCs w:val="21"/>
                <w:highlight w:val="none"/>
              </w:rPr>
            </w:pPr>
            <w:r>
              <w:rPr>
                <w:rFonts w:hint="eastAsia" w:ascii="宋体" w:hAnsi="宋体" w:cs="宋体"/>
                <w:bCs/>
                <w:color w:val="auto"/>
                <w:sz w:val="21"/>
                <w:szCs w:val="21"/>
                <w:highlight w:val="none"/>
                <w:lang w:val="en-US" w:eastAsia="zh-CN"/>
              </w:rPr>
              <w:t>10、</w:t>
            </w:r>
            <w:r>
              <w:rPr>
                <w:rFonts w:hint="eastAsia" w:ascii="宋体" w:hAnsi="宋体" w:eastAsia="宋体" w:cs="宋体"/>
                <w:bCs/>
                <w:color w:val="auto"/>
                <w:sz w:val="21"/>
                <w:szCs w:val="21"/>
                <w:highlight w:val="none"/>
              </w:rPr>
              <w:t>配备钢化玻璃可视窗盖，可全方位观察机内清洗状况</w:t>
            </w:r>
          </w:p>
          <w:p w14:paraId="6BDAC8D0">
            <w:pPr>
              <w:keepNext w:val="0"/>
              <w:keepLines w:val="0"/>
              <w:pageBreakBefore w:val="0"/>
              <w:widowControl w:val="0"/>
              <w:numPr>
                <w:ilvl w:val="0"/>
                <w:numId w:val="0"/>
              </w:numPr>
              <w:kinsoku/>
              <w:wordWrap/>
              <w:overflowPunct/>
              <w:topLinePunct w:val="0"/>
              <w:autoSpaceDE/>
              <w:autoSpaceDN/>
              <w:bidi w:val="0"/>
              <w:spacing w:after="0" w:line="240" w:lineRule="auto"/>
              <w:jc w:val="left"/>
              <w:textAlignment w:val="auto"/>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b/>
                <w:bCs w:val="0"/>
                <w:color w:val="auto"/>
                <w:sz w:val="21"/>
                <w:szCs w:val="21"/>
                <w:highlight w:val="yellow"/>
              </w:rPr>
              <w:t>（提供产品技术白皮书或产品说明书</w:t>
            </w:r>
            <w:r>
              <w:rPr>
                <w:rFonts w:hint="eastAsia" w:ascii="宋体" w:hAnsi="宋体" w:cs="宋体"/>
                <w:b/>
                <w:bCs w:val="0"/>
                <w:color w:val="auto"/>
                <w:sz w:val="21"/>
                <w:szCs w:val="21"/>
                <w:highlight w:val="yellow"/>
                <w:lang w:val="en-US" w:eastAsia="zh-CN"/>
              </w:rPr>
              <w:t>或实物图片</w:t>
            </w:r>
            <w:r>
              <w:rPr>
                <w:rFonts w:hint="eastAsia" w:ascii="宋体" w:hAnsi="宋体" w:eastAsia="宋体" w:cs="宋体"/>
                <w:b/>
                <w:bCs w:val="0"/>
                <w:color w:val="auto"/>
                <w:sz w:val="21"/>
                <w:szCs w:val="21"/>
                <w:highlight w:val="yellow"/>
              </w:rPr>
              <w:t>作为证明材料，证明材料需体现满足上述参数要求）</w:t>
            </w:r>
          </w:p>
        </w:tc>
        <w:tc>
          <w:tcPr>
            <w:tcW w:w="817" w:type="dxa"/>
            <w:shd w:val="clear" w:color="auto" w:fill="auto"/>
            <w:vAlign w:val="top"/>
          </w:tcPr>
          <w:p w14:paraId="2A4FDF9F">
            <w:pPr>
              <w:adjustRightInd w:val="0"/>
              <w:snapToGrid w:val="0"/>
              <w:rPr>
                <w:rFonts w:hint="eastAsia" w:cs="Times New Roman" w:asciiTheme="majorEastAsia" w:hAnsiTheme="majorEastAsia" w:eastAsiaTheme="majorEastAsia"/>
                <w:b/>
                <w:kern w:val="2"/>
                <w:sz w:val="24"/>
                <w:szCs w:val="21"/>
                <w:lang w:val="en-US" w:eastAsia="zh-CN" w:bidi="ar-SA"/>
              </w:rPr>
            </w:pPr>
          </w:p>
        </w:tc>
      </w:tr>
      <w:tr w14:paraId="2E3BD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45F4B429">
            <w:pPr>
              <w:adjustRightInd w:val="0"/>
              <w:snapToGrid w:val="0"/>
              <w:rPr>
                <w:rFonts w:hint="eastAsia" w:asciiTheme="majorEastAsia" w:hAnsiTheme="majorEastAsia" w:eastAsiaTheme="majorEastAsia"/>
                <w:b/>
                <w:sz w:val="24"/>
                <w:szCs w:val="21"/>
              </w:rPr>
            </w:pPr>
          </w:p>
        </w:tc>
        <w:tc>
          <w:tcPr>
            <w:tcW w:w="935" w:type="dxa"/>
            <w:vMerge w:val="continue"/>
          </w:tcPr>
          <w:p w14:paraId="074DE71D">
            <w:pPr>
              <w:adjustRightInd w:val="0"/>
              <w:snapToGrid w:val="0"/>
              <w:rPr>
                <w:rFonts w:asciiTheme="majorEastAsia" w:hAnsiTheme="majorEastAsia" w:eastAsiaTheme="majorEastAsia"/>
                <w:b/>
                <w:sz w:val="24"/>
                <w:szCs w:val="21"/>
              </w:rPr>
            </w:pPr>
          </w:p>
        </w:tc>
        <w:tc>
          <w:tcPr>
            <w:tcW w:w="7564" w:type="dxa"/>
            <w:gridSpan w:val="2"/>
            <w:shd w:val="clear" w:color="auto" w:fill="auto"/>
            <w:vAlign w:val="top"/>
          </w:tcPr>
          <w:p w14:paraId="0F57AD05">
            <w:pPr>
              <w:keepNext w:val="0"/>
              <w:keepLines w:val="0"/>
              <w:pageBreakBefore w:val="0"/>
              <w:widowControl w:val="0"/>
              <w:kinsoku/>
              <w:wordWrap/>
              <w:overflowPunct/>
              <w:topLinePunct w:val="0"/>
              <w:autoSpaceDE/>
              <w:autoSpaceDN/>
              <w:bidi w:val="0"/>
              <w:spacing w:after="0" w:line="240" w:lineRule="auto"/>
              <w:jc w:val="left"/>
              <w:textAlignment w:val="auto"/>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bCs/>
                <w:color w:val="auto"/>
                <w:sz w:val="21"/>
                <w:szCs w:val="21"/>
                <w:highlight w:val="none"/>
                <w:lang w:val="en-US" w:eastAsia="zh-CN"/>
              </w:rPr>
              <w:t>11</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rPr>
              <w:t>清洗消毒器门在关闭过程中遇到障碍时，应</w:t>
            </w:r>
            <w:r>
              <w:rPr>
                <w:rFonts w:hint="eastAsia" w:ascii="宋体" w:hAnsi="宋体" w:cs="宋体"/>
                <w:bCs/>
                <w:color w:val="auto"/>
                <w:sz w:val="21"/>
                <w:szCs w:val="21"/>
                <w:highlight w:val="none"/>
                <w:lang w:val="en-US" w:eastAsia="zh-CN"/>
              </w:rPr>
              <w:t>至少</w:t>
            </w:r>
            <w:r>
              <w:rPr>
                <w:rFonts w:hint="eastAsia" w:ascii="宋体" w:hAnsi="宋体" w:eastAsia="宋体" w:cs="宋体"/>
                <w:bCs/>
                <w:color w:val="auto"/>
                <w:sz w:val="21"/>
                <w:szCs w:val="21"/>
                <w:highlight w:val="none"/>
              </w:rPr>
              <w:t>提供可视和声讯报警信号，停止关门动作后自动开门。</w:t>
            </w:r>
          </w:p>
        </w:tc>
        <w:tc>
          <w:tcPr>
            <w:tcW w:w="817" w:type="dxa"/>
            <w:shd w:val="clear" w:color="auto" w:fill="auto"/>
            <w:vAlign w:val="top"/>
          </w:tcPr>
          <w:p w14:paraId="69B976E8">
            <w:pPr>
              <w:adjustRightInd w:val="0"/>
              <w:snapToGrid w:val="0"/>
              <w:rPr>
                <w:rFonts w:hint="eastAsia" w:cs="Times New Roman" w:asciiTheme="majorEastAsia" w:hAnsiTheme="majorEastAsia" w:eastAsiaTheme="majorEastAsia"/>
                <w:b/>
                <w:kern w:val="2"/>
                <w:sz w:val="24"/>
                <w:szCs w:val="21"/>
                <w:lang w:val="en-US" w:eastAsia="zh-CN" w:bidi="ar-SA"/>
              </w:rPr>
            </w:pPr>
          </w:p>
        </w:tc>
      </w:tr>
      <w:tr w14:paraId="2819D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0CFAA008">
            <w:pPr>
              <w:adjustRightInd w:val="0"/>
              <w:snapToGrid w:val="0"/>
              <w:rPr>
                <w:rFonts w:hint="eastAsia" w:asciiTheme="majorEastAsia" w:hAnsiTheme="majorEastAsia" w:eastAsiaTheme="majorEastAsia"/>
                <w:b/>
                <w:sz w:val="24"/>
                <w:szCs w:val="21"/>
              </w:rPr>
            </w:pPr>
          </w:p>
        </w:tc>
        <w:tc>
          <w:tcPr>
            <w:tcW w:w="935" w:type="dxa"/>
            <w:vMerge w:val="continue"/>
          </w:tcPr>
          <w:p w14:paraId="4D6DFFE7">
            <w:pPr>
              <w:adjustRightInd w:val="0"/>
              <w:snapToGrid w:val="0"/>
              <w:rPr>
                <w:rFonts w:asciiTheme="majorEastAsia" w:hAnsiTheme="majorEastAsia" w:eastAsiaTheme="majorEastAsia"/>
                <w:b/>
                <w:sz w:val="24"/>
                <w:szCs w:val="21"/>
              </w:rPr>
            </w:pPr>
          </w:p>
        </w:tc>
        <w:tc>
          <w:tcPr>
            <w:tcW w:w="7564" w:type="dxa"/>
            <w:gridSpan w:val="2"/>
            <w:vAlign w:val="top"/>
          </w:tcPr>
          <w:p w14:paraId="4A82872A">
            <w:pPr>
              <w:keepNext w:val="0"/>
              <w:keepLines w:val="0"/>
              <w:pageBreakBefore w:val="0"/>
              <w:widowControl w:val="0"/>
              <w:numPr>
                <w:ilvl w:val="-1"/>
                <w:numId w:val="0"/>
              </w:numPr>
              <w:kinsoku/>
              <w:wordWrap/>
              <w:overflowPunct/>
              <w:topLinePunct w:val="0"/>
              <w:autoSpaceDE/>
              <w:autoSpaceDN/>
              <w:bidi w:val="0"/>
              <w:spacing w:after="0" w:line="240" w:lineRule="auto"/>
              <w:jc w:val="left"/>
              <w:textAlignment w:val="auto"/>
              <w:rPr>
                <w:rFonts w:hint="eastAsia" w:ascii="宋体" w:hAnsi="宋体" w:eastAsia="宋体" w:cs="宋体"/>
                <w:bCs/>
                <w:color w:val="auto"/>
                <w:sz w:val="21"/>
                <w:szCs w:val="21"/>
                <w:highlight w:val="none"/>
              </w:rPr>
            </w:pPr>
            <w:r>
              <w:rPr>
                <w:rFonts w:hint="eastAsia" w:ascii="宋体" w:hAnsi="宋体" w:cs="宋体"/>
                <w:bCs/>
                <w:color w:val="auto"/>
                <w:sz w:val="21"/>
                <w:szCs w:val="21"/>
                <w:highlight w:val="none"/>
                <w:lang w:val="en-US" w:eastAsia="zh-CN"/>
              </w:rPr>
              <w:t>12、</w:t>
            </w:r>
            <w:r>
              <w:rPr>
                <w:rFonts w:hint="eastAsia" w:ascii="宋体" w:hAnsi="宋体" w:eastAsia="宋体" w:cs="宋体"/>
                <w:bCs/>
                <w:color w:val="auto"/>
                <w:sz w:val="21"/>
                <w:szCs w:val="21"/>
                <w:highlight w:val="none"/>
              </w:rPr>
              <w:t>消毒剂：使用一次性过氧乙酸消毒液，一用一排</w:t>
            </w:r>
          </w:p>
          <w:p w14:paraId="25052402">
            <w:pPr>
              <w:keepNext w:val="0"/>
              <w:keepLines w:val="0"/>
              <w:pageBreakBefore w:val="0"/>
              <w:widowControl w:val="0"/>
              <w:numPr>
                <w:ilvl w:val="0"/>
                <w:numId w:val="0"/>
              </w:numPr>
              <w:kinsoku/>
              <w:wordWrap/>
              <w:overflowPunct/>
              <w:topLinePunct w:val="0"/>
              <w:autoSpaceDE/>
              <w:autoSpaceDN/>
              <w:bidi w:val="0"/>
              <w:spacing w:after="0" w:line="240" w:lineRule="auto"/>
              <w:jc w:val="left"/>
              <w:textAlignment w:val="auto"/>
              <w:rPr>
                <w:rFonts w:asciiTheme="majorEastAsia" w:hAnsiTheme="majorEastAsia" w:eastAsiaTheme="majorEastAsia"/>
                <w:b/>
                <w:sz w:val="24"/>
                <w:szCs w:val="21"/>
              </w:rPr>
            </w:pPr>
            <w:r>
              <w:rPr>
                <w:rFonts w:hint="eastAsia" w:ascii="宋体" w:hAnsi="宋体" w:eastAsia="宋体" w:cs="宋体"/>
                <w:b/>
                <w:color w:val="auto"/>
                <w:sz w:val="21"/>
                <w:szCs w:val="21"/>
                <w:highlight w:val="yellow"/>
              </w:rPr>
              <w:t>（提供第三方检测机构出具的检测报告，</w:t>
            </w:r>
            <w:r>
              <w:rPr>
                <w:rFonts w:hint="eastAsia" w:ascii="宋体" w:hAnsi="宋体" w:cs="宋体"/>
                <w:b/>
                <w:color w:val="auto"/>
                <w:sz w:val="21"/>
                <w:szCs w:val="21"/>
                <w:highlight w:val="yellow"/>
                <w:lang w:val="en-US" w:eastAsia="zh-CN"/>
              </w:rPr>
              <w:t>内容需</w:t>
            </w:r>
            <w:r>
              <w:rPr>
                <w:rFonts w:hint="eastAsia" w:ascii="宋体" w:hAnsi="宋体" w:eastAsia="宋体" w:cs="宋体"/>
                <w:b/>
                <w:color w:val="auto"/>
                <w:sz w:val="21"/>
                <w:szCs w:val="21"/>
                <w:highlight w:val="yellow"/>
              </w:rPr>
              <w:t>包含以上数据参数）</w:t>
            </w:r>
          </w:p>
        </w:tc>
        <w:tc>
          <w:tcPr>
            <w:tcW w:w="817" w:type="dxa"/>
          </w:tcPr>
          <w:p w14:paraId="49295FF5">
            <w:pPr>
              <w:adjustRightInd w:val="0"/>
              <w:snapToGrid w:val="0"/>
              <w:rPr>
                <w:rFonts w:asciiTheme="majorEastAsia" w:hAnsiTheme="majorEastAsia" w:eastAsiaTheme="majorEastAsia"/>
                <w:b/>
                <w:sz w:val="24"/>
                <w:szCs w:val="21"/>
              </w:rPr>
            </w:pPr>
            <w:r>
              <w:rPr>
                <w:rFonts w:hint="eastAsia" w:ascii="宋体" w:hAnsi="宋体" w:eastAsia="宋体" w:cs="宋体"/>
                <w:color w:val="auto"/>
                <w:sz w:val="21"/>
                <w:szCs w:val="21"/>
                <w:highlight w:val="none"/>
              </w:rPr>
              <w:t>▲</w:t>
            </w:r>
          </w:p>
        </w:tc>
      </w:tr>
      <w:tr w14:paraId="0C784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5ABD7AF4">
            <w:pPr>
              <w:adjustRightInd w:val="0"/>
              <w:snapToGrid w:val="0"/>
              <w:rPr>
                <w:rFonts w:hint="eastAsia" w:asciiTheme="majorEastAsia" w:hAnsiTheme="majorEastAsia" w:eastAsiaTheme="majorEastAsia"/>
                <w:b/>
                <w:sz w:val="24"/>
                <w:szCs w:val="21"/>
              </w:rPr>
            </w:pPr>
          </w:p>
        </w:tc>
        <w:tc>
          <w:tcPr>
            <w:tcW w:w="935" w:type="dxa"/>
            <w:vMerge w:val="continue"/>
          </w:tcPr>
          <w:p w14:paraId="54EEE4EC">
            <w:pPr>
              <w:adjustRightInd w:val="0"/>
              <w:snapToGrid w:val="0"/>
              <w:rPr>
                <w:rFonts w:asciiTheme="majorEastAsia" w:hAnsiTheme="majorEastAsia" w:eastAsiaTheme="majorEastAsia"/>
                <w:b/>
                <w:sz w:val="24"/>
                <w:szCs w:val="21"/>
              </w:rPr>
            </w:pPr>
          </w:p>
        </w:tc>
        <w:tc>
          <w:tcPr>
            <w:tcW w:w="7564" w:type="dxa"/>
            <w:gridSpan w:val="2"/>
            <w:vAlign w:val="top"/>
          </w:tcPr>
          <w:p w14:paraId="05C1051F">
            <w:pPr>
              <w:keepNext w:val="0"/>
              <w:keepLines w:val="0"/>
              <w:pageBreakBefore w:val="0"/>
              <w:widowControl w:val="0"/>
              <w:kinsoku/>
              <w:wordWrap/>
              <w:overflowPunct/>
              <w:topLinePunct w:val="0"/>
              <w:autoSpaceDE/>
              <w:autoSpaceDN/>
              <w:bidi w:val="0"/>
              <w:spacing w:after="0" w:line="240" w:lineRule="auto"/>
              <w:jc w:val="left"/>
              <w:textAlignment w:val="auto"/>
              <w:rPr>
                <w:rFonts w:asciiTheme="majorEastAsia" w:hAnsiTheme="majorEastAsia" w:eastAsiaTheme="majorEastAsia"/>
                <w:b/>
                <w:sz w:val="24"/>
                <w:szCs w:val="21"/>
              </w:rPr>
            </w:pPr>
            <w:r>
              <w:rPr>
                <w:rFonts w:hint="eastAsia" w:ascii="宋体" w:hAnsi="宋体" w:cs="宋体"/>
                <w:bCs/>
                <w:color w:val="auto"/>
                <w:sz w:val="21"/>
                <w:szCs w:val="21"/>
                <w:highlight w:val="none"/>
                <w:lang w:val="en-US" w:eastAsia="zh-CN"/>
              </w:rPr>
              <w:t>13</w:t>
            </w:r>
            <w:r>
              <w:rPr>
                <w:rFonts w:hint="eastAsia" w:ascii="宋体" w:hAnsi="宋体" w:eastAsia="宋体" w:cs="宋体"/>
                <w:bCs/>
                <w:color w:val="auto"/>
                <w:sz w:val="21"/>
                <w:szCs w:val="21"/>
                <w:highlight w:val="none"/>
                <w:lang w:val="en-US" w:eastAsia="zh-CN"/>
              </w:rPr>
              <w:t>、</w:t>
            </w:r>
            <w:r>
              <w:rPr>
                <w:rFonts w:hint="eastAsia" w:ascii="宋体" w:hAnsi="宋体" w:cs="宋体"/>
                <w:bCs/>
                <w:color w:val="auto"/>
                <w:sz w:val="21"/>
                <w:szCs w:val="21"/>
                <w:highlight w:val="none"/>
                <w:lang w:val="en-US" w:eastAsia="zh-CN"/>
              </w:rPr>
              <w:t>具备</w:t>
            </w:r>
            <w:r>
              <w:rPr>
                <w:rFonts w:hint="eastAsia" w:ascii="宋体" w:hAnsi="宋体" w:eastAsia="宋体" w:cs="宋体"/>
                <w:bCs/>
                <w:color w:val="auto"/>
                <w:sz w:val="21"/>
                <w:szCs w:val="21"/>
                <w:highlight w:val="none"/>
              </w:rPr>
              <w:t>独立的消毒液取样控制系统，实现消毒液的独立取样（无需从舱体取样）</w:t>
            </w:r>
            <w:r>
              <w:rPr>
                <w:rFonts w:hint="eastAsia" w:ascii="宋体" w:hAnsi="宋体" w:eastAsia="宋体" w:cs="宋体"/>
                <w:b/>
                <w:bCs w:val="0"/>
                <w:color w:val="auto"/>
                <w:sz w:val="21"/>
                <w:szCs w:val="21"/>
                <w:highlight w:val="yellow"/>
              </w:rPr>
              <w:t>（提供消毒样取样口</w:t>
            </w:r>
            <w:r>
              <w:rPr>
                <w:rFonts w:hint="eastAsia" w:ascii="宋体" w:hAnsi="宋体" w:cs="宋体"/>
                <w:b/>
                <w:bCs w:val="0"/>
                <w:color w:val="auto"/>
                <w:sz w:val="21"/>
                <w:szCs w:val="21"/>
                <w:highlight w:val="yellow"/>
                <w:lang w:val="en-US" w:eastAsia="zh-CN"/>
              </w:rPr>
              <w:t>实物</w:t>
            </w:r>
            <w:r>
              <w:rPr>
                <w:rFonts w:hint="eastAsia" w:ascii="宋体" w:hAnsi="宋体" w:eastAsia="宋体" w:cs="宋体"/>
                <w:b/>
                <w:bCs w:val="0"/>
                <w:color w:val="auto"/>
                <w:sz w:val="21"/>
                <w:szCs w:val="21"/>
                <w:highlight w:val="yellow"/>
              </w:rPr>
              <w:t>图片）</w:t>
            </w:r>
          </w:p>
        </w:tc>
        <w:tc>
          <w:tcPr>
            <w:tcW w:w="817" w:type="dxa"/>
          </w:tcPr>
          <w:p w14:paraId="614842B8">
            <w:pPr>
              <w:adjustRightInd w:val="0"/>
              <w:snapToGrid w:val="0"/>
              <w:rPr>
                <w:rFonts w:asciiTheme="majorEastAsia" w:hAnsiTheme="majorEastAsia" w:eastAsiaTheme="majorEastAsia"/>
                <w:b/>
                <w:sz w:val="24"/>
                <w:szCs w:val="21"/>
              </w:rPr>
            </w:pPr>
          </w:p>
        </w:tc>
      </w:tr>
      <w:tr w14:paraId="5F659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03418FAD">
            <w:pPr>
              <w:adjustRightInd w:val="0"/>
              <w:snapToGrid w:val="0"/>
              <w:rPr>
                <w:rFonts w:asciiTheme="majorEastAsia" w:hAnsiTheme="majorEastAsia" w:eastAsiaTheme="majorEastAsia"/>
                <w:b/>
                <w:sz w:val="24"/>
                <w:szCs w:val="21"/>
              </w:rPr>
            </w:pPr>
          </w:p>
        </w:tc>
        <w:tc>
          <w:tcPr>
            <w:tcW w:w="935" w:type="dxa"/>
            <w:vMerge w:val="continue"/>
          </w:tcPr>
          <w:p w14:paraId="2B06B0FA">
            <w:pPr>
              <w:adjustRightInd w:val="0"/>
              <w:snapToGrid w:val="0"/>
              <w:rPr>
                <w:rFonts w:asciiTheme="majorEastAsia" w:hAnsiTheme="majorEastAsia" w:eastAsiaTheme="majorEastAsia"/>
                <w:b/>
                <w:sz w:val="24"/>
                <w:szCs w:val="21"/>
              </w:rPr>
            </w:pPr>
          </w:p>
        </w:tc>
        <w:tc>
          <w:tcPr>
            <w:tcW w:w="7564" w:type="dxa"/>
            <w:gridSpan w:val="2"/>
            <w:vAlign w:val="top"/>
          </w:tcPr>
          <w:p w14:paraId="660A3671">
            <w:pPr>
              <w:keepNext w:val="0"/>
              <w:keepLines w:val="0"/>
              <w:pageBreakBefore w:val="0"/>
              <w:widowControl w:val="0"/>
              <w:numPr>
                <w:ilvl w:val="-1"/>
                <w:numId w:val="0"/>
              </w:numPr>
              <w:kinsoku/>
              <w:wordWrap/>
              <w:overflowPunct/>
              <w:topLinePunct w:val="0"/>
              <w:autoSpaceDE/>
              <w:autoSpaceDN/>
              <w:bidi w:val="0"/>
              <w:spacing w:after="0" w:line="240" w:lineRule="auto"/>
              <w:jc w:val="left"/>
              <w:textAlignment w:val="auto"/>
              <w:rPr>
                <w:rFonts w:hint="eastAsia" w:ascii="宋体" w:hAnsi="宋体" w:eastAsia="宋体" w:cs="宋体"/>
                <w:bCs/>
                <w:color w:val="auto"/>
                <w:sz w:val="21"/>
                <w:szCs w:val="21"/>
                <w:highlight w:val="none"/>
              </w:rPr>
            </w:pPr>
            <w:r>
              <w:rPr>
                <w:rFonts w:hint="eastAsia" w:ascii="宋体" w:hAnsi="宋体" w:cs="宋体"/>
                <w:bCs/>
                <w:color w:val="auto"/>
                <w:sz w:val="21"/>
                <w:szCs w:val="21"/>
                <w:highlight w:val="none"/>
                <w:lang w:val="en-US" w:eastAsia="zh-CN"/>
              </w:rPr>
              <w:t>14、配置</w:t>
            </w:r>
            <w:r>
              <w:rPr>
                <w:rFonts w:hint="eastAsia" w:ascii="宋体" w:hAnsi="宋体" w:eastAsia="宋体" w:cs="宋体"/>
                <w:bCs/>
                <w:color w:val="auto"/>
                <w:sz w:val="21"/>
                <w:szCs w:val="21"/>
                <w:highlight w:val="none"/>
              </w:rPr>
              <w:t>≥5寸液晶触摸显示屏</w:t>
            </w:r>
          </w:p>
          <w:p w14:paraId="0C753585">
            <w:pPr>
              <w:keepNext w:val="0"/>
              <w:keepLines w:val="0"/>
              <w:pageBreakBefore w:val="0"/>
              <w:widowControl w:val="0"/>
              <w:numPr>
                <w:ilvl w:val="0"/>
                <w:numId w:val="0"/>
              </w:numPr>
              <w:kinsoku/>
              <w:wordWrap/>
              <w:overflowPunct/>
              <w:topLinePunct w:val="0"/>
              <w:autoSpaceDE/>
              <w:autoSpaceDN/>
              <w:bidi w:val="0"/>
              <w:spacing w:after="0" w:line="240" w:lineRule="auto"/>
              <w:jc w:val="left"/>
              <w:textAlignment w:val="auto"/>
              <w:rPr>
                <w:rFonts w:ascii="宋体" w:hAnsi="宋体" w:cs="宋体"/>
                <w:color w:val="000000" w:themeColor="text1"/>
                <w:szCs w:val="21"/>
                <w14:textFill>
                  <w14:solidFill>
                    <w14:schemeClr w14:val="tx1"/>
                  </w14:solidFill>
                </w14:textFill>
              </w:rPr>
            </w:pPr>
            <w:r>
              <w:rPr>
                <w:rFonts w:hint="eastAsia" w:ascii="宋体" w:hAnsi="宋体" w:eastAsia="宋体" w:cs="宋体"/>
                <w:b/>
                <w:bCs/>
                <w:color w:val="auto"/>
                <w:sz w:val="21"/>
                <w:szCs w:val="21"/>
                <w:highlight w:val="yellow"/>
              </w:rPr>
              <w:t>（提供产品技术白皮书或产品彩页或产品说明书作为证明材料）</w:t>
            </w:r>
          </w:p>
        </w:tc>
        <w:tc>
          <w:tcPr>
            <w:tcW w:w="817" w:type="dxa"/>
          </w:tcPr>
          <w:p w14:paraId="1D52449D">
            <w:pPr>
              <w:adjustRightInd w:val="0"/>
              <w:snapToGrid w:val="0"/>
              <w:rPr>
                <w:rFonts w:asciiTheme="majorEastAsia" w:hAnsiTheme="majorEastAsia" w:eastAsiaTheme="majorEastAsia"/>
                <w:b/>
                <w:sz w:val="24"/>
                <w:szCs w:val="21"/>
              </w:rPr>
            </w:pPr>
          </w:p>
        </w:tc>
      </w:tr>
      <w:tr w14:paraId="5BAC0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1569F994">
            <w:pPr>
              <w:adjustRightInd w:val="0"/>
              <w:snapToGrid w:val="0"/>
              <w:rPr>
                <w:rFonts w:asciiTheme="majorEastAsia" w:hAnsiTheme="majorEastAsia" w:eastAsiaTheme="majorEastAsia"/>
                <w:b/>
                <w:sz w:val="24"/>
                <w:szCs w:val="21"/>
              </w:rPr>
            </w:pPr>
          </w:p>
        </w:tc>
        <w:tc>
          <w:tcPr>
            <w:tcW w:w="935" w:type="dxa"/>
            <w:vMerge w:val="continue"/>
          </w:tcPr>
          <w:p w14:paraId="3CEE1FC3">
            <w:pPr>
              <w:adjustRightInd w:val="0"/>
              <w:snapToGrid w:val="0"/>
              <w:rPr>
                <w:rFonts w:asciiTheme="majorEastAsia" w:hAnsiTheme="majorEastAsia" w:eastAsiaTheme="majorEastAsia"/>
                <w:b/>
                <w:sz w:val="24"/>
                <w:szCs w:val="21"/>
              </w:rPr>
            </w:pPr>
          </w:p>
        </w:tc>
        <w:tc>
          <w:tcPr>
            <w:tcW w:w="7564" w:type="dxa"/>
            <w:gridSpan w:val="2"/>
            <w:vAlign w:val="top"/>
          </w:tcPr>
          <w:p w14:paraId="2383C336">
            <w:pPr>
              <w:keepNext w:val="0"/>
              <w:keepLines w:val="0"/>
              <w:pageBreakBefore w:val="0"/>
              <w:widowControl w:val="0"/>
              <w:kinsoku/>
              <w:wordWrap/>
              <w:overflowPunct/>
              <w:topLinePunct w:val="0"/>
              <w:autoSpaceDE/>
              <w:autoSpaceDN/>
              <w:bidi w:val="0"/>
              <w:spacing w:after="0" w:line="240" w:lineRule="auto"/>
              <w:jc w:val="left"/>
              <w:textAlignment w:val="auto"/>
              <w:rPr>
                <w:rFonts w:ascii="宋体" w:hAnsi="宋体" w:cs="宋体"/>
                <w:color w:val="000000" w:themeColor="text1"/>
                <w:szCs w:val="21"/>
                <w14:textFill>
                  <w14:solidFill>
                    <w14:schemeClr w14:val="tx1"/>
                  </w14:solidFill>
                </w14:textFill>
              </w:rPr>
            </w:pPr>
            <w:r>
              <w:rPr>
                <w:rFonts w:hint="eastAsia" w:ascii="宋体" w:hAnsi="宋体" w:cs="宋体"/>
                <w:bCs/>
                <w:color w:val="auto"/>
                <w:sz w:val="21"/>
                <w:szCs w:val="21"/>
                <w:highlight w:val="none"/>
                <w:lang w:val="en-US" w:eastAsia="zh-CN"/>
              </w:rPr>
              <w:t>15</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rPr>
              <w:t>酶液配有液位传感器，当酶液少于设定值时</w:t>
            </w:r>
            <w:r>
              <w:rPr>
                <w:rFonts w:hint="eastAsia" w:ascii="宋体" w:hAnsi="宋体" w:cs="宋体"/>
                <w:bCs/>
                <w:color w:val="auto"/>
                <w:sz w:val="21"/>
                <w:szCs w:val="21"/>
                <w:highlight w:val="none"/>
                <w:lang w:eastAsia="zh-CN"/>
              </w:rPr>
              <w:t>，</w:t>
            </w:r>
            <w:r>
              <w:rPr>
                <w:rFonts w:hint="eastAsia" w:ascii="宋体" w:hAnsi="宋体" w:eastAsia="宋体" w:cs="宋体"/>
                <w:bCs/>
                <w:color w:val="auto"/>
                <w:sz w:val="21"/>
                <w:szCs w:val="21"/>
                <w:highlight w:val="none"/>
              </w:rPr>
              <w:t>自动报警</w:t>
            </w:r>
          </w:p>
        </w:tc>
        <w:tc>
          <w:tcPr>
            <w:tcW w:w="817" w:type="dxa"/>
          </w:tcPr>
          <w:p w14:paraId="1A84B8C8">
            <w:pPr>
              <w:adjustRightInd w:val="0"/>
              <w:snapToGrid w:val="0"/>
              <w:rPr>
                <w:rFonts w:asciiTheme="majorEastAsia" w:hAnsiTheme="majorEastAsia" w:eastAsiaTheme="majorEastAsia"/>
                <w:b/>
                <w:sz w:val="24"/>
                <w:szCs w:val="21"/>
              </w:rPr>
            </w:pPr>
          </w:p>
        </w:tc>
      </w:tr>
      <w:tr w14:paraId="50253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7FCA16CC">
            <w:pPr>
              <w:adjustRightInd w:val="0"/>
              <w:snapToGrid w:val="0"/>
              <w:rPr>
                <w:rFonts w:asciiTheme="majorEastAsia" w:hAnsiTheme="majorEastAsia" w:eastAsiaTheme="majorEastAsia"/>
                <w:b/>
                <w:sz w:val="24"/>
                <w:szCs w:val="21"/>
              </w:rPr>
            </w:pPr>
          </w:p>
        </w:tc>
        <w:tc>
          <w:tcPr>
            <w:tcW w:w="935" w:type="dxa"/>
            <w:vMerge w:val="continue"/>
          </w:tcPr>
          <w:p w14:paraId="6B7B28C7">
            <w:pPr>
              <w:adjustRightInd w:val="0"/>
              <w:snapToGrid w:val="0"/>
              <w:rPr>
                <w:rFonts w:asciiTheme="majorEastAsia" w:hAnsiTheme="majorEastAsia" w:eastAsiaTheme="majorEastAsia"/>
                <w:b/>
                <w:sz w:val="24"/>
                <w:szCs w:val="21"/>
              </w:rPr>
            </w:pPr>
          </w:p>
        </w:tc>
        <w:tc>
          <w:tcPr>
            <w:tcW w:w="7564" w:type="dxa"/>
            <w:gridSpan w:val="2"/>
            <w:vAlign w:val="top"/>
          </w:tcPr>
          <w:p w14:paraId="10AE8AF5">
            <w:pPr>
              <w:keepNext w:val="0"/>
              <w:keepLines w:val="0"/>
              <w:pageBreakBefore w:val="0"/>
              <w:widowControl w:val="0"/>
              <w:kinsoku/>
              <w:wordWrap/>
              <w:overflowPunct/>
              <w:topLinePunct w:val="0"/>
              <w:autoSpaceDE/>
              <w:autoSpaceDN/>
              <w:bidi w:val="0"/>
              <w:spacing w:after="0" w:line="240" w:lineRule="auto"/>
              <w:jc w:val="left"/>
              <w:textAlignment w:val="auto"/>
              <w:rPr>
                <w:rFonts w:ascii="宋体" w:hAnsi="宋体" w:cs="宋体"/>
                <w:color w:val="000000" w:themeColor="text1"/>
                <w:szCs w:val="21"/>
                <w14:textFill>
                  <w14:solidFill>
                    <w14:schemeClr w14:val="tx1"/>
                  </w14:solidFill>
                </w14:textFill>
              </w:rPr>
            </w:pPr>
            <w:r>
              <w:rPr>
                <w:rFonts w:hint="eastAsia" w:ascii="宋体" w:hAnsi="宋体" w:cs="宋体"/>
                <w:bCs/>
                <w:color w:val="auto"/>
                <w:sz w:val="21"/>
                <w:szCs w:val="21"/>
                <w:highlight w:val="none"/>
                <w:lang w:val="en-US" w:eastAsia="zh-CN"/>
              </w:rPr>
              <w:t>16</w:t>
            </w:r>
            <w:r>
              <w:rPr>
                <w:rFonts w:hint="eastAsia" w:ascii="宋体" w:hAnsi="宋体" w:eastAsia="宋体" w:cs="宋体"/>
                <w:bCs/>
                <w:color w:val="auto"/>
                <w:sz w:val="21"/>
                <w:szCs w:val="21"/>
                <w:highlight w:val="none"/>
                <w:lang w:val="en-US" w:eastAsia="zh-CN"/>
              </w:rPr>
              <w:t>、</w:t>
            </w:r>
            <w:r>
              <w:rPr>
                <w:rFonts w:hint="eastAsia" w:ascii="宋体" w:hAnsi="宋体" w:eastAsia="宋体" w:cs="宋体"/>
                <w:color w:val="auto"/>
                <w:sz w:val="21"/>
                <w:szCs w:val="21"/>
                <w:highlight w:val="none"/>
              </w:rPr>
              <w:t>消毒液配</w:t>
            </w:r>
            <w:r>
              <w:rPr>
                <w:rFonts w:hint="eastAsia" w:ascii="宋体" w:hAnsi="宋体" w:eastAsia="宋体" w:cs="宋体"/>
                <w:bCs/>
                <w:color w:val="auto"/>
                <w:sz w:val="21"/>
                <w:szCs w:val="21"/>
                <w:highlight w:val="none"/>
              </w:rPr>
              <w:t>有液位传感器，缺液报警;开机自动检测消毒液，储存桶内消毒液低于设定的用量时，自动报警</w:t>
            </w:r>
          </w:p>
        </w:tc>
        <w:tc>
          <w:tcPr>
            <w:tcW w:w="817" w:type="dxa"/>
          </w:tcPr>
          <w:p w14:paraId="4205C17C">
            <w:pPr>
              <w:adjustRightInd w:val="0"/>
              <w:snapToGrid w:val="0"/>
              <w:rPr>
                <w:rFonts w:asciiTheme="majorEastAsia" w:hAnsiTheme="majorEastAsia" w:eastAsiaTheme="majorEastAsia"/>
                <w:b/>
                <w:sz w:val="24"/>
                <w:szCs w:val="21"/>
              </w:rPr>
            </w:pPr>
          </w:p>
        </w:tc>
      </w:tr>
      <w:tr w14:paraId="468B6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5303F7B7">
            <w:pPr>
              <w:adjustRightInd w:val="0"/>
              <w:snapToGrid w:val="0"/>
              <w:rPr>
                <w:rFonts w:asciiTheme="majorEastAsia" w:hAnsiTheme="majorEastAsia" w:eastAsiaTheme="majorEastAsia"/>
                <w:b/>
                <w:sz w:val="24"/>
                <w:szCs w:val="21"/>
              </w:rPr>
            </w:pPr>
          </w:p>
        </w:tc>
        <w:tc>
          <w:tcPr>
            <w:tcW w:w="935" w:type="dxa"/>
            <w:vMerge w:val="continue"/>
          </w:tcPr>
          <w:p w14:paraId="7AEF1D1A">
            <w:pPr>
              <w:adjustRightInd w:val="0"/>
              <w:snapToGrid w:val="0"/>
              <w:rPr>
                <w:rFonts w:asciiTheme="majorEastAsia" w:hAnsiTheme="majorEastAsia" w:eastAsiaTheme="majorEastAsia"/>
                <w:b/>
                <w:sz w:val="24"/>
                <w:szCs w:val="21"/>
              </w:rPr>
            </w:pPr>
          </w:p>
        </w:tc>
        <w:tc>
          <w:tcPr>
            <w:tcW w:w="7564" w:type="dxa"/>
            <w:gridSpan w:val="2"/>
            <w:vAlign w:val="top"/>
          </w:tcPr>
          <w:p w14:paraId="575B88AD">
            <w:pPr>
              <w:keepNext w:val="0"/>
              <w:keepLines w:val="0"/>
              <w:pageBreakBefore w:val="0"/>
              <w:widowControl w:val="0"/>
              <w:numPr>
                <w:ilvl w:val="-1"/>
                <w:numId w:val="0"/>
              </w:numPr>
              <w:kinsoku/>
              <w:wordWrap/>
              <w:overflowPunct/>
              <w:topLinePunct w:val="0"/>
              <w:autoSpaceDE/>
              <w:autoSpaceDN/>
              <w:bidi w:val="0"/>
              <w:spacing w:after="0" w:line="240" w:lineRule="auto"/>
              <w:jc w:val="left"/>
              <w:textAlignment w:val="auto"/>
              <w:rPr>
                <w:rFonts w:hint="eastAsia" w:ascii="宋体" w:hAnsi="宋体" w:eastAsia="宋体" w:cs="宋体"/>
                <w:bCs/>
                <w:color w:val="auto"/>
                <w:sz w:val="21"/>
                <w:szCs w:val="21"/>
                <w:highlight w:val="none"/>
              </w:rPr>
            </w:pPr>
            <w:r>
              <w:rPr>
                <w:rFonts w:hint="eastAsia" w:ascii="宋体" w:hAnsi="宋体" w:cs="宋体"/>
                <w:color w:val="auto"/>
                <w:kern w:val="0"/>
                <w:sz w:val="21"/>
                <w:szCs w:val="21"/>
                <w:highlight w:val="none"/>
                <w:lang w:val="en-US" w:eastAsia="zh-CN"/>
              </w:rPr>
              <w:t>17、</w:t>
            </w:r>
            <w:r>
              <w:rPr>
                <w:rFonts w:hint="eastAsia" w:ascii="宋体" w:hAnsi="宋体" w:eastAsia="宋体" w:cs="宋体"/>
                <w:color w:val="auto"/>
                <w:kern w:val="0"/>
                <w:sz w:val="21"/>
                <w:szCs w:val="21"/>
                <w:highlight w:val="none"/>
              </w:rPr>
              <w:t>自身消毒功能：</w:t>
            </w:r>
            <w:r>
              <w:rPr>
                <w:rFonts w:hint="eastAsia" w:ascii="宋体" w:hAnsi="宋体" w:eastAsia="宋体" w:cs="宋体"/>
                <w:bCs/>
                <w:color w:val="auto"/>
                <w:sz w:val="21"/>
                <w:szCs w:val="21"/>
                <w:highlight w:val="none"/>
              </w:rPr>
              <w:t>自身消毒模式</w:t>
            </w:r>
            <w:r>
              <w:rPr>
                <w:rFonts w:hint="eastAsia" w:ascii="宋体" w:hAnsi="宋体" w:cs="宋体"/>
                <w:bCs/>
                <w:color w:val="auto"/>
                <w:sz w:val="21"/>
                <w:szCs w:val="21"/>
                <w:highlight w:val="none"/>
                <w:lang w:val="en-US" w:eastAsia="zh-CN"/>
              </w:rPr>
              <w:t>至少包含</w:t>
            </w:r>
            <w:r>
              <w:rPr>
                <w:rFonts w:hint="eastAsia" w:ascii="宋体" w:hAnsi="宋体" w:eastAsia="宋体" w:cs="宋体"/>
                <w:bCs/>
                <w:color w:val="auto"/>
                <w:sz w:val="21"/>
                <w:szCs w:val="21"/>
                <w:highlight w:val="none"/>
              </w:rPr>
              <w:t>“本机消毒液”、“其它消毒液”两种模式，可将包含除菌水过滤器在内的所有进水管路、消毒循环管路等进行彻底的自身消毒</w:t>
            </w:r>
          </w:p>
          <w:p w14:paraId="54B03E5D">
            <w:pPr>
              <w:keepNext w:val="0"/>
              <w:keepLines w:val="0"/>
              <w:pageBreakBefore w:val="0"/>
              <w:widowControl w:val="0"/>
              <w:numPr>
                <w:ilvl w:val="0"/>
                <w:numId w:val="0"/>
              </w:numPr>
              <w:kinsoku/>
              <w:wordWrap/>
              <w:overflowPunct/>
              <w:topLinePunct w:val="0"/>
              <w:autoSpaceDE/>
              <w:autoSpaceDN/>
              <w:bidi w:val="0"/>
              <w:spacing w:after="0" w:line="240" w:lineRule="auto"/>
              <w:jc w:val="left"/>
              <w:textAlignment w:val="auto"/>
              <w:rPr>
                <w:rFonts w:ascii="宋体" w:hAnsi="宋体" w:cs="宋体"/>
                <w:color w:val="000000" w:themeColor="text1"/>
                <w:szCs w:val="21"/>
                <w14:textFill>
                  <w14:solidFill>
                    <w14:schemeClr w14:val="tx1"/>
                  </w14:solidFill>
                </w14:textFill>
              </w:rPr>
            </w:pPr>
            <w:r>
              <w:rPr>
                <w:rFonts w:hint="eastAsia" w:ascii="宋体" w:hAnsi="宋体" w:eastAsia="宋体" w:cs="宋体"/>
                <w:b/>
                <w:bCs/>
                <w:color w:val="auto"/>
                <w:sz w:val="21"/>
                <w:szCs w:val="21"/>
                <w:highlight w:val="yellow"/>
              </w:rPr>
              <w:t>（提供第三方检测机构出具的检测报告</w:t>
            </w:r>
            <w:r>
              <w:rPr>
                <w:rFonts w:hint="eastAsia" w:ascii="宋体" w:hAnsi="宋体" w:eastAsia="宋体" w:cs="宋体"/>
                <w:b/>
                <w:color w:val="auto"/>
                <w:sz w:val="21"/>
                <w:szCs w:val="21"/>
                <w:highlight w:val="yellow"/>
              </w:rPr>
              <w:t>，</w:t>
            </w:r>
            <w:r>
              <w:rPr>
                <w:rFonts w:hint="eastAsia" w:ascii="宋体" w:hAnsi="宋体" w:cs="宋体"/>
                <w:b/>
                <w:color w:val="auto"/>
                <w:sz w:val="21"/>
                <w:szCs w:val="21"/>
                <w:highlight w:val="yellow"/>
                <w:lang w:val="en-US" w:eastAsia="zh-CN"/>
              </w:rPr>
              <w:t>内容需</w:t>
            </w:r>
            <w:r>
              <w:rPr>
                <w:rFonts w:hint="eastAsia" w:ascii="宋体" w:hAnsi="宋体" w:eastAsia="宋体" w:cs="宋体"/>
                <w:b/>
                <w:color w:val="auto"/>
                <w:sz w:val="21"/>
                <w:szCs w:val="21"/>
                <w:highlight w:val="yellow"/>
              </w:rPr>
              <w:t>包含以上数据参数</w:t>
            </w:r>
            <w:r>
              <w:rPr>
                <w:rFonts w:hint="eastAsia" w:ascii="宋体" w:hAnsi="宋体" w:eastAsia="宋体" w:cs="宋体"/>
                <w:b/>
                <w:bCs/>
                <w:color w:val="auto"/>
                <w:sz w:val="21"/>
                <w:szCs w:val="21"/>
                <w:highlight w:val="yellow"/>
              </w:rPr>
              <w:t>）</w:t>
            </w:r>
          </w:p>
        </w:tc>
        <w:tc>
          <w:tcPr>
            <w:tcW w:w="817" w:type="dxa"/>
          </w:tcPr>
          <w:p w14:paraId="2093E107">
            <w:pPr>
              <w:adjustRightInd w:val="0"/>
              <w:snapToGrid w:val="0"/>
              <w:rPr>
                <w:rFonts w:asciiTheme="majorEastAsia" w:hAnsiTheme="majorEastAsia" w:eastAsiaTheme="majorEastAsia"/>
                <w:b/>
                <w:sz w:val="24"/>
                <w:szCs w:val="21"/>
              </w:rPr>
            </w:pPr>
            <w:r>
              <w:rPr>
                <w:rFonts w:hint="eastAsia" w:ascii="宋体" w:hAnsi="宋体" w:eastAsia="宋体" w:cs="宋体"/>
                <w:color w:val="auto"/>
                <w:sz w:val="21"/>
                <w:szCs w:val="21"/>
                <w:highlight w:val="none"/>
              </w:rPr>
              <w:t>▲</w:t>
            </w:r>
          </w:p>
        </w:tc>
      </w:tr>
      <w:tr w14:paraId="5B0DF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686E2588">
            <w:pPr>
              <w:adjustRightInd w:val="0"/>
              <w:snapToGrid w:val="0"/>
              <w:rPr>
                <w:rFonts w:asciiTheme="majorEastAsia" w:hAnsiTheme="majorEastAsia" w:eastAsiaTheme="majorEastAsia"/>
                <w:b/>
                <w:sz w:val="24"/>
                <w:szCs w:val="21"/>
              </w:rPr>
            </w:pPr>
          </w:p>
        </w:tc>
        <w:tc>
          <w:tcPr>
            <w:tcW w:w="935" w:type="dxa"/>
            <w:vMerge w:val="continue"/>
          </w:tcPr>
          <w:p w14:paraId="0E1664F8">
            <w:pPr>
              <w:adjustRightInd w:val="0"/>
              <w:snapToGrid w:val="0"/>
              <w:rPr>
                <w:rFonts w:asciiTheme="majorEastAsia" w:hAnsiTheme="majorEastAsia" w:eastAsiaTheme="majorEastAsia"/>
                <w:b/>
                <w:sz w:val="24"/>
                <w:szCs w:val="21"/>
              </w:rPr>
            </w:pPr>
          </w:p>
        </w:tc>
        <w:tc>
          <w:tcPr>
            <w:tcW w:w="7564" w:type="dxa"/>
            <w:gridSpan w:val="2"/>
            <w:vAlign w:val="top"/>
          </w:tcPr>
          <w:p w14:paraId="45EC01F4">
            <w:pPr>
              <w:keepNext w:val="0"/>
              <w:keepLines w:val="0"/>
              <w:pageBreakBefore w:val="0"/>
              <w:widowControl w:val="0"/>
              <w:numPr>
                <w:ilvl w:val="-1"/>
                <w:numId w:val="0"/>
              </w:numPr>
              <w:kinsoku/>
              <w:wordWrap/>
              <w:overflowPunct/>
              <w:topLinePunct w:val="0"/>
              <w:autoSpaceDE/>
              <w:autoSpaceDN/>
              <w:bidi w:val="0"/>
              <w:spacing w:after="0" w:line="240" w:lineRule="auto"/>
              <w:ind w:left="0" w:leftChars="0" w:firstLine="0" w:firstLineChars="0"/>
              <w:jc w:val="left"/>
              <w:textAlignment w:val="auto"/>
              <w:rPr>
                <w:rFonts w:hint="eastAsia" w:ascii="宋体" w:hAnsi="宋体" w:eastAsia="宋体" w:cs="宋体"/>
                <w:bCs/>
                <w:color w:val="auto"/>
                <w:sz w:val="21"/>
                <w:szCs w:val="21"/>
                <w:highlight w:val="none"/>
              </w:rPr>
            </w:pPr>
            <w:r>
              <w:rPr>
                <w:rFonts w:hint="eastAsia" w:ascii="宋体" w:hAnsi="宋体" w:cs="宋体"/>
                <w:bCs/>
                <w:color w:val="auto"/>
                <w:sz w:val="21"/>
                <w:szCs w:val="21"/>
                <w:highlight w:val="none"/>
                <w:lang w:val="en-US" w:eastAsia="zh-CN"/>
              </w:rPr>
              <w:t>18、</w:t>
            </w:r>
            <w:r>
              <w:rPr>
                <w:rFonts w:hint="eastAsia" w:ascii="宋体" w:hAnsi="宋体" w:eastAsia="宋体" w:cs="宋体"/>
                <w:bCs/>
                <w:color w:val="auto"/>
                <w:sz w:val="21"/>
                <w:szCs w:val="21"/>
                <w:highlight w:val="none"/>
              </w:rPr>
              <w:t>消毒后漂洗用水的细菌总数</w:t>
            </w:r>
            <w:r>
              <w:rPr>
                <w:rFonts w:hint="eastAsia" w:ascii="宋体" w:hAnsi="宋体" w:cs="宋体"/>
                <w:bCs/>
                <w:color w:val="auto"/>
                <w:sz w:val="21"/>
                <w:szCs w:val="21"/>
                <w:highlight w:val="none"/>
                <w:lang w:val="en-US" w:eastAsia="zh-CN"/>
              </w:rPr>
              <w:t>＜</w:t>
            </w:r>
            <w:r>
              <w:rPr>
                <w:rFonts w:hint="eastAsia" w:ascii="宋体" w:hAnsi="宋体" w:eastAsia="宋体" w:cs="宋体"/>
                <w:bCs/>
                <w:color w:val="auto"/>
                <w:sz w:val="21"/>
                <w:szCs w:val="21"/>
                <w:highlight w:val="none"/>
              </w:rPr>
              <w:t>10CFU/100mL，100mL水中不含铜绿假单胞菌和（非典型）分枝杆菌，内毒素含量应</w:t>
            </w:r>
            <w:r>
              <w:rPr>
                <w:rFonts w:hint="eastAsia" w:ascii="宋体" w:hAnsi="宋体" w:cs="宋体"/>
                <w:bCs/>
                <w:color w:val="auto"/>
                <w:sz w:val="21"/>
                <w:szCs w:val="21"/>
                <w:highlight w:val="none"/>
                <w:lang w:val="en-US" w:eastAsia="zh-CN"/>
              </w:rPr>
              <w:t>≤</w:t>
            </w:r>
            <w:r>
              <w:rPr>
                <w:rFonts w:hint="eastAsia" w:ascii="宋体" w:hAnsi="宋体" w:eastAsia="宋体" w:cs="宋体"/>
                <w:bCs/>
                <w:color w:val="auto"/>
                <w:sz w:val="21"/>
                <w:szCs w:val="21"/>
                <w:highlight w:val="none"/>
              </w:rPr>
              <w:t>0.25EU/mL</w:t>
            </w:r>
          </w:p>
          <w:p w14:paraId="349309EE">
            <w:pPr>
              <w:keepNext w:val="0"/>
              <w:keepLines w:val="0"/>
              <w:pageBreakBefore w:val="0"/>
              <w:widowControl w:val="0"/>
              <w:numPr>
                <w:ilvl w:val="0"/>
                <w:numId w:val="0"/>
              </w:numPr>
              <w:kinsoku/>
              <w:wordWrap/>
              <w:overflowPunct/>
              <w:topLinePunct w:val="0"/>
              <w:autoSpaceDE/>
              <w:autoSpaceDN/>
              <w:bidi w:val="0"/>
              <w:spacing w:after="0" w:line="240" w:lineRule="auto"/>
              <w:ind w:leftChars="0"/>
              <w:jc w:val="left"/>
              <w:textAlignment w:val="auto"/>
              <w:rPr>
                <w:rFonts w:ascii="宋体" w:hAnsi="宋体" w:cs="宋体"/>
                <w:color w:val="000000" w:themeColor="text1"/>
                <w:szCs w:val="21"/>
                <w14:textFill>
                  <w14:solidFill>
                    <w14:schemeClr w14:val="tx1"/>
                  </w14:solidFill>
                </w14:textFill>
              </w:rPr>
            </w:pPr>
            <w:r>
              <w:rPr>
                <w:rFonts w:hint="eastAsia" w:ascii="宋体" w:hAnsi="宋体" w:eastAsia="宋体" w:cs="宋体"/>
                <w:b/>
                <w:color w:val="auto"/>
                <w:sz w:val="21"/>
                <w:szCs w:val="21"/>
                <w:highlight w:val="yellow"/>
              </w:rPr>
              <w:t>（</w:t>
            </w:r>
            <w:r>
              <w:rPr>
                <w:rFonts w:hint="eastAsia" w:ascii="宋体" w:hAnsi="宋体" w:eastAsia="宋体" w:cs="宋体"/>
                <w:b/>
                <w:bCs/>
                <w:color w:val="auto"/>
                <w:sz w:val="21"/>
                <w:szCs w:val="21"/>
                <w:highlight w:val="yellow"/>
              </w:rPr>
              <w:t>提供第三方检测机构出具的</w:t>
            </w:r>
            <w:r>
              <w:rPr>
                <w:rFonts w:hint="eastAsia" w:ascii="宋体" w:hAnsi="宋体" w:eastAsia="宋体" w:cs="宋体"/>
                <w:b/>
                <w:color w:val="auto"/>
                <w:sz w:val="21"/>
                <w:szCs w:val="21"/>
                <w:highlight w:val="yellow"/>
              </w:rPr>
              <w:t>清洗</w:t>
            </w:r>
            <w:r>
              <w:rPr>
                <w:rFonts w:hint="eastAsia" w:ascii="宋体" w:hAnsi="宋体" w:cs="宋体"/>
                <w:b/>
                <w:bCs/>
                <w:color w:val="auto"/>
                <w:sz w:val="21"/>
                <w:szCs w:val="21"/>
                <w:highlight w:val="yellow"/>
                <w:lang w:val="en-US" w:eastAsia="zh-CN"/>
              </w:rPr>
              <w:t>效果的</w:t>
            </w:r>
            <w:r>
              <w:rPr>
                <w:rFonts w:hint="eastAsia" w:ascii="宋体" w:hAnsi="宋体" w:eastAsia="宋体" w:cs="宋体"/>
                <w:b/>
                <w:bCs/>
                <w:color w:val="auto"/>
                <w:sz w:val="21"/>
                <w:szCs w:val="21"/>
                <w:highlight w:val="yellow"/>
              </w:rPr>
              <w:t>检测报告</w:t>
            </w:r>
            <w:r>
              <w:rPr>
                <w:rFonts w:hint="eastAsia" w:ascii="宋体" w:hAnsi="宋体" w:eastAsia="宋体" w:cs="宋体"/>
                <w:b/>
                <w:color w:val="auto"/>
                <w:sz w:val="21"/>
                <w:szCs w:val="21"/>
                <w:highlight w:val="yellow"/>
              </w:rPr>
              <w:t>，</w:t>
            </w:r>
            <w:r>
              <w:rPr>
                <w:rFonts w:hint="eastAsia" w:ascii="宋体" w:hAnsi="宋体" w:cs="宋体"/>
                <w:b/>
                <w:color w:val="auto"/>
                <w:sz w:val="21"/>
                <w:szCs w:val="21"/>
                <w:highlight w:val="yellow"/>
                <w:lang w:val="en-US" w:eastAsia="zh-CN"/>
              </w:rPr>
              <w:t>内容需</w:t>
            </w:r>
            <w:r>
              <w:rPr>
                <w:rFonts w:hint="eastAsia" w:ascii="宋体" w:hAnsi="宋体" w:eastAsia="宋体" w:cs="宋体"/>
                <w:b/>
                <w:color w:val="auto"/>
                <w:sz w:val="21"/>
                <w:szCs w:val="21"/>
                <w:highlight w:val="yellow"/>
              </w:rPr>
              <w:t>包含以上数据参数）</w:t>
            </w:r>
          </w:p>
        </w:tc>
        <w:tc>
          <w:tcPr>
            <w:tcW w:w="817" w:type="dxa"/>
          </w:tcPr>
          <w:p w14:paraId="7109DE7E">
            <w:pPr>
              <w:adjustRightInd w:val="0"/>
              <w:snapToGrid w:val="0"/>
              <w:rPr>
                <w:rFonts w:asciiTheme="majorEastAsia" w:hAnsiTheme="majorEastAsia" w:eastAsiaTheme="majorEastAsia"/>
                <w:b/>
                <w:sz w:val="24"/>
                <w:szCs w:val="21"/>
              </w:rPr>
            </w:pPr>
          </w:p>
        </w:tc>
      </w:tr>
      <w:tr w14:paraId="2EEDE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7BB64677">
            <w:pPr>
              <w:adjustRightInd w:val="0"/>
              <w:snapToGrid w:val="0"/>
              <w:rPr>
                <w:rFonts w:asciiTheme="majorEastAsia" w:hAnsiTheme="majorEastAsia" w:eastAsiaTheme="majorEastAsia"/>
                <w:b/>
                <w:sz w:val="24"/>
                <w:szCs w:val="21"/>
              </w:rPr>
            </w:pPr>
          </w:p>
        </w:tc>
        <w:tc>
          <w:tcPr>
            <w:tcW w:w="935" w:type="dxa"/>
            <w:vMerge w:val="continue"/>
          </w:tcPr>
          <w:p w14:paraId="7C48D1D6">
            <w:pPr>
              <w:adjustRightInd w:val="0"/>
              <w:snapToGrid w:val="0"/>
              <w:rPr>
                <w:rFonts w:asciiTheme="majorEastAsia" w:hAnsiTheme="majorEastAsia" w:eastAsiaTheme="majorEastAsia"/>
                <w:b/>
                <w:sz w:val="24"/>
                <w:szCs w:val="21"/>
              </w:rPr>
            </w:pPr>
          </w:p>
        </w:tc>
        <w:tc>
          <w:tcPr>
            <w:tcW w:w="7564" w:type="dxa"/>
            <w:gridSpan w:val="2"/>
            <w:vAlign w:val="top"/>
          </w:tcPr>
          <w:p w14:paraId="01C6A9C4">
            <w:pPr>
              <w:keepNext w:val="0"/>
              <w:keepLines w:val="0"/>
              <w:pageBreakBefore w:val="0"/>
              <w:widowControl w:val="0"/>
              <w:numPr>
                <w:ilvl w:val="-1"/>
                <w:numId w:val="0"/>
              </w:numPr>
              <w:kinsoku/>
              <w:wordWrap/>
              <w:overflowPunct/>
              <w:topLinePunct w:val="0"/>
              <w:autoSpaceDE/>
              <w:autoSpaceDN/>
              <w:bidi w:val="0"/>
              <w:spacing w:after="0" w:line="240" w:lineRule="auto"/>
              <w:jc w:val="left"/>
              <w:textAlignment w:val="auto"/>
              <w:rPr>
                <w:rFonts w:hint="eastAsia" w:ascii="宋体" w:hAnsi="宋体" w:eastAsia="宋体" w:cs="宋体"/>
                <w:bCs/>
                <w:color w:val="auto"/>
                <w:sz w:val="21"/>
                <w:szCs w:val="21"/>
                <w:highlight w:val="none"/>
              </w:rPr>
            </w:pPr>
            <w:r>
              <w:rPr>
                <w:rFonts w:hint="eastAsia" w:ascii="宋体" w:hAnsi="宋体" w:cs="宋体"/>
                <w:bCs/>
                <w:color w:val="auto"/>
                <w:sz w:val="21"/>
                <w:szCs w:val="21"/>
                <w:highlight w:val="none"/>
                <w:lang w:val="en-US" w:eastAsia="zh-CN"/>
              </w:rPr>
              <w:t>19、消毒结果：</w:t>
            </w:r>
            <w:r>
              <w:rPr>
                <w:rFonts w:hint="eastAsia" w:ascii="宋体" w:hAnsi="宋体" w:eastAsia="宋体" w:cs="宋体"/>
                <w:bCs/>
                <w:color w:val="auto"/>
                <w:sz w:val="21"/>
                <w:szCs w:val="21"/>
                <w:highlight w:val="none"/>
              </w:rPr>
              <w:t>按照GB/T38497-2020的要求，对枯草杆菌黑色变种芽孢的杀灭对数值≥3以及对铜绿假单胞菌的杀灭对数值≥5</w:t>
            </w:r>
          </w:p>
          <w:p w14:paraId="76733EF6">
            <w:pPr>
              <w:keepNext w:val="0"/>
              <w:keepLines w:val="0"/>
              <w:pageBreakBefore w:val="0"/>
              <w:widowControl w:val="0"/>
              <w:numPr>
                <w:ilvl w:val="0"/>
                <w:numId w:val="0"/>
              </w:numPr>
              <w:kinsoku/>
              <w:wordWrap/>
              <w:overflowPunct/>
              <w:topLinePunct w:val="0"/>
              <w:autoSpaceDE/>
              <w:autoSpaceDN/>
              <w:bidi w:val="0"/>
              <w:spacing w:after="0" w:line="240" w:lineRule="auto"/>
              <w:jc w:val="left"/>
              <w:textAlignment w:val="auto"/>
              <w:rPr>
                <w:rFonts w:ascii="宋体" w:hAnsi="宋体" w:cs="宋体"/>
                <w:color w:val="000000" w:themeColor="text1"/>
                <w:szCs w:val="21"/>
                <w14:textFill>
                  <w14:solidFill>
                    <w14:schemeClr w14:val="tx1"/>
                  </w14:solidFill>
                </w14:textFill>
              </w:rPr>
            </w:pPr>
            <w:r>
              <w:rPr>
                <w:rFonts w:hint="eastAsia" w:ascii="宋体" w:hAnsi="宋体" w:eastAsia="宋体" w:cs="宋体"/>
                <w:b/>
                <w:color w:val="auto"/>
                <w:sz w:val="21"/>
                <w:szCs w:val="21"/>
                <w:highlight w:val="yellow"/>
              </w:rPr>
              <w:t>（提供第三方检测机构出具的</w:t>
            </w:r>
            <w:r>
              <w:rPr>
                <w:rFonts w:hint="eastAsia" w:ascii="宋体" w:hAnsi="宋体" w:cs="宋体"/>
                <w:b/>
                <w:color w:val="auto"/>
                <w:sz w:val="21"/>
                <w:szCs w:val="21"/>
                <w:highlight w:val="yellow"/>
                <w:lang w:val="en-US" w:eastAsia="zh-CN"/>
              </w:rPr>
              <w:t>消毒</w:t>
            </w:r>
            <w:r>
              <w:rPr>
                <w:rFonts w:hint="eastAsia" w:ascii="宋体" w:hAnsi="宋体" w:eastAsia="宋体" w:cs="宋体"/>
                <w:b/>
                <w:color w:val="auto"/>
                <w:sz w:val="21"/>
                <w:szCs w:val="21"/>
                <w:highlight w:val="yellow"/>
              </w:rPr>
              <w:t>效果的检测报告，</w:t>
            </w:r>
            <w:r>
              <w:rPr>
                <w:rFonts w:hint="eastAsia" w:ascii="宋体" w:hAnsi="宋体" w:cs="宋体"/>
                <w:b/>
                <w:color w:val="auto"/>
                <w:sz w:val="21"/>
                <w:szCs w:val="21"/>
                <w:highlight w:val="yellow"/>
                <w:lang w:val="en-US" w:eastAsia="zh-CN"/>
              </w:rPr>
              <w:t>内容需</w:t>
            </w:r>
            <w:r>
              <w:rPr>
                <w:rFonts w:hint="eastAsia" w:ascii="宋体" w:hAnsi="宋体" w:eastAsia="宋体" w:cs="宋体"/>
                <w:b/>
                <w:color w:val="auto"/>
                <w:sz w:val="21"/>
                <w:szCs w:val="21"/>
                <w:highlight w:val="yellow"/>
              </w:rPr>
              <w:t>包含以上数据参数）</w:t>
            </w:r>
          </w:p>
        </w:tc>
        <w:tc>
          <w:tcPr>
            <w:tcW w:w="817" w:type="dxa"/>
          </w:tcPr>
          <w:p w14:paraId="203F282C">
            <w:pPr>
              <w:adjustRightInd w:val="0"/>
              <w:snapToGrid w:val="0"/>
              <w:rPr>
                <w:rFonts w:asciiTheme="majorEastAsia" w:hAnsiTheme="majorEastAsia" w:eastAsiaTheme="majorEastAsia"/>
                <w:b/>
                <w:sz w:val="24"/>
                <w:szCs w:val="21"/>
              </w:rPr>
            </w:pPr>
          </w:p>
        </w:tc>
      </w:tr>
      <w:tr w14:paraId="1F273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42AC9C18">
            <w:pPr>
              <w:adjustRightInd w:val="0"/>
              <w:snapToGrid w:val="0"/>
              <w:rPr>
                <w:rFonts w:asciiTheme="majorEastAsia" w:hAnsiTheme="majorEastAsia" w:eastAsiaTheme="majorEastAsia"/>
                <w:b/>
                <w:sz w:val="24"/>
                <w:szCs w:val="21"/>
              </w:rPr>
            </w:pPr>
          </w:p>
        </w:tc>
        <w:tc>
          <w:tcPr>
            <w:tcW w:w="935" w:type="dxa"/>
            <w:vMerge w:val="continue"/>
          </w:tcPr>
          <w:p w14:paraId="1DF24ABB">
            <w:pPr>
              <w:adjustRightInd w:val="0"/>
              <w:snapToGrid w:val="0"/>
              <w:rPr>
                <w:rFonts w:asciiTheme="majorEastAsia" w:hAnsiTheme="majorEastAsia" w:eastAsiaTheme="majorEastAsia"/>
                <w:b/>
                <w:sz w:val="24"/>
                <w:szCs w:val="21"/>
              </w:rPr>
            </w:pPr>
          </w:p>
        </w:tc>
        <w:tc>
          <w:tcPr>
            <w:tcW w:w="7564" w:type="dxa"/>
            <w:gridSpan w:val="2"/>
            <w:vAlign w:val="top"/>
          </w:tcPr>
          <w:p w14:paraId="0E9D7203">
            <w:pPr>
              <w:keepNext w:val="0"/>
              <w:keepLines w:val="0"/>
              <w:pageBreakBefore w:val="0"/>
              <w:widowControl w:val="0"/>
              <w:numPr>
                <w:ilvl w:val="-1"/>
                <w:numId w:val="0"/>
              </w:numPr>
              <w:kinsoku/>
              <w:wordWrap/>
              <w:overflowPunct/>
              <w:topLinePunct w:val="0"/>
              <w:autoSpaceDE/>
              <w:autoSpaceDN/>
              <w:bidi w:val="0"/>
              <w:spacing w:after="0" w:line="240" w:lineRule="auto"/>
              <w:ind w:left="0" w:leftChars="0" w:firstLine="0" w:firstLineChars="0"/>
              <w:jc w:val="left"/>
              <w:textAlignment w:val="auto"/>
              <w:rPr>
                <w:rFonts w:hint="eastAsia" w:ascii="宋体" w:hAnsi="宋体" w:eastAsia="宋体" w:cs="宋体"/>
                <w:bCs/>
                <w:color w:val="auto"/>
                <w:sz w:val="21"/>
                <w:szCs w:val="21"/>
                <w:highlight w:val="none"/>
              </w:rPr>
            </w:pPr>
            <w:r>
              <w:rPr>
                <w:rFonts w:hint="eastAsia" w:ascii="宋体" w:hAnsi="宋体" w:cs="宋体"/>
                <w:bCs/>
                <w:color w:val="auto"/>
                <w:sz w:val="21"/>
                <w:szCs w:val="21"/>
                <w:highlight w:val="none"/>
                <w:lang w:val="en-US" w:eastAsia="zh-CN"/>
              </w:rPr>
              <w:t>20、</w:t>
            </w:r>
            <w:r>
              <w:rPr>
                <w:rFonts w:hint="eastAsia" w:ascii="宋体" w:hAnsi="宋体" w:eastAsia="宋体" w:cs="宋体"/>
                <w:bCs/>
                <w:color w:val="auto"/>
                <w:sz w:val="21"/>
                <w:szCs w:val="21"/>
                <w:highlight w:val="none"/>
              </w:rPr>
              <w:t>清洗消毒器使用过氧乙酸消毒剂时，模拟内镜内管腔、外表面、洗消槽及密封门的残留消毒剂浓度应</w:t>
            </w:r>
            <w:r>
              <w:rPr>
                <w:rFonts w:hint="eastAsia" w:ascii="宋体" w:hAnsi="宋体" w:cs="宋体"/>
                <w:bCs/>
                <w:color w:val="auto"/>
                <w:sz w:val="21"/>
                <w:szCs w:val="21"/>
                <w:highlight w:val="none"/>
                <w:lang w:val="en-US" w:eastAsia="zh-CN"/>
              </w:rPr>
              <w:t>≤</w:t>
            </w:r>
            <w:r>
              <w:rPr>
                <w:rFonts w:hint="eastAsia" w:ascii="宋体" w:hAnsi="宋体" w:eastAsia="宋体" w:cs="宋体"/>
                <w:bCs/>
                <w:color w:val="auto"/>
                <w:sz w:val="21"/>
                <w:szCs w:val="21"/>
                <w:highlight w:val="none"/>
              </w:rPr>
              <w:t>3ppm(0.0003%)</w:t>
            </w:r>
          </w:p>
          <w:p w14:paraId="38C12392">
            <w:pPr>
              <w:keepNext w:val="0"/>
              <w:keepLines w:val="0"/>
              <w:pageBreakBefore w:val="0"/>
              <w:widowControl w:val="0"/>
              <w:numPr>
                <w:ilvl w:val="0"/>
                <w:numId w:val="0"/>
              </w:numPr>
              <w:kinsoku/>
              <w:wordWrap/>
              <w:overflowPunct/>
              <w:topLinePunct w:val="0"/>
              <w:autoSpaceDE/>
              <w:autoSpaceDN/>
              <w:bidi w:val="0"/>
              <w:spacing w:after="0" w:line="240" w:lineRule="auto"/>
              <w:ind w:leftChars="0"/>
              <w:jc w:val="left"/>
              <w:textAlignment w:val="auto"/>
              <w:rPr>
                <w:rFonts w:ascii="宋体" w:hAnsi="宋体" w:cs="宋体"/>
                <w:color w:val="000000" w:themeColor="text1"/>
                <w:szCs w:val="21"/>
                <w14:textFill>
                  <w14:solidFill>
                    <w14:schemeClr w14:val="tx1"/>
                  </w14:solidFill>
                </w14:textFill>
              </w:rPr>
            </w:pPr>
            <w:r>
              <w:rPr>
                <w:rFonts w:hint="eastAsia" w:ascii="宋体" w:hAnsi="宋体" w:eastAsia="宋体" w:cs="宋体"/>
                <w:b/>
                <w:color w:val="auto"/>
                <w:sz w:val="21"/>
                <w:szCs w:val="21"/>
                <w:highlight w:val="yellow"/>
              </w:rPr>
              <w:t>（提供第三方检测机构出具的清洗效果的检测报告，</w:t>
            </w:r>
            <w:r>
              <w:rPr>
                <w:rFonts w:hint="eastAsia" w:ascii="宋体" w:hAnsi="宋体" w:cs="宋体"/>
                <w:b/>
                <w:color w:val="auto"/>
                <w:sz w:val="21"/>
                <w:szCs w:val="21"/>
                <w:highlight w:val="yellow"/>
                <w:lang w:val="en-US" w:eastAsia="zh-CN"/>
              </w:rPr>
              <w:t>内容需</w:t>
            </w:r>
            <w:r>
              <w:rPr>
                <w:rFonts w:hint="eastAsia" w:ascii="宋体" w:hAnsi="宋体" w:eastAsia="宋体" w:cs="宋体"/>
                <w:b/>
                <w:color w:val="auto"/>
                <w:sz w:val="21"/>
                <w:szCs w:val="21"/>
                <w:highlight w:val="yellow"/>
              </w:rPr>
              <w:t>包含以上数据参数）</w:t>
            </w:r>
          </w:p>
        </w:tc>
        <w:tc>
          <w:tcPr>
            <w:tcW w:w="817" w:type="dxa"/>
          </w:tcPr>
          <w:p w14:paraId="4A7BD446">
            <w:pPr>
              <w:adjustRightInd w:val="0"/>
              <w:snapToGrid w:val="0"/>
              <w:rPr>
                <w:rFonts w:asciiTheme="majorEastAsia" w:hAnsiTheme="majorEastAsia" w:eastAsiaTheme="majorEastAsia"/>
                <w:b/>
                <w:sz w:val="24"/>
                <w:szCs w:val="21"/>
              </w:rPr>
            </w:pPr>
          </w:p>
        </w:tc>
      </w:tr>
      <w:tr w14:paraId="7CEEA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631622BE">
            <w:pPr>
              <w:adjustRightInd w:val="0"/>
              <w:snapToGrid w:val="0"/>
              <w:rPr>
                <w:rFonts w:asciiTheme="majorEastAsia" w:hAnsiTheme="majorEastAsia" w:eastAsiaTheme="majorEastAsia"/>
                <w:b/>
                <w:sz w:val="24"/>
                <w:szCs w:val="21"/>
              </w:rPr>
            </w:pPr>
          </w:p>
        </w:tc>
        <w:tc>
          <w:tcPr>
            <w:tcW w:w="935" w:type="dxa"/>
            <w:vMerge w:val="continue"/>
          </w:tcPr>
          <w:p w14:paraId="4DA962FD">
            <w:pPr>
              <w:adjustRightInd w:val="0"/>
              <w:snapToGrid w:val="0"/>
              <w:rPr>
                <w:rFonts w:asciiTheme="majorEastAsia" w:hAnsiTheme="majorEastAsia" w:eastAsiaTheme="majorEastAsia"/>
                <w:b/>
                <w:sz w:val="24"/>
                <w:szCs w:val="21"/>
              </w:rPr>
            </w:pPr>
          </w:p>
        </w:tc>
        <w:tc>
          <w:tcPr>
            <w:tcW w:w="7564" w:type="dxa"/>
            <w:gridSpan w:val="2"/>
            <w:vAlign w:val="top"/>
          </w:tcPr>
          <w:p w14:paraId="18BA41FD">
            <w:pPr>
              <w:keepNext w:val="0"/>
              <w:keepLines w:val="0"/>
              <w:pageBreakBefore w:val="0"/>
              <w:widowControl w:val="0"/>
              <w:kinsoku/>
              <w:wordWrap/>
              <w:overflowPunct/>
              <w:topLinePunct w:val="0"/>
              <w:autoSpaceDE/>
              <w:autoSpaceDN/>
              <w:bidi w:val="0"/>
              <w:spacing w:after="0" w:line="240" w:lineRule="auto"/>
              <w:jc w:val="left"/>
              <w:textAlignment w:val="auto"/>
              <w:rPr>
                <w:rFonts w:ascii="宋体" w:hAnsi="宋体" w:cs="宋体"/>
                <w:color w:val="000000" w:themeColor="text1"/>
                <w:szCs w:val="21"/>
                <w14:textFill>
                  <w14:solidFill>
                    <w14:schemeClr w14:val="tx1"/>
                  </w14:solidFill>
                </w14:textFill>
              </w:rPr>
            </w:pPr>
            <w:r>
              <w:rPr>
                <w:rFonts w:hint="eastAsia" w:ascii="宋体" w:hAnsi="宋体" w:cs="宋体"/>
                <w:bCs/>
                <w:color w:val="auto"/>
                <w:sz w:val="21"/>
                <w:szCs w:val="21"/>
                <w:highlight w:val="none"/>
                <w:lang w:val="en-US" w:eastAsia="zh-CN"/>
              </w:rPr>
              <w:t>21</w:t>
            </w:r>
            <w:r>
              <w:rPr>
                <w:rFonts w:hint="eastAsia" w:ascii="宋体" w:hAnsi="宋体" w:eastAsia="宋体" w:cs="宋体"/>
                <w:bCs/>
                <w:color w:val="auto"/>
                <w:sz w:val="21"/>
                <w:szCs w:val="21"/>
                <w:highlight w:val="none"/>
                <w:lang w:val="en-US" w:eastAsia="zh-CN"/>
              </w:rPr>
              <w:t>、</w:t>
            </w:r>
            <w:r>
              <w:rPr>
                <w:rFonts w:hint="eastAsia" w:ascii="宋体" w:hAnsi="宋体" w:eastAsia="宋体" w:cs="宋体"/>
                <w:color w:val="auto"/>
                <w:kern w:val="0"/>
                <w:sz w:val="21"/>
                <w:szCs w:val="21"/>
                <w:highlight w:val="none"/>
              </w:rPr>
              <w:t>配备热敏打印</w:t>
            </w:r>
            <w:r>
              <w:rPr>
                <w:rFonts w:hint="eastAsia" w:ascii="宋体" w:hAnsi="宋体" w:cs="宋体"/>
                <w:color w:val="auto"/>
                <w:kern w:val="0"/>
                <w:sz w:val="21"/>
                <w:szCs w:val="21"/>
                <w:highlight w:val="none"/>
                <w:lang w:val="en-US" w:eastAsia="zh-CN"/>
              </w:rPr>
              <w:t>系统</w:t>
            </w:r>
            <w:r>
              <w:rPr>
                <w:rFonts w:hint="eastAsia" w:ascii="宋体" w:hAnsi="宋体" w:eastAsia="宋体" w:cs="宋体"/>
                <w:color w:val="auto"/>
                <w:kern w:val="0"/>
                <w:sz w:val="21"/>
                <w:szCs w:val="21"/>
                <w:highlight w:val="none"/>
              </w:rPr>
              <w:t>，能够追溯每条内镜的清洗情况</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清洗程序、清洗消毒的时间日期等</w:t>
            </w:r>
          </w:p>
        </w:tc>
        <w:tc>
          <w:tcPr>
            <w:tcW w:w="817" w:type="dxa"/>
          </w:tcPr>
          <w:p w14:paraId="0F3BCF3F">
            <w:pPr>
              <w:adjustRightInd w:val="0"/>
              <w:snapToGrid w:val="0"/>
              <w:rPr>
                <w:rFonts w:asciiTheme="majorEastAsia" w:hAnsiTheme="majorEastAsia" w:eastAsiaTheme="majorEastAsia"/>
                <w:b/>
                <w:sz w:val="24"/>
                <w:szCs w:val="21"/>
              </w:rPr>
            </w:pPr>
          </w:p>
        </w:tc>
      </w:tr>
      <w:tr w14:paraId="44D10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26" w:type="dxa"/>
            <w:gridSpan w:val="5"/>
          </w:tcPr>
          <w:p w14:paraId="097EB0FF">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8"/>
                <w:szCs w:val="21"/>
              </w:rPr>
              <w:t>二、</w:t>
            </w:r>
            <w:r>
              <w:rPr>
                <w:rFonts w:hint="eastAsia" w:cs="宋体" w:asciiTheme="majorEastAsia" w:hAnsiTheme="majorEastAsia" w:eastAsiaTheme="majorEastAsia"/>
                <w:sz w:val="24"/>
              </w:rPr>
              <w:t>★</w:t>
            </w:r>
            <w:r>
              <w:rPr>
                <w:rFonts w:hint="eastAsia" w:asciiTheme="majorEastAsia" w:hAnsiTheme="majorEastAsia" w:eastAsiaTheme="majorEastAsia"/>
                <w:b/>
                <w:sz w:val="28"/>
                <w:szCs w:val="21"/>
              </w:rPr>
              <w:t>商务需求</w:t>
            </w:r>
          </w:p>
        </w:tc>
      </w:tr>
      <w:tr w14:paraId="21E3C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765" w:type="dxa"/>
            <w:gridSpan w:val="3"/>
          </w:tcPr>
          <w:p w14:paraId="051B9FF2">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rPr>
              <w:t>一、到货时间</w:t>
            </w:r>
            <w:r>
              <w:rPr>
                <w:rFonts w:asciiTheme="majorEastAsia" w:hAnsiTheme="majorEastAsia" w:eastAsiaTheme="majorEastAsia"/>
                <w:b/>
                <w:sz w:val="24"/>
                <w:szCs w:val="21"/>
              </w:rPr>
              <w:t xml:space="preserve"> </w:t>
            </w:r>
          </w:p>
        </w:tc>
        <w:tc>
          <w:tcPr>
            <w:tcW w:w="8261" w:type="dxa"/>
            <w:gridSpan w:val="2"/>
          </w:tcPr>
          <w:p w14:paraId="42E68FC7">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highlight w:val="yellow"/>
              </w:rPr>
              <w:t>合同签订后并接采购人通知___</w:t>
            </w:r>
            <w:r>
              <w:rPr>
                <w:rFonts w:hint="eastAsia" w:asciiTheme="majorEastAsia" w:hAnsiTheme="majorEastAsia" w:eastAsiaTheme="majorEastAsia"/>
                <w:b/>
                <w:sz w:val="24"/>
                <w:szCs w:val="21"/>
                <w:highlight w:val="yellow"/>
                <w:lang w:val="en-US" w:eastAsia="zh-CN"/>
              </w:rPr>
              <w:t>45</w:t>
            </w:r>
            <w:r>
              <w:rPr>
                <w:rFonts w:hint="eastAsia" w:asciiTheme="majorEastAsia" w:hAnsiTheme="majorEastAsia" w:eastAsiaTheme="majorEastAsia"/>
                <w:b/>
                <w:sz w:val="24"/>
                <w:szCs w:val="21"/>
                <w:highlight w:val="yellow"/>
              </w:rPr>
              <w:t>__日历日内。</w:t>
            </w:r>
          </w:p>
        </w:tc>
      </w:tr>
      <w:tr w14:paraId="66454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765" w:type="dxa"/>
            <w:gridSpan w:val="3"/>
          </w:tcPr>
          <w:p w14:paraId="373960A9">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rPr>
              <w:t>二、交货地点：</w:t>
            </w:r>
          </w:p>
        </w:tc>
        <w:tc>
          <w:tcPr>
            <w:tcW w:w="8261" w:type="dxa"/>
            <w:gridSpan w:val="2"/>
          </w:tcPr>
          <w:p w14:paraId="494CC7D6">
            <w:pPr>
              <w:adjustRightInd w:val="0"/>
              <w:snapToGrid w:val="0"/>
              <w:rPr>
                <w:rFonts w:asciiTheme="majorEastAsia" w:hAnsiTheme="majorEastAsia" w:eastAsiaTheme="majorEastAsia"/>
                <w:b/>
                <w:sz w:val="24"/>
                <w:szCs w:val="21"/>
              </w:rPr>
            </w:pPr>
            <w:r>
              <w:rPr>
                <w:rFonts w:asciiTheme="majorEastAsia" w:hAnsiTheme="majorEastAsia" w:eastAsiaTheme="majorEastAsia"/>
                <w:b/>
                <w:sz w:val="24"/>
                <w:szCs w:val="21"/>
              </w:rPr>
              <w:t>采购人指定地点</w:t>
            </w:r>
          </w:p>
        </w:tc>
      </w:tr>
      <w:tr w14:paraId="6AD5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765" w:type="dxa"/>
            <w:gridSpan w:val="3"/>
          </w:tcPr>
          <w:p w14:paraId="15A2A534">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rPr>
              <w:t>三、报价要求：</w:t>
            </w:r>
          </w:p>
        </w:tc>
        <w:tc>
          <w:tcPr>
            <w:tcW w:w="8261" w:type="dxa"/>
            <w:gridSpan w:val="2"/>
          </w:tcPr>
          <w:p w14:paraId="2FE98A0C">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szCs w:val="21"/>
              </w:rPr>
              <w:t>报价必须是完成该项目的一切费用总和，包括设备费、运输费、装卸费、保险费、技术培训费、设备安装费、调试费、售后服务费、国家规定的各项税费等全部费用</w:t>
            </w:r>
          </w:p>
        </w:tc>
      </w:tr>
      <w:tr w14:paraId="05EFD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765" w:type="dxa"/>
            <w:gridSpan w:val="3"/>
          </w:tcPr>
          <w:p w14:paraId="4F4DF721">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rPr>
              <w:t>四、付款方式</w:t>
            </w:r>
          </w:p>
        </w:tc>
        <w:tc>
          <w:tcPr>
            <w:tcW w:w="8261" w:type="dxa"/>
            <w:gridSpan w:val="2"/>
          </w:tcPr>
          <w:p w14:paraId="4C27DDDD">
            <w:pPr>
              <w:adjustRightInd w:val="0"/>
              <w:snapToGrid w:val="0"/>
              <w:ind w:firstLine="420" w:firstLineChars="200"/>
              <w:rPr>
                <w:rFonts w:hint="eastAsia" w:asciiTheme="minorEastAsia" w:hAnsiTheme="minorEastAsia" w:eastAsiaTheme="minorEastAsia"/>
                <w:bCs/>
                <w:szCs w:val="21"/>
                <w:lang w:eastAsia="zh-CN"/>
              </w:rPr>
            </w:pPr>
            <w:r>
              <w:rPr>
                <w:rFonts w:hint="eastAsia" w:asciiTheme="minorEastAsia" w:hAnsiTheme="minorEastAsia" w:eastAsiaTheme="minorEastAsia"/>
                <w:bCs/>
                <w:szCs w:val="21"/>
                <w:lang w:eastAsia="zh-CN"/>
              </w:rPr>
              <w:t>合同总价≥3万付款方式：</w:t>
            </w:r>
          </w:p>
          <w:p w14:paraId="7CD83C4A">
            <w:pPr>
              <w:adjustRightInd w:val="0"/>
              <w:snapToGrid w:val="0"/>
              <w:ind w:firstLine="420" w:firstLineChars="200"/>
              <w:rPr>
                <w:rFonts w:hint="eastAsia" w:asciiTheme="minorEastAsia" w:hAnsiTheme="minorEastAsia" w:eastAsiaTheme="minorEastAsia"/>
                <w:bCs/>
                <w:szCs w:val="21"/>
                <w:lang w:eastAsia="zh-CN"/>
              </w:rPr>
            </w:pPr>
            <w:r>
              <w:rPr>
                <w:rFonts w:hint="eastAsia" w:asciiTheme="minorEastAsia" w:hAnsiTheme="minorEastAsia" w:eastAsiaTheme="minorEastAsia"/>
                <w:bCs/>
                <w:szCs w:val="21"/>
                <w:lang w:eastAsia="zh-CN"/>
              </w:rPr>
              <w:t>合同签订后三个工作日内，中标人将采购合同总价5%的履约保证金汇入采购人指定账户。货到清点、安装调试验收合格正常使用后，出具全额发票，采购人凭中标人提供的完整资料，自发票到达采购人财务之日起10个工作日内，支付100%合同货款到中标人指定账户。</w:t>
            </w:r>
          </w:p>
          <w:p w14:paraId="1CBC4239">
            <w:pPr>
              <w:adjustRightInd w:val="0"/>
              <w:snapToGrid w:val="0"/>
              <w:ind w:firstLine="420" w:firstLineChars="200"/>
              <w:rPr>
                <w:rFonts w:hint="eastAsia" w:asciiTheme="minorEastAsia" w:hAnsiTheme="minorEastAsia" w:eastAsiaTheme="minorEastAsia"/>
                <w:bCs/>
                <w:szCs w:val="21"/>
                <w:lang w:eastAsia="zh-CN"/>
              </w:rPr>
            </w:pPr>
            <w:r>
              <w:rPr>
                <w:rFonts w:hint="eastAsia" w:asciiTheme="minorEastAsia" w:hAnsiTheme="minorEastAsia" w:eastAsiaTheme="minorEastAsia"/>
                <w:bCs/>
                <w:szCs w:val="21"/>
                <w:lang w:eastAsia="zh-CN"/>
              </w:rPr>
              <w:t>中标人向采购人支付合同总价5%的履约保证金，用于补偿采购人因中标人不履行/不妥善履行合同约定义务而蒙受的损失，如中标人不履行/不妥善履行合同约定义务的，采购人有权直接从履约保证金中扣除相应违约金/损失赔偿款项。如果在合同签订后至中标人履行完毕合同约定义务事项期间未发生中标人不履行或不妥善履行合同约定义务的情况，在中标人履行完毕合同约定义务事项后，中标人向采购人提供完整资料到达采购人财务之日起10个工作日内，采购人将履约保证金无息返还给中标人。</w:t>
            </w:r>
          </w:p>
          <w:p w14:paraId="4E37B726">
            <w:pPr>
              <w:adjustRightInd w:val="0"/>
              <w:snapToGrid w:val="0"/>
              <w:ind w:firstLine="420" w:firstLineChars="200"/>
              <w:rPr>
                <w:rFonts w:hint="eastAsia" w:asciiTheme="minorEastAsia" w:hAnsiTheme="minorEastAsia" w:eastAsiaTheme="minorEastAsia"/>
                <w:bCs/>
                <w:szCs w:val="21"/>
                <w:lang w:eastAsia="zh-CN"/>
              </w:rPr>
            </w:pPr>
            <w:r>
              <w:rPr>
                <w:rFonts w:hint="eastAsia" w:asciiTheme="minorEastAsia" w:hAnsiTheme="minorEastAsia" w:eastAsiaTheme="minorEastAsia"/>
                <w:bCs/>
                <w:szCs w:val="21"/>
                <w:lang w:eastAsia="zh-CN"/>
              </w:rPr>
              <w:t>合同总价＜3万付款方式：</w:t>
            </w:r>
          </w:p>
          <w:p w14:paraId="52C4F8EB">
            <w:pPr>
              <w:adjustRightInd w:val="0"/>
              <w:snapToGrid w:val="0"/>
              <w:ind w:firstLine="420" w:firstLineChars="200"/>
              <w:rPr>
                <w:rFonts w:asciiTheme="majorEastAsia" w:hAnsiTheme="majorEastAsia" w:eastAsiaTheme="majorEastAsia"/>
                <w:b/>
                <w:sz w:val="24"/>
                <w:szCs w:val="21"/>
              </w:rPr>
            </w:pPr>
            <w:r>
              <w:rPr>
                <w:rFonts w:hint="eastAsia" w:asciiTheme="minorEastAsia" w:hAnsiTheme="minorEastAsia" w:eastAsiaTheme="minorEastAsia"/>
                <w:bCs/>
                <w:szCs w:val="21"/>
                <w:lang w:eastAsia="zh-CN"/>
              </w:rPr>
              <w:t>货到清点、安装调试验收合格正常使用后，出具全额发票，采购人凭中标人提供的完整资料，自发票到达采购人财务之日起10个工作日内，支付100%合同货款到中标人指定账户。</w:t>
            </w:r>
          </w:p>
        </w:tc>
      </w:tr>
      <w:tr w14:paraId="1BBD4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765" w:type="dxa"/>
            <w:gridSpan w:val="3"/>
          </w:tcPr>
          <w:p w14:paraId="6446E8D0">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rPr>
              <w:t>五、交货要求</w:t>
            </w:r>
          </w:p>
        </w:tc>
        <w:tc>
          <w:tcPr>
            <w:tcW w:w="8261" w:type="dxa"/>
            <w:gridSpan w:val="2"/>
          </w:tcPr>
          <w:p w14:paraId="30655279">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 xml:space="preserve">5.1 </w:t>
            </w:r>
            <w:r>
              <w:rPr>
                <w:rFonts w:asciiTheme="minorEastAsia" w:hAnsiTheme="minorEastAsia" w:eastAsiaTheme="minorEastAsia"/>
                <w:bCs/>
                <w:szCs w:val="21"/>
              </w:rPr>
              <w:t>中标</w:t>
            </w:r>
            <w:r>
              <w:rPr>
                <w:rFonts w:hint="eastAsia" w:asciiTheme="minorEastAsia" w:hAnsiTheme="minorEastAsia" w:eastAsiaTheme="minorEastAsia"/>
                <w:bCs/>
                <w:szCs w:val="21"/>
              </w:rPr>
              <w:t>人</w:t>
            </w:r>
            <w:r>
              <w:rPr>
                <w:rFonts w:asciiTheme="minorEastAsia" w:hAnsiTheme="minorEastAsia" w:eastAsiaTheme="minorEastAsia"/>
                <w:bCs/>
                <w:szCs w:val="21"/>
              </w:rPr>
              <w:t>应向采购人提供</w:t>
            </w:r>
            <w:r>
              <w:rPr>
                <w:rFonts w:hint="eastAsia" w:asciiTheme="minorEastAsia" w:hAnsiTheme="minorEastAsia" w:eastAsiaTheme="minorEastAsia"/>
                <w:bCs/>
                <w:szCs w:val="21"/>
              </w:rPr>
              <w:t>配置清单、产品说明书、图纸、操作手册、中文操作使用说明书、</w:t>
            </w:r>
            <w:r>
              <w:rPr>
                <w:rFonts w:asciiTheme="minorEastAsia" w:hAnsiTheme="minorEastAsia" w:eastAsiaTheme="minorEastAsia"/>
                <w:bCs/>
                <w:szCs w:val="21"/>
              </w:rPr>
              <w:t>设备原厂维护手册、维修手册、软件备份、故障代码表、备件清单、零部件、</w:t>
            </w:r>
            <w:r>
              <w:rPr>
                <w:rFonts w:hint="eastAsia" w:asciiTheme="minorEastAsia" w:hAnsiTheme="minorEastAsia" w:eastAsiaTheme="minorEastAsia"/>
                <w:bCs/>
                <w:szCs w:val="21"/>
              </w:rPr>
              <w:t>维护手册（含维修密码及接口数据）等维护维修必需的材料和信息。所有外文资料需提供中文译本。文件应随货物一并交付至采购人指定地点。</w:t>
            </w:r>
          </w:p>
          <w:p w14:paraId="29B729EE">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5.2提供的货物必须为全新货物，出厂日期</w:t>
            </w:r>
            <w:r>
              <w:rPr>
                <w:rFonts w:hint="eastAsia" w:ascii="宋体" w:hAnsi="宋体"/>
                <w:szCs w:val="21"/>
              </w:rPr>
              <w:t>原则上</w:t>
            </w:r>
            <w:r>
              <w:rPr>
                <w:rFonts w:hint="eastAsia" w:asciiTheme="minorEastAsia" w:hAnsiTheme="minorEastAsia" w:eastAsiaTheme="minorEastAsia"/>
                <w:bCs/>
                <w:szCs w:val="21"/>
              </w:rPr>
              <w:t>在采购人收到日期前</w:t>
            </w:r>
            <w:r>
              <w:rPr>
                <w:rFonts w:asciiTheme="minorEastAsia" w:hAnsiTheme="minorEastAsia" w:eastAsiaTheme="minorEastAsia"/>
                <w:bCs/>
                <w:szCs w:val="21"/>
              </w:rPr>
              <w:t>12</w:t>
            </w:r>
            <w:r>
              <w:rPr>
                <w:rFonts w:hint="eastAsia" w:asciiTheme="minorEastAsia" w:hAnsiTheme="minorEastAsia" w:eastAsiaTheme="minorEastAsia"/>
                <w:bCs/>
                <w:szCs w:val="21"/>
              </w:rPr>
              <w:t>个月内经检验合格的产品</w:t>
            </w:r>
            <w:r>
              <w:rPr>
                <w:rFonts w:hint="eastAsia" w:ascii="宋体" w:hAnsi="宋体"/>
                <w:szCs w:val="21"/>
              </w:rPr>
              <w:t>，</w:t>
            </w:r>
            <w:r>
              <w:rPr>
                <w:rFonts w:hint="eastAsia" w:ascii="宋体" w:hAnsi="宋体"/>
                <w:color w:val="FF0000"/>
                <w:szCs w:val="21"/>
              </w:rPr>
              <w:t>若无法提供12个月内的产品，则采购人有权要求延长相应期限的产品保修期</w:t>
            </w:r>
            <w:r>
              <w:rPr>
                <w:rFonts w:hint="eastAsia" w:asciiTheme="minorEastAsia" w:hAnsiTheme="minorEastAsia" w:eastAsiaTheme="minorEastAsia"/>
                <w:bCs/>
                <w:szCs w:val="21"/>
              </w:rPr>
              <w:t>。产品如需要计量检定的应提供相关计量检定部门出具的合法检定报告。其中，进口设备必须具有报关证明文件、原产地证明和商检合格证明文件等相关证明文件，否则采购人概不接收。如国家规定的强检设备，由中标人负责完成首次计量强制检定，验收前中标人必须附上计量检定合格报告。</w:t>
            </w:r>
          </w:p>
          <w:p w14:paraId="4AB328F7">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5.3 采购人有权检验或测试货物，以确认货物是否符合合同规格的要求，并且不承担额外的费用。如发现所交货物与投标文件中所承诺的不符或存在质量、技术缺陷等,采购人可以拒绝接收该货物,中标人应在 7 日历日内采取补足、更换或退货等措施,以满足规格的要求，由此发生的一切损失和费用由中标人承担。</w:t>
            </w:r>
          </w:p>
          <w:p w14:paraId="0EE967F9">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5.4中标人负责货物的现场安装和调试,提供货物安装、调试和维修所需的专用工具和辅助材料。中标人应在货物运至指定地点后一周内开始安装调试,并在 30 日历日内安装调试完毕。</w:t>
            </w:r>
          </w:p>
          <w:p w14:paraId="322F0F82">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5.5货物安装需施工的，中标人应在合同签订前提供设备安装施工图纸，采购人与中标人共同签字确定安装场地施工方案。并承担设备的包装、运输、保险、装卸、安装调试、培训、商检及计量检测、关税、增值税和进口代理等费用。</w:t>
            </w:r>
          </w:p>
        </w:tc>
      </w:tr>
      <w:tr w14:paraId="08B58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765" w:type="dxa"/>
            <w:gridSpan w:val="3"/>
          </w:tcPr>
          <w:p w14:paraId="11EDCBD9">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rPr>
              <w:t xml:space="preserve">六、验收： </w:t>
            </w:r>
          </w:p>
        </w:tc>
        <w:tc>
          <w:tcPr>
            <w:tcW w:w="8261" w:type="dxa"/>
            <w:gridSpan w:val="2"/>
          </w:tcPr>
          <w:p w14:paraId="799830E2">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6.1中标人应派有经验的技术人员到现场进行安装、调试，直到设备正常使用。由采购人按合同和招标、投标文件约定的要求和标准及中华人民共和国现行的验收规范和评定标准进行交货验收。</w:t>
            </w:r>
          </w:p>
          <w:p w14:paraId="78FDD813">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 xml:space="preserve">6.2 验收要求：货物必须满足以下条件后方可被采购方接受： </w:t>
            </w:r>
          </w:p>
          <w:p w14:paraId="04CB5FFE">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1）货物具备产品合格证。</w:t>
            </w:r>
          </w:p>
          <w:p w14:paraId="5D8DE069">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2）设备全新,外观无伤痕变形或明显修饰痕迹。</w:t>
            </w:r>
          </w:p>
          <w:p w14:paraId="4537CF40">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3）如有国标，必须符合有关规定；如无国标，则按照行业标准；如无国标及行业标准，则按双方约定执行。投标文件提供的技术数据经实测证实是真实的。检验及质量保证期内达到的性能指标与要求一致，达到或优于相应标准。</w:t>
            </w:r>
          </w:p>
          <w:p w14:paraId="72340F0C">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4）技术文件资料、备件等已按规定数量移交完毕。</w:t>
            </w:r>
          </w:p>
          <w:p w14:paraId="2C4BF443">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5）按照招标书要求及投标文件提供的技术要求验收必须合格。</w:t>
            </w:r>
          </w:p>
          <w:p w14:paraId="23F16DD6">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6）中标人提供的各种文件载明的内容必须真实，采购人对产品的技术数据置疑时有权要求中标人按照双方认可的第三方检测机构出具的检验方法进行检测及鉴定(检测费用由中标人承担)，检测结果必须证明中标人提供的技术数据是真实的，否则视为不合格</w:t>
            </w:r>
          </w:p>
          <w:p w14:paraId="528A39BA">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7）在货物安装调试合格后，所有技术指标达到技术规范书要求，经验收合格后，双方共同签署验收报告。产品质保期自验收合格之日起算，由中标人提供产品质保文件。</w:t>
            </w:r>
          </w:p>
        </w:tc>
      </w:tr>
      <w:tr w14:paraId="3C2D6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765" w:type="dxa"/>
            <w:gridSpan w:val="3"/>
          </w:tcPr>
          <w:p w14:paraId="7AD2734A">
            <w:pPr>
              <w:adjustRightInd w:val="0"/>
              <w:snapToGrid w:val="0"/>
              <w:rPr>
                <w:rFonts w:asciiTheme="majorEastAsia" w:hAnsiTheme="majorEastAsia" w:eastAsiaTheme="majorEastAsia"/>
                <w:b/>
                <w:sz w:val="24"/>
                <w:szCs w:val="21"/>
                <w:highlight w:val="yellow"/>
              </w:rPr>
            </w:pPr>
            <w:r>
              <w:rPr>
                <w:rFonts w:hint="eastAsia" w:asciiTheme="majorEastAsia" w:hAnsiTheme="majorEastAsia" w:eastAsiaTheme="majorEastAsia"/>
                <w:b/>
                <w:sz w:val="24"/>
                <w:szCs w:val="21"/>
              </w:rPr>
              <w:t>七、售后服务要求：</w:t>
            </w:r>
          </w:p>
          <w:p w14:paraId="50173B16">
            <w:pPr>
              <w:adjustRightInd w:val="0"/>
              <w:snapToGrid w:val="0"/>
              <w:rPr>
                <w:rFonts w:asciiTheme="majorEastAsia" w:hAnsiTheme="majorEastAsia" w:eastAsiaTheme="majorEastAsia"/>
                <w:sz w:val="24"/>
                <w:szCs w:val="21"/>
              </w:rPr>
            </w:pPr>
          </w:p>
        </w:tc>
        <w:tc>
          <w:tcPr>
            <w:tcW w:w="8261" w:type="dxa"/>
            <w:gridSpan w:val="2"/>
          </w:tcPr>
          <w:p w14:paraId="6CE00A41">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highlight w:val="yellow"/>
              </w:rPr>
              <w:t>7.1</w:t>
            </w:r>
            <w:r>
              <w:rPr>
                <w:rFonts w:hint="eastAsia" w:ascii="宋体" w:hAnsi="宋体"/>
                <w:bCs/>
                <w:color w:val="FF0000"/>
                <w:szCs w:val="21"/>
                <w:highlight w:val="yellow"/>
              </w:rPr>
              <w:t>各投标人应在投标文件中承诺</w:t>
            </w:r>
            <w:r>
              <w:rPr>
                <w:rFonts w:hint="eastAsia" w:ascii="宋体" w:hAnsi="宋体"/>
                <w:bCs/>
                <w:color w:val="0070C0"/>
                <w:szCs w:val="21"/>
                <w:highlight w:val="yellow"/>
              </w:rPr>
              <w:t>报价已包含提供整机原厂保修期</w:t>
            </w:r>
            <w:r>
              <w:rPr>
                <w:rFonts w:hint="eastAsia" w:asciiTheme="minorEastAsia" w:hAnsiTheme="minorEastAsia" w:eastAsiaTheme="minorEastAsia"/>
                <w:bCs/>
                <w:color w:val="FF0000"/>
                <w:szCs w:val="21"/>
                <w:highlight w:val="yellow"/>
                <w:u w:val="single"/>
              </w:rPr>
              <w:t xml:space="preserve">  </w:t>
            </w:r>
            <w:r>
              <w:rPr>
                <w:rFonts w:hint="eastAsia" w:asciiTheme="minorEastAsia" w:hAnsiTheme="minorEastAsia" w:eastAsiaTheme="minorEastAsia"/>
                <w:bCs/>
                <w:color w:val="FF0000"/>
                <w:szCs w:val="21"/>
                <w:highlight w:val="yellow"/>
                <w:u w:val="single"/>
                <w:lang w:val="en-US" w:eastAsia="zh-CN"/>
              </w:rPr>
              <w:t>5</w:t>
            </w:r>
            <w:r>
              <w:rPr>
                <w:rFonts w:hint="eastAsia" w:asciiTheme="minorEastAsia" w:hAnsiTheme="minorEastAsia" w:eastAsiaTheme="minorEastAsia"/>
                <w:bCs/>
                <w:color w:val="FF0000"/>
                <w:szCs w:val="21"/>
                <w:highlight w:val="yellow"/>
                <w:u w:val="single"/>
              </w:rPr>
              <w:t xml:space="preserve">  </w:t>
            </w:r>
            <w:r>
              <w:rPr>
                <w:rFonts w:hint="eastAsia" w:asciiTheme="minorEastAsia" w:hAnsiTheme="minorEastAsia" w:eastAsiaTheme="minorEastAsia"/>
                <w:bCs/>
                <w:color w:val="FF0000"/>
                <w:szCs w:val="21"/>
                <w:highlight w:val="yellow"/>
              </w:rPr>
              <w:t>年</w:t>
            </w:r>
            <w:r>
              <w:rPr>
                <w:rFonts w:hint="eastAsia" w:asciiTheme="minorEastAsia" w:hAnsiTheme="minorEastAsia" w:eastAsiaTheme="minorEastAsia"/>
                <w:bCs/>
                <w:szCs w:val="21"/>
                <w:highlight w:val="yellow"/>
              </w:rPr>
              <w:t>，终身维修。</w:t>
            </w:r>
            <w:r>
              <w:rPr>
                <w:rFonts w:hint="eastAsia" w:ascii="宋体" w:hAnsi="宋体"/>
                <w:bCs/>
                <w:color w:val="0070C0"/>
                <w:szCs w:val="21"/>
              </w:rPr>
              <w:t>保修期</w:t>
            </w:r>
            <w:r>
              <w:rPr>
                <w:rFonts w:hint="eastAsia" w:asciiTheme="minorEastAsia" w:hAnsiTheme="minorEastAsia" w:eastAsiaTheme="minorEastAsia"/>
                <w:bCs/>
                <w:szCs w:val="21"/>
              </w:rPr>
              <w:t>内</w:t>
            </w:r>
            <w:r>
              <w:rPr>
                <w:rFonts w:asciiTheme="minorEastAsia" w:hAnsiTheme="minorEastAsia" w:eastAsiaTheme="minorEastAsia"/>
                <w:bCs/>
                <w:szCs w:val="21"/>
              </w:rPr>
              <w:t>,</w:t>
            </w:r>
            <w:r>
              <w:rPr>
                <w:rFonts w:hint="eastAsia" w:asciiTheme="minorEastAsia" w:hAnsiTheme="minorEastAsia" w:eastAsiaTheme="minorEastAsia"/>
                <w:bCs/>
                <w:szCs w:val="21"/>
              </w:rPr>
              <w:t>年度定期预防性维护保养次数应不少于 2 次并留存维护记录。</w:t>
            </w:r>
            <w:r>
              <w:rPr>
                <w:rFonts w:hint="eastAsia" w:asciiTheme="minorEastAsia" w:hAnsiTheme="minorEastAsia" w:eastAsiaTheme="minorEastAsia"/>
                <w:bCs/>
                <w:color w:val="0070C0"/>
                <w:szCs w:val="21"/>
              </w:rPr>
              <w:t>报价已包含</w:t>
            </w:r>
            <w:r>
              <w:rPr>
                <w:rFonts w:hint="eastAsia" w:ascii="宋体" w:hAnsi="宋体"/>
                <w:bCs/>
                <w:color w:val="0070C0"/>
                <w:szCs w:val="21"/>
              </w:rPr>
              <w:t>保修期</w:t>
            </w:r>
            <w:r>
              <w:rPr>
                <w:rFonts w:hint="eastAsia" w:asciiTheme="minorEastAsia" w:hAnsiTheme="minorEastAsia" w:eastAsiaTheme="minorEastAsia"/>
                <w:bCs/>
                <w:color w:val="0070C0"/>
                <w:szCs w:val="21"/>
              </w:rPr>
              <w:t>内更换零配件及工时费</w:t>
            </w:r>
            <w:r>
              <w:rPr>
                <w:rFonts w:hint="eastAsia" w:asciiTheme="minorEastAsia" w:hAnsiTheme="minorEastAsia" w:eastAsiaTheme="minorEastAsia"/>
                <w:bCs/>
                <w:szCs w:val="21"/>
              </w:rPr>
              <w:t>。</w:t>
            </w:r>
          </w:p>
          <w:p w14:paraId="293E158C">
            <w:pPr>
              <w:adjustRightInd w:val="0"/>
              <w:snapToGrid w:val="0"/>
              <w:ind w:firstLine="360" w:firstLineChars="200"/>
              <w:rPr>
                <w:rFonts w:asciiTheme="minorEastAsia" w:hAnsiTheme="minorEastAsia" w:eastAsiaTheme="minorEastAsia"/>
                <w:bCs/>
                <w:sz w:val="18"/>
                <w:szCs w:val="21"/>
              </w:rPr>
            </w:pPr>
            <w:r>
              <w:rPr>
                <w:rFonts w:hint="eastAsia" w:asciiTheme="minorEastAsia" w:hAnsiTheme="minorEastAsia" w:eastAsiaTheme="minorEastAsia"/>
                <w:bCs/>
                <w:sz w:val="18"/>
                <w:szCs w:val="21"/>
              </w:rPr>
              <w:t>（备注：质保期是指投标人应在该期间内对本项目下交付的所有货物提供质量保证，不包括消耗品的配送。）</w:t>
            </w:r>
          </w:p>
          <w:p w14:paraId="136240D9">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7.2    4小时内响应，24 小时维修到位（不可抗力情况除外）。消耗品和零配件供应及时，质保期</w:t>
            </w:r>
            <w:r>
              <w:rPr>
                <w:rFonts w:asciiTheme="minorEastAsia" w:hAnsiTheme="minorEastAsia" w:eastAsiaTheme="minorEastAsia"/>
                <w:bCs/>
                <w:szCs w:val="21"/>
              </w:rPr>
              <w:t>内及外设备出现故障不能正常使用，</w:t>
            </w:r>
            <w:r>
              <w:rPr>
                <w:rFonts w:asciiTheme="minorEastAsia" w:hAnsiTheme="minorEastAsia" w:eastAsiaTheme="minorEastAsia"/>
                <w:bCs/>
                <w:color w:val="0070C0"/>
                <w:szCs w:val="21"/>
              </w:rPr>
              <w:t>中标</w:t>
            </w:r>
            <w:r>
              <w:rPr>
                <w:rFonts w:hint="eastAsia" w:asciiTheme="minorEastAsia" w:hAnsiTheme="minorEastAsia" w:eastAsiaTheme="minorEastAsia"/>
                <w:bCs/>
                <w:color w:val="0070C0"/>
                <w:szCs w:val="21"/>
              </w:rPr>
              <w:t>人报价已包含</w:t>
            </w:r>
            <w:r>
              <w:rPr>
                <w:rFonts w:asciiTheme="minorEastAsia" w:hAnsiTheme="minorEastAsia" w:eastAsiaTheme="minorEastAsia"/>
                <w:bCs/>
                <w:color w:val="0070C0"/>
                <w:szCs w:val="21"/>
              </w:rPr>
              <w:t>提供备用机给采购人使用直至设备修复完好投入使用</w:t>
            </w:r>
            <w:r>
              <w:rPr>
                <w:rFonts w:hint="eastAsia" w:asciiTheme="minorEastAsia" w:hAnsiTheme="minorEastAsia" w:eastAsiaTheme="minorEastAsia"/>
                <w:bCs/>
                <w:color w:val="0070C0"/>
                <w:szCs w:val="21"/>
              </w:rPr>
              <w:t>的服务</w:t>
            </w:r>
            <w:r>
              <w:rPr>
                <w:rFonts w:asciiTheme="minorEastAsia" w:hAnsiTheme="minorEastAsia" w:eastAsiaTheme="minorEastAsia"/>
                <w:bCs/>
                <w:color w:val="0070C0"/>
                <w:szCs w:val="21"/>
              </w:rPr>
              <w:t>。</w:t>
            </w:r>
          </w:p>
          <w:p w14:paraId="2B7244F4">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7.3质保期满以后，中标人对设备终身负责维修、安装、升级软件服务，长期以优惠价提供零配件（中标供应商提供主要零配件报价单）。</w:t>
            </w:r>
          </w:p>
          <w:p w14:paraId="71CB2DF3">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7.4</w:t>
            </w:r>
            <w:r>
              <w:rPr>
                <w:rFonts w:hint="eastAsia" w:asciiTheme="minorEastAsia" w:hAnsiTheme="minorEastAsia" w:eastAsiaTheme="minorEastAsia"/>
                <w:bCs/>
                <w:color w:val="0070C0"/>
                <w:szCs w:val="21"/>
              </w:rPr>
              <w:t>报价已包含终身提供软件升级服务,并开放设备接口，派人配合与医院各信息系统的连接工作</w:t>
            </w:r>
            <w:r>
              <w:rPr>
                <w:rFonts w:hint="eastAsia" w:asciiTheme="minorEastAsia" w:hAnsiTheme="minorEastAsia" w:eastAsiaTheme="minorEastAsia"/>
                <w:bCs/>
                <w:szCs w:val="21"/>
              </w:rPr>
              <w:t>，直至该设备与医院信息系统可进行完整的数据交换；在设备保修期内，当医院信息系统变更并需要与该设备连接时，</w:t>
            </w:r>
            <w:r>
              <w:rPr>
                <w:rFonts w:hint="eastAsia" w:asciiTheme="minorEastAsia" w:hAnsiTheme="minorEastAsia" w:eastAsiaTheme="minorEastAsia"/>
                <w:bCs/>
                <w:color w:val="0070C0"/>
                <w:szCs w:val="21"/>
              </w:rPr>
              <w:t>需派人</w:t>
            </w:r>
            <w:r>
              <w:rPr>
                <w:rFonts w:hint="eastAsia" w:asciiTheme="minorEastAsia" w:hAnsiTheme="minorEastAsia" w:eastAsiaTheme="minorEastAsia"/>
                <w:bCs/>
                <w:szCs w:val="21"/>
              </w:rPr>
              <w:t>配合直至该设备与医院信息系统可进行完整的数据交换</w:t>
            </w:r>
            <w:r>
              <w:rPr>
                <w:rFonts w:hint="eastAsia" w:asciiTheme="minorEastAsia" w:hAnsiTheme="minorEastAsia" w:eastAsiaTheme="minorEastAsia"/>
                <w:bCs/>
                <w:color w:val="0070C0"/>
                <w:szCs w:val="21"/>
              </w:rPr>
              <w:t>，且采购人无需另行支付费用。</w:t>
            </w:r>
          </w:p>
          <w:p w14:paraId="7A84DA13">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7.5质保期内【设备故障率】≤【 5 】%。【设备故障率】未达要求的，每升高【1】%，质保期顺延【30 】天。当【设备故障率】≥【 10 】%时，投标人必须在采购人提出要求之日起【 30 】日内无条件更换新机，并按该设备总价的【5】%向采购人支付违约金，由此造成采购人其他损失的，中标人应另行赔偿。中标人维修的指定邮箱</w:t>
            </w:r>
            <w:r>
              <w:rPr>
                <w:rFonts w:asciiTheme="minorEastAsia" w:hAnsiTheme="minorEastAsia" w:eastAsiaTheme="minorEastAsia"/>
                <w:bCs/>
                <w:szCs w:val="21"/>
              </w:rPr>
              <w:t>，</w:t>
            </w:r>
            <w:r>
              <w:rPr>
                <w:rFonts w:hint="eastAsia" w:asciiTheme="minorEastAsia" w:hAnsiTheme="minorEastAsia" w:eastAsiaTheme="minorEastAsia"/>
                <w:bCs/>
                <w:szCs w:val="21"/>
              </w:rPr>
              <w:t>采购人维修通知的邮件发出后，视为采购人的维修通知送达中标人。</w:t>
            </w:r>
          </w:p>
          <w:p w14:paraId="7B1187FD">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7.6</w:t>
            </w:r>
            <w:r>
              <w:rPr>
                <w:rFonts w:hint="eastAsia"/>
              </w:rPr>
              <w:t>质保期满后，中标人应以优惠价供应维修零配件、消耗品。签订合同时填写合同模板中的《设备配套消耗材料报价单》和《设备主要维修配件报价单》。采购人可与中标人就优惠价进行谈判，但优惠价不得高于签订合同时承诺的维修零配件、消耗品的报价。</w:t>
            </w:r>
            <w:r>
              <w:rPr>
                <w:rFonts w:hint="eastAsia" w:asciiTheme="minorEastAsia" w:hAnsiTheme="minorEastAsia" w:eastAsiaTheme="minorEastAsia"/>
                <w:bCs/>
                <w:szCs w:val="21"/>
              </w:rPr>
              <w:t>质保期</w:t>
            </w:r>
            <w:r>
              <w:rPr>
                <w:rFonts w:asciiTheme="minorEastAsia" w:hAnsiTheme="minorEastAsia" w:eastAsiaTheme="minorEastAsia"/>
                <w:bCs/>
                <w:szCs w:val="21"/>
              </w:rPr>
              <w:t>满后，</w:t>
            </w:r>
            <w:r>
              <w:rPr>
                <w:rFonts w:hint="eastAsia" w:asciiTheme="minorEastAsia" w:hAnsiTheme="minorEastAsia" w:eastAsiaTheme="minorEastAsia"/>
                <w:bCs/>
                <w:szCs w:val="21"/>
              </w:rPr>
              <w:t>中标</w:t>
            </w:r>
            <w:r>
              <w:rPr>
                <w:rFonts w:asciiTheme="minorEastAsia" w:hAnsiTheme="minorEastAsia" w:eastAsiaTheme="minorEastAsia"/>
                <w:bCs/>
                <w:szCs w:val="21"/>
              </w:rPr>
              <w:t>人应以优惠价供应维修零配件、消耗品和延续保修合同。价格最高的前5项零配件、消耗品和延续保修合同的报价明细必须填写于《合同报价清单》中。采购人可与</w:t>
            </w:r>
            <w:r>
              <w:rPr>
                <w:rFonts w:hint="eastAsia" w:asciiTheme="minorEastAsia" w:hAnsiTheme="minorEastAsia" w:eastAsiaTheme="minorEastAsia"/>
                <w:bCs/>
                <w:szCs w:val="21"/>
              </w:rPr>
              <w:t>中标</w:t>
            </w:r>
            <w:r>
              <w:rPr>
                <w:rFonts w:asciiTheme="minorEastAsia" w:hAnsiTheme="minorEastAsia" w:eastAsiaTheme="minorEastAsia"/>
                <w:bCs/>
                <w:szCs w:val="21"/>
              </w:rPr>
              <w:t>人就优惠价进行谈判，但优惠价不得高于</w:t>
            </w:r>
            <w:r>
              <w:rPr>
                <w:rFonts w:hint="eastAsia" w:asciiTheme="minorEastAsia" w:hAnsiTheme="minorEastAsia" w:eastAsiaTheme="minorEastAsia"/>
                <w:bCs/>
                <w:szCs w:val="21"/>
              </w:rPr>
              <w:t>中标</w:t>
            </w:r>
            <w:r>
              <w:rPr>
                <w:rFonts w:asciiTheme="minorEastAsia" w:hAnsiTheme="minorEastAsia" w:eastAsiaTheme="minorEastAsia"/>
                <w:bCs/>
                <w:szCs w:val="21"/>
              </w:rPr>
              <w:t>人在投标文件的《零配件、消耗品和延续保修合同报价清单》中承诺的维修零配件、消耗品和延续保修合同的报价。</w:t>
            </w:r>
          </w:p>
        </w:tc>
      </w:tr>
      <w:tr w14:paraId="1060E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765" w:type="dxa"/>
            <w:gridSpan w:val="3"/>
          </w:tcPr>
          <w:p w14:paraId="7B2D83ED">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rPr>
              <w:t xml:space="preserve">八、培训要求 </w:t>
            </w:r>
          </w:p>
        </w:tc>
        <w:tc>
          <w:tcPr>
            <w:tcW w:w="8261" w:type="dxa"/>
            <w:gridSpan w:val="2"/>
          </w:tcPr>
          <w:p w14:paraId="74849A41">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需针对临床使用人员及工程人员设计培训方案，主要内容包括但不限于：临床使用及维护保养培训：设备的基本结构、性能、主要部件的构造及修理，日常使用保养与管理，常见故障的排除，紧急情况的处理等,直至能独立操作并附培训方案。</w:t>
            </w:r>
          </w:p>
        </w:tc>
      </w:tr>
      <w:tr w14:paraId="0F90F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765" w:type="dxa"/>
            <w:gridSpan w:val="3"/>
          </w:tcPr>
          <w:p w14:paraId="0FB8F288">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rPr>
              <w:t>九、违约责任</w:t>
            </w:r>
          </w:p>
        </w:tc>
        <w:tc>
          <w:tcPr>
            <w:tcW w:w="8261" w:type="dxa"/>
            <w:gridSpan w:val="2"/>
          </w:tcPr>
          <w:p w14:paraId="611024A9">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9.1中标人所交设备的品种、型号、规格、质量、功能、技术参数等方面不能实质性满足招标文件，</w:t>
            </w:r>
            <w:r>
              <w:rPr>
                <w:rFonts w:asciiTheme="minorEastAsia" w:hAnsiTheme="minorEastAsia" w:eastAsiaTheme="minorEastAsia"/>
                <w:bCs/>
                <w:szCs w:val="21"/>
              </w:rPr>
              <w:t>交付的货物不符合合同规定的</w:t>
            </w:r>
            <w:r>
              <w:rPr>
                <w:rFonts w:hint="eastAsia" w:asciiTheme="minorEastAsia" w:hAnsiTheme="minorEastAsia" w:eastAsiaTheme="minorEastAsia"/>
                <w:bCs/>
                <w:szCs w:val="21"/>
              </w:rPr>
              <w:t>，采购人有权拒绝收货，且中标</w:t>
            </w:r>
            <w:r>
              <w:rPr>
                <w:rFonts w:asciiTheme="minorEastAsia" w:hAnsiTheme="minorEastAsia" w:eastAsiaTheme="minorEastAsia"/>
                <w:bCs/>
                <w:szCs w:val="21"/>
              </w:rPr>
              <w:t>人向采购人支付合同总价的5%</w:t>
            </w:r>
            <w:r>
              <w:rPr>
                <w:rFonts w:hint="eastAsia" w:asciiTheme="minorEastAsia" w:hAnsiTheme="minorEastAsia" w:eastAsiaTheme="minorEastAsia"/>
                <w:bCs/>
                <w:szCs w:val="21"/>
              </w:rPr>
              <w:t>的违约金。</w:t>
            </w:r>
          </w:p>
          <w:p w14:paraId="004B0B35">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9.2中标人逾期交货，或逾期完成安装调试，或货物逾期通过验收的，中标人均应支付逾期违约金，每日按合同总价的5‰计算；逾期超过三十日的，中标人需向采购人另行支付合同总价的10%的违约金，且采购人有权单方解除本合同，中标人于收到采购人发出的解除通知书后三日内无条件退回采购人已支付的全部款项。此条款与9.1条同时执行。</w:t>
            </w:r>
          </w:p>
        </w:tc>
      </w:tr>
      <w:tr w14:paraId="657E5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765" w:type="dxa"/>
            <w:gridSpan w:val="3"/>
            <w:tcBorders>
              <w:bottom w:val="single" w:color="auto" w:sz="4" w:space="0"/>
            </w:tcBorders>
          </w:tcPr>
          <w:p w14:paraId="5D1E2D11">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rPr>
              <w:t>十、其他</w:t>
            </w:r>
          </w:p>
        </w:tc>
        <w:tc>
          <w:tcPr>
            <w:tcW w:w="8261" w:type="dxa"/>
            <w:gridSpan w:val="2"/>
            <w:tcBorders>
              <w:bottom w:val="single" w:color="auto" w:sz="4" w:space="0"/>
            </w:tcBorders>
          </w:tcPr>
          <w:p w14:paraId="34D354D0">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10.1如有设备相关耗材、试剂或易损器械，设备及主要维修配件，请提供并分别列出它们的优惠价格。</w:t>
            </w:r>
          </w:p>
          <w:p w14:paraId="33D1261D">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10.2设备电源插头符合使用科室现有的插座，如不符合提供相应的插头转换接口。</w:t>
            </w:r>
          </w:p>
          <w:p w14:paraId="5733564F">
            <w:pPr>
              <w:adjustRightInd w:val="0"/>
              <w:snapToGrid w:val="0"/>
              <w:ind w:firstLine="420" w:firstLineChars="200"/>
              <w:rPr>
                <w:rFonts w:asciiTheme="minorEastAsia" w:hAnsiTheme="minorEastAsia" w:eastAsiaTheme="minorEastAsia"/>
                <w:bCs/>
                <w:szCs w:val="21"/>
              </w:rPr>
            </w:pPr>
            <w:r>
              <w:rPr>
                <w:rFonts w:asciiTheme="minorEastAsia" w:hAnsiTheme="minorEastAsia" w:eastAsiaTheme="minorEastAsia"/>
                <w:bCs/>
                <w:szCs w:val="21"/>
              </w:rPr>
              <w:t>10.</w:t>
            </w:r>
            <w:r>
              <w:rPr>
                <w:rFonts w:hint="eastAsia" w:asciiTheme="minorEastAsia" w:hAnsiTheme="minorEastAsia" w:eastAsiaTheme="minorEastAsia"/>
                <w:bCs/>
                <w:szCs w:val="21"/>
              </w:rPr>
              <w:t>3如涉及工程类需提供相关的电路图、施工图，安装工程所涉及到的全部费用（包含但不限于装修费、旧设备拆装费、总承包管理服务费、安装如涉及外接电源、网络、给排水、排风等必须对现有设施进行改造或增加管线、材料及人工等），均由中标人承担，电源电线插座、长度和用电等需符合采购人的使用要求，所供设备均需妥善安装确保采购人可正常使用。</w:t>
            </w:r>
          </w:p>
          <w:p w14:paraId="5EEFB80C">
            <w:pPr>
              <w:adjustRightInd w:val="0"/>
              <w:snapToGrid w:val="0"/>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10.4中标人所交付货物、工程或服务不符合其投标承诺的，或在投标阶段为中标而盲目虚假承诺、低价恶性竞争，在履约阶段则通过偷工减料、以次充好而获取利润的，将不予验收，并交主管部门遵照相关规定处理，所有责任由中标人一力承担。</w:t>
            </w:r>
          </w:p>
        </w:tc>
      </w:tr>
    </w:tbl>
    <w:p w14:paraId="29B0DE28">
      <w:pPr>
        <w:spacing w:line="360" w:lineRule="auto"/>
        <w:ind w:firstLine="150" w:firstLineChars="100"/>
        <w:rPr>
          <w:rFonts w:cs="方正小标宋简体" w:asciiTheme="majorEastAsia" w:hAnsiTheme="majorEastAsia" w:eastAsiaTheme="majorEastAsia"/>
          <w:sz w:val="15"/>
          <w:szCs w:val="15"/>
        </w:rPr>
      </w:pPr>
    </w:p>
    <w:p w14:paraId="0F1DE491">
      <w:pPr>
        <w:spacing w:line="540" w:lineRule="exact"/>
        <w:ind w:left="400"/>
        <w:jc w:val="center"/>
        <w:rPr>
          <w:rFonts w:cs="方正小标宋简体" w:asciiTheme="majorEastAsia" w:hAnsiTheme="majorEastAsia" w:eastAsiaTheme="majorEastAsia"/>
          <w:b/>
          <w:sz w:val="36"/>
          <w:szCs w:val="36"/>
        </w:rPr>
      </w:pPr>
      <w:r>
        <w:rPr>
          <w:rFonts w:hint="eastAsia" w:cs="方正小标宋简体" w:asciiTheme="majorEastAsia" w:hAnsiTheme="majorEastAsia" w:eastAsiaTheme="majorEastAsia"/>
          <w:b/>
          <w:sz w:val="36"/>
          <w:szCs w:val="36"/>
        </w:rPr>
        <w:t>第三部分</w:t>
      </w:r>
      <w:r>
        <w:rPr>
          <w:rFonts w:cs="方正小标宋简体" w:asciiTheme="majorEastAsia" w:hAnsiTheme="majorEastAsia" w:eastAsiaTheme="majorEastAsia"/>
          <w:b/>
          <w:sz w:val="36"/>
          <w:szCs w:val="36"/>
        </w:rPr>
        <w:t xml:space="preserve"> </w:t>
      </w:r>
      <w:r>
        <w:rPr>
          <w:rFonts w:hint="eastAsia" w:cs="方正小标宋简体" w:asciiTheme="majorEastAsia" w:hAnsiTheme="majorEastAsia" w:eastAsiaTheme="majorEastAsia"/>
          <w:b/>
          <w:sz w:val="36"/>
          <w:szCs w:val="36"/>
        </w:rPr>
        <w:t>其他说明</w:t>
      </w:r>
    </w:p>
    <w:p w14:paraId="45E7EDA2">
      <w:pPr>
        <w:pStyle w:val="4"/>
        <w:ind w:left="400"/>
        <w:rPr>
          <w:rFonts w:asciiTheme="majorEastAsia" w:hAnsiTheme="majorEastAsia" w:eastAsiaTheme="majorEastAsia"/>
        </w:rPr>
      </w:pPr>
      <w:r>
        <w:rPr>
          <w:rFonts w:hint="eastAsia" w:asciiTheme="majorEastAsia" w:hAnsiTheme="majorEastAsia" w:eastAsiaTheme="majorEastAsia"/>
        </w:rPr>
        <w:t>（如有需特殊说明的情况，请列明，包括但不限于设备有专机专用试剂耗材、安装场地要求、信息系统等特殊需求）</w:t>
      </w:r>
    </w:p>
    <w:tbl>
      <w:tblPr>
        <w:tblStyle w:val="10"/>
        <w:tblW w:w="10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0"/>
        <w:gridCol w:w="7760"/>
      </w:tblGrid>
      <w:tr w14:paraId="2390E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60" w:type="dxa"/>
            <w:vAlign w:val="center"/>
          </w:tcPr>
          <w:p w14:paraId="6B2D2048">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rPr>
              <w:t>有无配套耗材</w:t>
            </w:r>
          </w:p>
        </w:tc>
        <w:tc>
          <w:tcPr>
            <w:tcW w:w="7760" w:type="dxa"/>
            <w:vAlign w:val="center"/>
          </w:tcPr>
          <w:p w14:paraId="50629AF1">
            <w:pPr>
              <w:adjustRightInd w:val="0"/>
              <w:snapToGrid w:val="0"/>
              <w:rPr>
                <w:rFonts w:asciiTheme="majorEastAsia" w:hAnsiTheme="majorEastAsia" w:eastAsiaTheme="majorEastAsia"/>
                <w:b/>
                <w:sz w:val="24"/>
                <w:szCs w:val="21"/>
                <w:highlight w:val="yellow"/>
              </w:rPr>
            </w:pPr>
            <w:r>
              <w:rPr>
                <w:rFonts w:hint="eastAsia" w:asciiTheme="majorEastAsia" w:hAnsiTheme="majorEastAsia" w:eastAsiaTheme="majorEastAsia"/>
                <w:b/>
                <w:sz w:val="24"/>
                <w:szCs w:val="21"/>
                <w:highlight w:val="yellow"/>
                <w:lang w:eastAsia="zh-CN"/>
              </w:rPr>
              <w:t>☑</w:t>
            </w:r>
            <w:r>
              <w:rPr>
                <w:rFonts w:hint="eastAsia" w:asciiTheme="majorEastAsia" w:hAnsiTheme="majorEastAsia" w:eastAsiaTheme="majorEastAsia"/>
                <w:b/>
                <w:sz w:val="24"/>
                <w:szCs w:val="21"/>
                <w:highlight w:val="yellow"/>
              </w:rPr>
              <w:t xml:space="preserve">有配套耗材（是否专机专用：□是 </w:t>
            </w:r>
            <w:r>
              <w:rPr>
                <w:rFonts w:hint="eastAsia" w:asciiTheme="majorEastAsia" w:hAnsiTheme="majorEastAsia" w:eastAsiaTheme="majorEastAsia"/>
                <w:b/>
                <w:sz w:val="24"/>
                <w:szCs w:val="21"/>
                <w:highlight w:val="yellow"/>
                <w:lang w:eastAsia="zh-CN"/>
              </w:rPr>
              <w:t>☑</w:t>
            </w:r>
            <w:r>
              <w:rPr>
                <w:rFonts w:hint="eastAsia" w:asciiTheme="majorEastAsia" w:hAnsiTheme="majorEastAsia" w:eastAsiaTheme="majorEastAsia"/>
                <w:b/>
                <w:sz w:val="24"/>
                <w:szCs w:val="21"/>
                <w:highlight w:val="yellow"/>
              </w:rPr>
              <w:t>否）（具体列明）：</w:t>
            </w:r>
            <w:r>
              <w:rPr>
                <w:rFonts w:hint="eastAsia" w:asciiTheme="majorEastAsia" w:hAnsiTheme="majorEastAsia" w:eastAsiaTheme="majorEastAsia"/>
                <w:b/>
                <w:sz w:val="24"/>
                <w:szCs w:val="21"/>
                <w:highlight w:val="yellow"/>
                <w:u w:val="single"/>
              </w:rPr>
              <w:t>__</w:t>
            </w:r>
            <w:r>
              <w:rPr>
                <w:rFonts w:hint="eastAsia" w:asciiTheme="majorEastAsia" w:hAnsiTheme="majorEastAsia" w:eastAsiaTheme="majorEastAsia"/>
                <w:b/>
                <w:sz w:val="24"/>
                <w:szCs w:val="21"/>
                <w:highlight w:val="yellow"/>
                <w:u w:val="single"/>
                <w:lang w:val="en-US" w:eastAsia="zh-CN"/>
              </w:rPr>
              <w:t>内镜清洗酶、内镜消毒液</w:t>
            </w:r>
          </w:p>
          <w:p w14:paraId="5790FAD1">
            <w:pPr>
              <w:adjustRightInd w:val="0"/>
              <w:snapToGrid w:val="0"/>
              <w:rPr>
                <w:rFonts w:asciiTheme="majorEastAsia" w:hAnsiTheme="majorEastAsia" w:eastAsiaTheme="majorEastAsia"/>
                <w:b/>
                <w:sz w:val="24"/>
                <w:szCs w:val="21"/>
                <w:highlight w:val="yellow"/>
              </w:rPr>
            </w:pPr>
            <w:r>
              <w:rPr>
                <w:rFonts w:hint="eastAsia" w:asciiTheme="majorEastAsia" w:hAnsiTheme="majorEastAsia" w:eastAsiaTheme="majorEastAsia"/>
                <w:b/>
                <w:sz w:val="24"/>
                <w:szCs w:val="21"/>
                <w:highlight w:val="yellow"/>
              </w:rPr>
              <w:t xml:space="preserve">  是否有同类在库：</w:t>
            </w:r>
            <w:r>
              <w:rPr>
                <w:rFonts w:hint="eastAsia" w:asciiTheme="majorEastAsia" w:hAnsiTheme="majorEastAsia" w:eastAsiaTheme="majorEastAsia"/>
                <w:b/>
                <w:sz w:val="24"/>
                <w:szCs w:val="21"/>
                <w:highlight w:val="yellow"/>
                <w:lang w:eastAsia="zh-CN"/>
              </w:rPr>
              <w:t>☑</w:t>
            </w:r>
            <w:r>
              <w:rPr>
                <w:rFonts w:hint="eastAsia" w:asciiTheme="majorEastAsia" w:hAnsiTheme="majorEastAsia" w:eastAsiaTheme="majorEastAsia"/>
                <w:b/>
                <w:sz w:val="24"/>
                <w:szCs w:val="21"/>
                <w:highlight w:val="yellow"/>
              </w:rPr>
              <w:t>是 □否</w:t>
            </w:r>
          </w:p>
          <w:p w14:paraId="5A117F71">
            <w:pPr>
              <w:adjustRightInd w:val="0"/>
              <w:snapToGrid w:val="0"/>
              <w:rPr>
                <w:rFonts w:hint="eastAsia" w:asciiTheme="majorEastAsia" w:hAnsiTheme="majorEastAsia" w:eastAsiaTheme="majorEastAsia"/>
                <w:b/>
                <w:sz w:val="24"/>
                <w:szCs w:val="21"/>
                <w:highlight w:val="yellow"/>
                <w:lang w:eastAsia="zh-CN"/>
              </w:rPr>
            </w:pPr>
            <w:r>
              <w:rPr>
                <w:rFonts w:hint="eastAsia" w:asciiTheme="majorEastAsia" w:hAnsiTheme="majorEastAsia" w:eastAsiaTheme="majorEastAsia"/>
                <w:b/>
                <w:sz w:val="24"/>
                <w:szCs w:val="21"/>
                <w:highlight w:val="yellow"/>
              </w:rPr>
              <w:t xml:space="preserve">  是否需要新准入：</w:t>
            </w:r>
            <w:r>
              <w:rPr>
                <w:rFonts w:hint="eastAsia" w:asciiTheme="majorEastAsia" w:hAnsiTheme="majorEastAsia" w:eastAsiaTheme="majorEastAsia"/>
                <w:b/>
                <w:sz w:val="24"/>
                <w:szCs w:val="21"/>
                <w:highlight w:val="yellow"/>
                <w:lang w:eastAsia="zh-CN"/>
              </w:rPr>
              <w:t>□</w:t>
            </w:r>
            <w:r>
              <w:rPr>
                <w:rFonts w:hint="eastAsia" w:asciiTheme="majorEastAsia" w:hAnsiTheme="majorEastAsia" w:eastAsiaTheme="majorEastAsia"/>
                <w:b/>
                <w:sz w:val="24"/>
                <w:szCs w:val="21"/>
                <w:highlight w:val="yellow"/>
              </w:rPr>
              <w:t xml:space="preserve">是 </w:t>
            </w:r>
            <w:r>
              <w:rPr>
                <w:rFonts w:hint="eastAsia" w:asciiTheme="majorEastAsia" w:hAnsiTheme="majorEastAsia" w:eastAsiaTheme="majorEastAsia"/>
                <w:b/>
                <w:sz w:val="24"/>
                <w:szCs w:val="21"/>
                <w:highlight w:val="yellow"/>
                <w:lang w:eastAsia="zh-CN"/>
              </w:rPr>
              <w:t>☑</w:t>
            </w:r>
            <w:r>
              <w:rPr>
                <w:rFonts w:hint="eastAsia" w:asciiTheme="majorEastAsia" w:hAnsiTheme="majorEastAsia" w:eastAsiaTheme="majorEastAsia"/>
                <w:b/>
                <w:sz w:val="24"/>
                <w:szCs w:val="21"/>
                <w:highlight w:val="yellow"/>
              </w:rPr>
              <w:t>否</w:t>
            </w:r>
          </w:p>
          <w:p w14:paraId="04BF89FF">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rPr>
              <w:t xml:space="preserve">□无配套耗材 </w:t>
            </w:r>
          </w:p>
        </w:tc>
      </w:tr>
      <w:tr w14:paraId="3C242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2660" w:type="dxa"/>
            <w:vAlign w:val="center"/>
          </w:tcPr>
          <w:p w14:paraId="1AA7E5BB">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rPr>
              <w:t>有无配套试剂</w:t>
            </w:r>
          </w:p>
        </w:tc>
        <w:tc>
          <w:tcPr>
            <w:tcW w:w="7760" w:type="dxa"/>
            <w:vAlign w:val="center"/>
          </w:tcPr>
          <w:p w14:paraId="38CF9ADB">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rPr>
              <w:t>□有配套试剂（是否专机专用：□是 □否）（具体列明）：___________</w:t>
            </w:r>
          </w:p>
          <w:p w14:paraId="54A2B827">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rPr>
              <w:t xml:space="preserve">  是否有同类在库：□是 □否</w:t>
            </w:r>
          </w:p>
          <w:p w14:paraId="44FE63DF">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lang w:eastAsia="zh-CN"/>
              </w:rPr>
              <w:t>☑</w:t>
            </w:r>
            <w:r>
              <w:rPr>
                <w:rFonts w:hint="eastAsia" w:asciiTheme="majorEastAsia" w:hAnsiTheme="majorEastAsia" w:eastAsiaTheme="majorEastAsia"/>
                <w:b/>
                <w:sz w:val="24"/>
                <w:szCs w:val="21"/>
              </w:rPr>
              <w:t xml:space="preserve">无配套试剂 </w:t>
            </w:r>
          </w:p>
        </w:tc>
      </w:tr>
      <w:tr w14:paraId="1A9F3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60" w:type="dxa"/>
            <w:vAlign w:val="center"/>
          </w:tcPr>
          <w:p w14:paraId="1DD8E438">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rPr>
              <w:t>安装场地特殊条件</w:t>
            </w:r>
          </w:p>
        </w:tc>
        <w:tc>
          <w:tcPr>
            <w:tcW w:w="7760" w:type="dxa"/>
            <w:vAlign w:val="center"/>
          </w:tcPr>
          <w:p w14:paraId="5DF5E1C6">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lang w:eastAsia="zh-CN"/>
              </w:rPr>
              <w:t>□</w:t>
            </w:r>
            <w:r>
              <w:rPr>
                <w:rFonts w:hint="eastAsia" w:asciiTheme="majorEastAsia" w:hAnsiTheme="majorEastAsia" w:eastAsiaTheme="majorEastAsia"/>
                <w:b/>
                <w:sz w:val="24"/>
                <w:szCs w:val="21"/>
              </w:rPr>
              <w:t>有（具体列明）：_____________________</w:t>
            </w:r>
          </w:p>
          <w:p w14:paraId="3177CB3D">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lang w:eastAsia="zh-CN"/>
              </w:rPr>
              <w:t>☑</w:t>
            </w:r>
            <w:r>
              <w:rPr>
                <w:rFonts w:hint="eastAsia" w:asciiTheme="majorEastAsia" w:hAnsiTheme="majorEastAsia" w:eastAsiaTheme="majorEastAsia"/>
                <w:b/>
                <w:sz w:val="24"/>
                <w:szCs w:val="21"/>
              </w:rPr>
              <w:t xml:space="preserve">无   </w:t>
            </w:r>
          </w:p>
        </w:tc>
      </w:tr>
      <w:tr w14:paraId="62459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60" w:type="dxa"/>
            <w:vAlign w:val="center"/>
          </w:tcPr>
          <w:p w14:paraId="70F80C77">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rPr>
              <w:t>信息系统配套设施（接口费等）</w:t>
            </w:r>
          </w:p>
        </w:tc>
        <w:tc>
          <w:tcPr>
            <w:tcW w:w="7760" w:type="dxa"/>
            <w:vAlign w:val="center"/>
          </w:tcPr>
          <w:p w14:paraId="1F705938">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lang w:eastAsia="zh-CN"/>
              </w:rPr>
              <w:t>□</w:t>
            </w:r>
            <w:r>
              <w:rPr>
                <w:rFonts w:hint="eastAsia" w:asciiTheme="majorEastAsia" w:hAnsiTheme="majorEastAsia" w:eastAsiaTheme="majorEastAsia"/>
                <w:b/>
                <w:sz w:val="24"/>
                <w:szCs w:val="21"/>
              </w:rPr>
              <w:t>有（具体列明）：_____________________</w:t>
            </w:r>
          </w:p>
          <w:p w14:paraId="441E1B25">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lang w:eastAsia="zh-CN"/>
              </w:rPr>
              <w:t>☑</w:t>
            </w:r>
            <w:r>
              <w:rPr>
                <w:rFonts w:hint="eastAsia" w:asciiTheme="majorEastAsia" w:hAnsiTheme="majorEastAsia" w:eastAsiaTheme="majorEastAsia"/>
                <w:b/>
                <w:sz w:val="24"/>
                <w:szCs w:val="21"/>
              </w:rPr>
              <w:t xml:space="preserve">无   </w:t>
            </w:r>
          </w:p>
        </w:tc>
      </w:tr>
      <w:tr w14:paraId="494D2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60" w:type="dxa"/>
            <w:vAlign w:val="center"/>
          </w:tcPr>
          <w:p w14:paraId="0D9A2C50">
            <w:pPr>
              <w:adjustRightInd w:val="0"/>
              <w:snapToGrid w:val="0"/>
              <w:rPr>
                <w:rFonts w:asciiTheme="majorEastAsia" w:hAnsiTheme="majorEastAsia" w:eastAsiaTheme="majorEastAsia"/>
                <w:b/>
                <w:sz w:val="24"/>
                <w:szCs w:val="21"/>
                <w:highlight w:val="yellow"/>
              </w:rPr>
            </w:pPr>
            <w:r>
              <w:rPr>
                <w:rFonts w:hint="eastAsia" w:asciiTheme="majorEastAsia" w:hAnsiTheme="majorEastAsia" w:eastAsiaTheme="majorEastAsia"/>
                <w:b/>
                <w:sz w:val="24"/>
                <w:szCs w:val="21"/>
                <w:highlight w:val="yellow"/>
              </w:rPr>
              <w:t>是否三家以上生产厂家为中小微企业</w:t>
            </w:r>
          </w:p>
        </w:tc>
        <w:tc>
          <w:tcPr>
            <w:tcW w:w="7760" w:type="dxa"/>
            <w:vAlign w:val="center"/>
          </w:tcPr>
          <w:p w14:paraId="60DE56F1">
            <w:pPr>
              <w:adjustRightInd w:val="0"/>
              <w:snapToGrid w:val="0"/>
              <w:rPr>
                <w:rFonts w:asciiTheme="majorEastAsia" w:hAnsiTheme="majorEastAsia" w:eastAsiaTheme="majorEastAsia"/>
                <w:b/>
                <w:sz w:val="24"/>
                <w:szCs w:val="21"/>
                <w:highlight w:val="yellow"/>
              </w:rPr>
            </w:pPr>
            <w:r>
              <w:rPr>
                <w:rFonts w:hint="eastAsia" w:asciiTheme="majorEastAsia" w:hAnsiTheme="majorEastAsia" w:eastAsiaTheme="majorEastAsia"/>
                <w:b/>
                <w:sz w:val="24"/>
                <w:szCs w:val="21"/>
                <w:highlight w:val="yellow"/>
                <w:lang w:eastAsia="zh-CN"/>
              </w:rPr>
              <w:t>□</w:t>
            </w:r>
            <w:r>
              <w:rPr>
                <w:rFonts w:hint="eastAsia" w:asciiTheme="majorEastAsia" w:hAnsiTheme="majorEastAsia" w:eastAsiaTheme="majorEastAsia"/>
                <w:b/>
                <w:sz w:val="24"/>
                <w:szCs w:val="21"/>
                <w:highlight w:val="yellow"/>
              </w:rPr>
              <w:t>是（具体列明）：□中型企业；□小微企业</w:t>
            </w:r>
          </w:p>
          <w:p w14:paraId="45EF0621">
            <w:pPr>
              <w:adjustRightInd w:val="0"/>
              <w:snapToGrid w:val="0"/>
              <w:rPr>
                <w:rFonts w:asciiTheme="majorEastAsia" w:hAnsiTheme="majorEastAsia" w:eastAsiaTheme="majorEastAsia"/>
                <w:b/>
                <w:sz w:val="24"/>
                <w:szCs w:val="21"/>
                <w:highlight w:val="yellow"/>
              </w:rPr>
            </w:pPr>
            <w:r>
              <w:rPr>
                <w:rFonts w:hint="eastAsia" w:asciiTheme="majorEastAsia" w:hAnsiTheme="majorEastAsia" w:eastAsiaTheme="majorEastAsia"/>
                <w:b/>
                <w:sz w:val="24"/>
                <w:szCs w:val="21"/>
                <w:highlight w:val="yellow"/>
                <w:lang w:eastAsia="zh-CN"/>
              </w:rPr>
              <w:t>☑</w:t>
            </w:r>
            <w:r>
              <w:rPr>
                <w:rFonts w:hint="eastAsia" w:asciiTheme="majorEastAsia" w:hAnsiTheme="majorEastAsia" w:eastAsiaTheme="majorEastAsia"/>
                <w:b/>
                <w:sz w:val="24"/>
                <w:szCs w:val="21"/>
                <w:highlight w:val="yellow"/>
              </w:rPr>
              <w:t>否</w:t>
            </w:r>
            <w:bookmarkStart w:id="0" w:name="_GoBack"/>
            <w:bookmarkEnd w:id="0"/>
          </w:p>
        </w:tc>
      </w:tr>
      <w:tr w14:paraId="44484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660" w:type="dxa"/>
            <w:vAlign w:val="center"/>
          </w:tcPr>
          <w:p w14:paraId="069E6607">
            <w:pPr>
              <w:adjustRightInd w:val="0"/>
              <w:snapToGrid w:val="0"/>
              <w:rPr>
                <w:rFonts w:asciiTheme="majorEastAsia" w:hAnsiTheme="majorEastAsia" w:eastAsiaTheme="majorEastAsia"/>
                <w:b/>
                <w:sz w:val="24"/>
                <w:szCs w:val="21"/>
                <w:highlight w:val="yellow"/>
              </w:rPr>
            </w:pPr>
            <w:r>
              <w:rPr>
                <w:rFonts w:hint="eastAsia" w:asciiTheme="majorEastAsia" w:hAnsiTheme="majorEastAsia" w:eastAsiaTheme="majorEastAsia"/>
                <w:b/>
                <w:sz w:val="24"/>
                <w:szCs w:val="21"/>
                <w:highlight w:val="yellow"/>
              </w:rPr>
              <w:t>设备使用年限</w:t>
            </w:r>
          </w:p>
        </w:tc>
        <w:tc>
          <w:tcPr>
            <w:tcW w:w="7760" w:type="dxa"/>
            <w:vAlign w:val="center"/>
          </w:tcPr>
          <w:p w14:paraId="46FF7A9B">
            <w:pPr>
              <w:adjustRightInd w:val="0"/>
              <w:snapToGrid w:val="0"/>
              <w:rPr>
                <w:rFonts w:hint="default" w:ascii="宋体" w:hAnsi="宋体" w:eastAsia="宋体" w:cs="宋体"/>
                <w:bCs/>
                <w:color w:val="000000"/>
                <w:szCs w:val="21"/>
                <w:highlight w:val="yellow"/>
                <w:lang w:val="en-US" w:eastAsia="zh-CN"/>
              </w:rPr>
            </w:pPr>
            <w:r>
              <w:rPr>
                <w:rFonts w:hint="eastAsia" w:ascii="宋体" w:hAnsi="宋体" w:cs="宋体"/>
                <w:bCs/>
                <w:color w:val="000000"/>
                <w:szCs w:val="21"/>
                <w:highlight w:val="yellow"/>
                <w:lang w:val="en-US" w:eastAsia="zh-CN"/>
              </w:rPr>
              <w:t>6年</w:t>
            </w:r>
          </w:p>
        </w:tc>
      </w:tr>
      <w:tr w14:paraId="6C957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2660" w:type="dxa"/>
            <w:vAlign w:val="center"/>
          </w:tcPr>
          <w:p w14:paraId="5FBF24A2">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rPr>
              <w:t>是否纳入医疗器械目录</w:t>
            </w:r>
          </w:p>
        </w:tc>
        <w:tc>
          <w:tcPr>
            <w:tcW w:w="7760" w:type="dxa"/>
            <w:vAlign w:val="center"/>
          </w:tcPr>
          <w:p w14:paraId="75FE57C7">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lang w:eastAsia="zh-CN"/>
              </w:rPr>
              <w:t>☑</w:t>
            </w:r>
            <w:r>
              <w:rPr>
                <w:rFonts w:hint="eastAsia" w:asciiTheme="majorEastAsia" w:hAnsiTheme="majorEastAsia" w:eastAsiaTheme="majorEastAsia"/>
                <w:b/>
                <w:sz w:val="24"/>
                <w:szCs w:val="21"/>
              </w:rPr>
              <w:t xml:space="preserve">有（具体列明）：□一类  </w:t>
            </w:r>
            <w:r>
              <w:rPr>
                <w:rFonts w:hint="eastAsia" w:asciiTheme="majorEastAsia" w:hAnsiTheme="majorEastAsia" w:eastAsiaTheme="majorEastAsia"/>
                <w:b/>
                <w:sz w:val="24"/>
                <w:szCs w:val="21"/>
                <w:lang w:eastAsia="zh-CN"/>
              </w:rPr>
              <w:t>☑</w:t>
            </w:r>
            <w:r>
              <w:rPr>
                <w:rFonts w:hint="eastAsia" w:asciiTheme="majorEastAsia" w:hAnsiTheme="majorEastAsia" w:eastAsiaTheme="majorEastAsia"/>
                <w:b/>
                <w:sz w:val="24"/>
                <w:szCs w:val="21"/>
              </w:rPr>
              <w:t>二类   □三类   □至少为   类</w:t>
            </w:r>
          </w:p>
          <w:p w14:paraId="6C61FC38">
            <w:pPr>
              <w:adjustRightInd w:val="0"/>
              <w:snapToGrid w:val="0"/>
              <w:rPr>
                <w:rFonts w:ascii="宋体" w:hAnsi="宋体" w:cs="宋体"/>
                <w:bCs/>
                <w:color w:val="000000"/>
                <w:szCs w:val="21"/>
              </w:rPr>
            </w:pPr>
            <w:r>
              <w:rPr>
                <w:rFonts w:hint="eastAsia" w:asciiTheme="majorEastAsia" w:hAnsiTheme="majorEastAsia" w:eastAsiaTheme="majorEastAsia"/>
                <w:b/>
                <w:sz w:val="24"/>
                <w:szCs w:val="21"/>
              </w:rPr>
              <w:t xml:space="preserve">□无  </w:t>
            </w:r>
          </w:p>
        </w:tc>
      </w:tr>
      <w:tr w14:paraId="1B35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2660" w:type="dxa"/>
            <w:vAlign w:val="center"/>
          </w:tcPr>
          <w:p w14:paraId="421B1C58">
            <w:pPr>
              <w:adjustRightInd w:val="0"/>
              <w:snapToGrid w:val="0"/>
              <w:rPr>
                <w:rFonts w:asciiTheme="majorEastAsia" w:hAnsiTheme="majorEastAsia" w:eastAsiaTheme="majorEastAsia"/>
                <w:b/>
                <w:sz w:val="24"/>
                <w:szCs w:val="21"/>
              </w:rPr>
            </w:pPr>
            <w:r>
              <w:rPr>
                <w:rFonts w:hint="eastAsia" w:asciiTheme="majorEastAsia" w:hAnsiTheme="majorEastAsia" w:eastAsiaTheme="majorEastAsia"/>
                <w:b/>
                <w:sz w:val="24"/>
                <w:szCs w:val="21"/>
              </w:rPr>
              <w:t>其他设备特殊资格要求</w:t>
            </w:r>
          </w:p>
        </w:tc>
        <w:tc>
          <w:tcPr>
            <w:tcW w:w="7760" w:type="dxa"/>
            <w:vAlign w:val="center"/>
          </w:tcPr>
          <w:p w14:paraId="12CD6F5C">
            <w:pPr>
              <w:adjustRightInd w:val="0"/>
              <w:snapToGrid w:val="0"/>
              <w:rPr>
                <w:rFonts w:hint="eastAsia" w:asciiTheme="majorEastAsia" w:hAnsiTheme="majorEastAsia" w:eastAsiaTheme="majorEastAsia"/>
                <w:b/>
                <w:sz w:val="24"/>
                <w:szCs w:val="21"/>
                <w:lang w:val="en-US" w:eastAsia="zh-CN"/>
              </w:rPr>
            </w:pPr>
            <w:r>
              <w:rPr>
                <w:rFonts w:hint="eastAsia" w:asciiTheme="majorEastAsia" w:hAnsiTheme="majorEastAsia" w:eastAsiaTheme="majorEastAsia"/>
                <w:b/>
                <w:sz w:val="24"/>
                <w:szCs w:val="21"/>
                <w:lang w:val="en-US" w:eastAsia="zh-CN"/>
              </w:rPr>
              <w:t>无</w:t>
            </w:r>
          </w:p>
        </w:tc>
      </w:tr>
    </w:tbl>
    <w:p w14:paraId="4D454C25">
      <w:pPr>
        <w:spacing w:line="360" w:lineRule="auto"/>
        <w:ind w:left="400"/>
        <w:jc w:val="center"/>
        <w:rPr>
          <w:rFonts w:cs="方正小标宋简体" w:asciiTheme="majorEastAsia" w:hAnsiTheme="majorEastAsia" w:eastAsiaTheme="majorEastAsia"/>
          <w:b/>
          <w:sz w:val="36"/>
          <w:szCs w:val="36"/>
        </w:rPr>
      </w:pPr>
    </w:p>
    <w:p w14:paraId="51E78061">
      <w:pPr>
        <w:adjustRightInd w:val="0"/>
        <w:snapToGrid w:val="0"/>
        <w:spacing w:line="360" w:lineRule="auto"/>
        <w:jc w:val="center"/>
        <w:rPr>
          <w:rFonts w:asciiTheme="majorEastAsia" w:hAnsiTheme="majorEastAsia" w:eastAsiaTheme="majorEastAsia"/>
          <w:bCs/>
          <w:sz w:val="28"/>
        </w:rPr>
      </w:pPr>
      <w:r>
        <w:rPr>
          <w:rFonts w:hint="eastAsia" w:cs="方正小标宋简体" w:asciiTheme="majorEastAsia" w:hAnsiTheme="majorEastAsia" w:eastAsiaTheme="majorEastAsia"/>
          <w:b/>
          <w:sz w:val="36"/>
          <w:szCs w:val="36"/>
        </w:rPr>
        <w:t>第四部分 设备主要维修配件、易损配件</w:t>
      </w:r>
    </w:p>
    <w:tbl>
      <w:tblPr>
        <w:tblStyle w:val="1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247"/>
        <w:gridCol w:w="2005"/>
        <w:gridCol w:w="1843"/>
        <w:gridCol w:w="1417"/>
        <w:gridCol w:w="1560"/>
      </w:tblGrid>
      <w:tr w14:paraId="3B2C4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93" w:type="dxa"/>
            <w:vAlign w:val="center"/>
          </w:tcPr>
          <w:p w14:paraId="58745E9F">
            <w:pPr>
              <w:adjustRightInd w:val="0"/>
              <w:snapToGrid w:val="0"/>
              <w:jc w:val="center"/>
              <w:rPr>
                <w:rFonts w:asciiTheme="majorEastAsia" w:hAnsiTheme="majorEastAsia" w:eastAsiaTheme="majorEastAsia"/>
                <w:b/>
                <w:sz w:val="24"/>
                <w:szCs w:val="21"/>
              </w:rPr>
            </w:pPr>
            <w:r>
              <w:rPr>
                <w:rFonts w:asciiTheme="majorEastAsia" w:hAnsiTheme="majorEastAsia" w:eastAsiaTheme="majorEastAsia"/>
                <w:b/>
                <w:sz w:val="24"/>
                <w:szCs w:val="21"/>
              </w:rPr>
              <w:t>序号</w:t>
            </w:r>
          </w:p>
        </w:tc>
        <w:tc>
          <w:tcPr>
            <w:tcW w:w="2247" w:type="dxa"/>
            <w:vAlign w:val="center"/>
          </w:tcPr>
          <w:p w14:paraId="327F66B1">
            <w:pPr>
              <w:adjustRightInd w:val="0"/>
              <w:snapToGrid w:val="0"/>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货物</w:t>
            </w:r>
            <w:r>
              <w:rPr>
                <w:rFonts w:asciiTheme="majorEastAsia" w:hAnsiTheme="majorEastAsia" w:eastAsiaTheme="majorEastAsia"/>
                <w:b/>
                <w:sz w:val="24"/>
                <w:szCs w:val="21"/>
              </w:rPr>
              <w:t>名称</w:t>
            </w:r>
          </w:p>
        </w:tc>
        <w:tc>
          <w:tcPr>
            <w:tcW w:w="2005" w:type="dxa"/>
            <w:vAlign w:val="center"/>
          </w:tcPr>
          <w:p w14:paraId="31FD5469">
            <w:pPr>
              <w:adjustRightInd w:val="0"/>
              <w:snapToGrid w:val="0"/>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规格/型号</w:t>
            </w:r>
          </w:p>
        </w:tc>
        <w:tc>
          <w:tcPr>
            <w:tcW w:w="1843" w:type="dxa"/>
            <w:vAlign w:val="center"/>
          </w:tcPr>
          <w:p w14:paraId="494995A7">
            <w:pPr>
              <w:adjustRightInd w:val="0"/>
              <w:snapToGrid w:val="0"/>
              <w:jc w:val="center"/>
              <w:rPr>
                <w:rFonts w:asciiTheme="majorEastAsia" w:hAnsiTheme="majorEastAsia" w:eastAsiaTheme="majorEastAsia"/>
                <w:b/>
                <w:sz w:val="24"/>
                <w:szCs w:val="21"/>
              </w:rPr>
            </w:pPr>
            <w:r>
              <w:rPr>
                <w:rFonts w:asciiTheme="majorEastAsia" w:hAnsiTheme="majorEastAsia" w:eastAsiaTheme="majorEastAsia"/>
                <w:b/>
                <w:sz w:val="24"/>
                <w:szCs w:val="21"/>
              </w:rPr>
              <w:t>制造厂商</w:t>
            </w:r>
          </w:p>
        </w:tc>
        <w:tc>
          <w:tcPr>
            <w:tcW w:w="1417" w:type="dxa"/>
            <w:vAlign w:val="center"/>
          </w:tcPr>
          <w:p w14:paraId="1D7215E1">
            <w:pPr>
              <w:adjustRightInd w:val="0"/>
              <w:snapToGrid w:val="0"/>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原产地</w:t>
            </w:r>
          </w:p>
        </w:tc>
        <w:tc>
          <w:tcPr>
            <w:tcW w:w="1560" w:type="dxa"/>
            <w:vAlign w:val="center"/>
          </w:tcPr>
          <w:p w14:paraId="4B782046">
            <w:pPr>
              <w:adjustRightInd w:val="0"/>
              <w:snapToGrid w:val="0"/>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单价(元)</w:t>
            </w:r>
          </w:p>
        </w:tc>
      </w:tr>
      <w:tr w14:paraId="73B6A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93" w:type="dxa"/>
          </w:tcPr>
          <w:p w14:paraId="54AAB649">
            <w:pPr>
              <w:widowControl/>
              <w:adjustRightInd w:val="0"/>
              <w:snapToGrid w:val="0"/>
              <w:rPr>
                <w:rFonts w:cs="方正小标宋简体" w:asciiTheme="majorEastAsia" w:hAnsiTheme="majorEastAsia" w:eastAsiaTheme="majorEastAsia"/>
                <w:sz w:val="24"/>
              </w:rPr>
            </w:pPr>
            <w:r>
              <w:rPr>
                <w:rFonts w:hint="eastAsia" w:cs="方正小标宋简体" w:asciiTheme="majorEastAsia" w:hAnsiTheme="majorEastAsia" w:eastAsiaTheme="majorEastAsia"/>
                <w:sz w:val="24"/>
              </w:rPr>
              <w:t>1</w:t>
            </w:r>
          </w:p>
        </w:tc>
        <w:tc>
          <w:tcPr>
            <w:tcW w:w="2247" w:type="dxa"/>
          </w:tcPr>
          <w:p w14:paraId="02E89383">
            <w:pPr>
              <w:widowControl/>
              <w:adjustRightInd w:val="0"/>
              <w:snapToGrid w:val="0"/>
              <w:jc w:val="center"/>
              <w:rPr>
                <w:rFonts w:hint="eastAsia" w:cs="方正小标宋简体" w:asciiTheme="majorEastAsia" w:hAnsiTheme="majorEastAsia" w:eastAsiaTheme="majorEastAsia"/>
                <w:sz w:val="24"/>
                <w:lang w:val="en-US" w:eastAsia="zh-CN"/>
              </w:rPr>
            </w:pPr>
            <w:r>
              <w:rPr>
                <w:rFonts w:hint="eastAsia" w:cs="方正小标宋简体" w:asciiTheme="majorEastAsia" w:hAnsiTheme="majorEastAsia" w:eastAsiaTheme="majorEastAsia"/>
                <w:sz w:val="24"/>
                <w:lang w:val="en-US" w:eastAsia="zh-CN"/>
              </w:rPr>
              <w:t>0.2μm过滤滤芯</w:t>
            </w:r>
          </w:p>
        </w:tc>
        <w:tc>
          <w:tcPr>
            <w:tcW w:w="2005" w:type="dxa"/>
          </w:tcPr>
          <w:p w14:paraId="64A00605">
            <w:pPr>
              <w:widowControl/>
              <w:adjustRightInd w:val="0"/>
              <w:snapToGrid w:val="0"/>
              <w:rPr>
                <w:rFonts w:cs="方正小标宋简体" w:asciiTheme="majorEastAsia" w:hAnsiTheme="majorEastAsia" w:eastAsiaTheme="majorEastAsia"/>
                <w:sz w:val="24"/>
              </w:rPr>
            </w:pPr>
          </w:p>
        </w:tc>
        <w:tc>
          <w:tcPr>
            <w:tcW w:w="1843" w:type="dxa"/>
          </w:tcPr>
          <w:p w14:paraId="4138217E">
            <w:pPr>
              <w:widowControl/>
              <w:adjustRightInd w:val="0"/>
              <w:snapToGrid w:val="0"/>
              <w:rPr>
                <w:rFonts w:hint="default" w:cs="方正小标宋简体" w:asciiTheme="majorEastAsia" w:hAnsiTheme="majorEastAsia" w:eastAsiaTheme="majorEastAsia"/>
                <w:sz w:val="24"/>
                <w:lang w:val="en-US" w:eastAsia="zh-CN"/>
              </w:rPr>
            </w:pPr>
          </w:p>
        </w:tc>
        <w:tc>
          <w:tcPr>
            <w:tcW w:w="1417" w:type="dxa"/>
          </w:tcPr>
          <w:p w14:paraId="072DB898">
            <w:pPr>
              <w:widowControl/>
              <w:adjustRightInd w:val="0"/>
              <w:snapToGrid w:val="0"/>
              <w:rPr>
                <w:rFonts w:hint="eastAsia" w:cs="方正小标宋简体" w:asciiTheme="majorEastAsia" w:hAnsiTheme="majorEastAsia" w:eastAsiaTheme="majorEastAsia"/>
                <w:sz w:val="24"/>
                <w:lang w:val="en-US" w:eastAsia="zh-CN"/>
              </w:rPr>
            </w:pPr>
          </w:p>
        </w:tc>
        <w:tc>
          <w:tcPr>
            <w:tcW w:w="1560" w:type="dxa"/>
          </w:tcPr>
          <w:p w14:paraId="739081B9">
            <w:pPr>
              <w:widowControl/>
              <w:adjustRightInd w:val="0"/>
              <w:snapToGrid w:val="0"/>
              <w:rPr>
                <w:rFonts w:hint="default" w:cs="方正小标宋简体" w:asciiTheme="majorEastAsia" w:hAnsiTheme="majorEastAsia" w:eastAsiaTheme="majorEastAsia"/>
                <w:sz w:val="24"/>
                <w:lang w:val="en-US" w:eastAsia="zh-CN"/>
              </w:rPr>
            </w:pPr>
          </w:p>
        </w:tc>
      </w:tr>
    </w:tbl>
    <w:p w14:paraId="20F5730C">
      <w:pPr>
        <w:adjustRightInd w:val="0"/>
        <w:snapToGrid w:val="0"/>
        <w:spacing w:line="300" w:lineRule="auto"/>
        <w:jc w:val="center"/>
        <w:rPr>
          <w:rFonts w:asciiTheme="majorEastAsia" w:hAnsiTheme="majorEastAsia" w:eastAsiaTheme="majorEastAsia"/>
          <w:b/>
          <w:sz w:val="24"/>
          <w:szCs w:val="21"/>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4109"/>
        <w:gridCol w:w="2605"/>
        <w:gridCol w:w="2605"/>
      </w:tblGrid>
      <w:tr w14:paraId="21C07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1" w:type="dxa"/>
            <w:vAlign w:val="center"/>
          </w:tcPr>
          <w:p w14:paraId="52A50BFB">
            <w:pPr>
              <w:adjustRightInd w:val="0"/>
              <w:snapToGrid w:val="0"/>
              <w:spacing w:line="300" w:lineRule="auto"/>
              <w:jc w:val="center"/>
              <w:rPr>
                <w:rFonts w:asciiTheme="majorEastAsia" w:hAnsiTheme="majorEastAsia" w:eastAsiaTheme="majorEastAsia"/>
                <w:b/>
                <w:sz w:val="24"/>
              </w:rPr>
            </w:pPr>
            <w:r>
              <w:rPr>
                <w:rFonts w:hint="eastAsia" w:asciiTheme="majorEastAsia" w:hAnsiTheme="majorEastAsia" w:eastAsiaTheme="majorEastAsia"/>
                <w:b/>
                <w:sz w:val="24"/>
              </w:rPr>
              <w:t>序号</w:t>
            </w:r>
          </w:p>
        </w:tc>
        <w:tc>
          <w:tcPr>
            <w:tcW w:w="4109" w:type="dxa"/>
            <w:vAlign w:val="center"/>
          </w:tcPr>
          <w:p w14:paraId="4B5330B4">
            <w:pPr>
              <w:adjustRightInd w:val="0"/>
              <w:snapToGrid w:val="0"/>
              <w:spacing w:line="300" w:lineRule="auto"/>
              <w:jc w:val="center"/>
              <w:rPr>
                <w:rFonts w:asciiTheme="majorEastAsia" w:hAnsiTheme="majorEastAsia" w:eastAsiaTheme="majorEastAsia"/>
                <w:b/>
                <w:sz w:val="24"/>
              </w:rPr>
            </w:pPr>
            <w:r>
              <w:rPr>
                <w:rFonts w:hint="eastAsia" w:asciiTheme="majorEastAsia" w:hAnsiTheme="majorEastAsia" w:eastAsiaTheme="majorEastAsia"/>
                <w:b/>
                <w:sz w:val="24"/>
              </w:rPr>
              <w:t>服务名称</w:t>
            </w:r>
          </w:p>
        </w:tc>
        <w:tc>
          <w:tcPr>
            <w:tcW w:w="2605" w:type="dxa"/>
            <w:vAlign w:val="center"/>
          </w:tcPr>
          <w:p w14:paraId="131746D0">
            <w:pPr>
              <w:adjustRightInd w:val="0"/>
              <w:snapToGrid w:val="0"/>
              <w:spacing w:line="300" w:lineRule="auto"/>
              <w:jc w:val="center"/>
              <w:rPr>
                <w:rFonts w:asciiTheme="majorEastAsia" w:hAnsiTheme="majorEastAsia" w:eastAsiaTheme="majorEastAsia"/>
                <w:b/>
                <w:sz w:val="24"/>
              </w:rPr>
            </w:pPr>
            <w:r>
              <w:rPr>
                <w:rFonts w:hint="eastAsia" w:asciiTheme="majorEastAsia" w:hAnsiTheme="majorEastAsia" w:eastAsiaTheme="majorEastAsia"/>
                <w:b/>
                <w:sz w:val="24"/>
              </w:rPr>
              <w:t>服务内容</w:t>
            </w:r>
          </w:p>
        </w:tc>
        <w:tc>
          <w:tcPr>
            <w:tcW w:w="2605" w:type="dxa"/>
            <w:vAlign w:val="center"/>
          </w:tcPr>
          <w:p w14:paraId="3F000172">
            <w:pPr>
              <w:adjustRightInd w:val="0"/>
              <w:snapToGrid w:val="0"/>
              <w:spacing w:line="300" w:lineRule="auto"/>
              <w:jc w:val="center"/>
              <w:rPr>
                <w:rFonts w:asciiTheme="majorEastAsia" w:hAnsiTheme="majorEastAsia" w:eastAsiaTheme="majorEastAsia"/>
                <w:b/>
                <w:sz w:val="24"/>
              </w:rPr>
            </w:pPr>
            <w:r>
              <w:rPr>
                <w:rFonts w:hint="eastAsia" w:asciiTheme="majorEastAsia" w:hAnsiTheme="majorEastAsia" w:eastAsiaTheme="majorEastAsia"/>
                <w:b/>
                <w:sz w:val="24"/>
              </w:rPr>
              <w:t>价格（元）</w:t>
            </w:r>
          </w:p>
        </w:tc>
      </w:tr>
      <w:tr w14:paraId="256D5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1" w:type="dxa"/>
            <w:vAlign w:val="center"/>
          </w:tcPr>
          <w:p w14:paraId="7D908874">
            <w:pPr>
              <w:widowControl/>
              <w:jc w:val="center"/>
              <w:rPr>
                <w:rFonts w:asciiTheme="majorEastAsia" w:hAnsiTheme="majorEastAsia" w:eastAsiaTheme="majorEastAsia"/>
                <w:b/>
                <w:sz w:val="24"/>
              </w:rPr>
            </w:pPr>
            <w:r>
              <w:rPr>
                <w:rFonts w:hint="eastAsia" w:asciiTheme="majorEastAsia" w:hAnsiTheme="majorEastAsia" w:eastAsiaTheme="majorEastAsia"/>
                <w:b/>
                <w:sz w:val="24"/>
              </w:rPr>
              <w:t>1</w:t>
            </w:r>
          </w:p>
        </w:tc>
        <w:tc>
          <w:tcPr>
            <w:tcW w:w="4109" w:type="dxa"/>
            <w:vAlign w:val="center"/>
          </w:tcPr>
          <w:p w14:paraId="009C54A5">
            <w:pPr>
              <w:widowControl/>
              <w:jc w:val="center"/>
              <w:rPr>
                <w:rFonts w:asciiTheme="majorEastAsia" w:hAnsiTheme="majorEastAsia" w:eastAsiaTheme="majorEastAsia"/>
                <w:b/>
                <w:sz w:val="24"/>
              </w:rPr>
            </w:pPr>
            <w:r>
              <w:rPr>
                <w:rFonts w:hint="eastAsia" w:asciiTheme="majorEastAsia" w:hAnsiTheme="majorEastAsia" w:eastAsiaTheme="majorEastAsia"/>
                <w:b/>
                <w:sz w:val="24"/>
                <w:highlight w:val="yellow"/>
                <w:lang w:val="en-US" w:eastAsia="zh-CN"/>
              </w:rPr>
              <w:t>一</w:t>
            </w:r>
            <w:r>
              <w:rPr>
                <w:rFonts w:hint="eastAsia" w:asciiTheme="majorEastAsia" w:hAnsiTheme="majorEastAsia" w:eastAsiaTheme="majorEastAsia"/>
                <w:b/>
                <w:sz w:val="24"/>
                <w:highlight w:val="yellow"/>
              </w:rPr>
              <w:t>年</w:t>
            </w:r>
            <w:r>
              <w:rPr>
                <w:rFonts w:hint="eastAsia" w:asciiTheme="majorEastAsia" w:hAnsiTheme="majorEastAsia" w:eastAsiaTheme="majorEastAsia"/>
                <w:b/>
                <w:sz w:val="24"/>
              </w:rPr>
              <w:t>延续保修合同</w:t>
            </w:r>
          </w:p>
        </w:tc>
        <w:tc>
          <w:tcPr>
            <w:tcW w:w="2605" w:type="dxa"/>
            <w:vAlign w:val="center"/>
          </w:tcPr>
          <w:p w14:paraId="2A4A3298">
            <w:pPr>
              <w:widowControl/>
              <w:jc w:val="center"/>
              <w:rPr>
                <w:rFonts w:hint="default" w:cs="方正小标宋简体" w:asciiTheme="majorEastAsia" w:hAnsiTheme="majorEastAsia" w:eastAsiaTheme="majorEastAsia"/>
                <w:sz w:val="24"/>
                <w:lang w:val="en-US" w:eastAsia="zh-CN"/>
              </w:rPr>
            </w:pPr>
          </w:p>
        </w:tc>
        <w:tc>
          <w:tcPr>
            <w:tcW w:w="2605" w:type="dxa"/>
            <w:vAlign w:val="center"/>
          </w:tcPr>
          <w:p w14:paraId="4877213D">
            <w:pPr>
              <w:widowControl/>
              <w:jc w:val="center"/>
              <w:rPr>
                <w:rFonts w:hint="default" w:cs="方正小标宋简体" w:asciiTheme="majorEastAsia" w:hAnsiTheme="majorEastAsia" w:eastAsiaTheme="majorEastAsia"/>
                <w:sz w:val="24"/>
                <w:lang w:val="en-US"/>
              </w:rPr>
            </w:pPr>
          </w:p>
        </w:tc>
      </w:tr>
    </w:tbl>
    <w:p w14:paraId="48E40838">
      <w:pPr>
        <w:widowControl/>
        <w:rPr>
          <w:rFonts w:cs="方正小标宋简体" w:asciiTheme="majorEastAsia" w:hAnsiTheme="majorEastAsia" w:eastAsiaTheme="majorEastAsia"/>
          <w:sz w:val="36"/>
          <w:szCs w:val="36"/>
        </w:rPr>
      </w:pPr>
    </w:p>
    <w:tbl>
      <w:tblPr>
        <w:tblStyle w:val="10"/>
        <w:tblW w:w="108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0"/>
        <w:gridCol w:w="8723"/>
      </w:tblGrid>
      <w:tr w14:paraId="51001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1" w:hRule="atLeast"/>
          <w:jc w:val="center"/>
        </w:trPr>
        <w:tc>
          <w:tcPr>
            <w:tcW w:w="2120" w:type="dxa"/>
            <w:vAlign w:val="center"/>
          </w:tcPr>
          <w:p w14:paraId="02A52537">
            <w:pPr>
              <w:spacing w:line="276" w:lineRule="auto"/>
              <w:jc w:val="center"/>
              <w:rPr>
                <w:rFonts w:ascii="宋体" w:hAnsi="宋体"/>
                <w:b/>
                <w:bCs/>
                <w:sz w:val="28"/>
                <w:szCs w:val="28"/>
              </w:rPr>
            </w:pPr>
            <w:r>
              <w:rPr>
                <w:rFonts w:hint="eastAsia" w:ascii="宋体" w:hAnsi="宋体"/>
                <w:b/>
                <w:bCs/>
                <w:sz w:val="28"/>
                <w:szCs w:val="28"/>
              </w:rPr>
              <w:t>论证小组成员其他意见</w:t>
            </w:r>
          </w:p>
        </w:tc>
        <w:tc>
          <w:tcPr>
            <w:tcW w:w="8723" w:type="dxa"/>
          </w:tcPr>
          <w:p w14:paraId="4D5C448F">
            <w:pPr>
              <w:spacing w:line="280" w:lineRule="exact"/>
              <w:rPr>
                <w:rFonts w:ascii="宋体" w:hAnsi="宋体"/>
                <w:bCs/>
                <w:sz w:val="18"/>
                <w:szCs w:val="18"/>
              </w:rPr>
            </w:pPr>
          </w:p>
          <w:p w14:paraId="1167F3F7">
            <w:pPr>
              <w:spacing w:line="280" w:lineRule="exact"/>
              <w:rPr>
                <w:rFonts w:ascii="宋体" w:hAnsi="宋体"/>
                <w:bCs/>
                <w:sz w:val="28"/>
                <w:szCs w:val="28"/>
              </w:rPr>
            </w:pPr>
          </w:p>
        </w:tc>
      </w:tr>
      <w:tr w14:paraId="0F4EF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2120" w:type="dxa"/>
            <w:vAlign w:val="center"/>
          </w:tcPr>
          <w:p w14:paraId="7DD7D95A">
            <w:pPr>
              <w:spacing w:line="276" w:lineRule="auto"/>
              <w:jc w:val="center"/>
              <w:rPr>
                <w:rFonts w:ascii="宋体" w:hAnsi="宋体"/>
                <w:b/>
                <w:bCs/>
                <w:sz w:val="28"/>
                <w:szCs w:val="28"/>
              </w:rPr>
            </w:pPr>
            <w:r>
              <w:rPr>
                <w:rFonts w:hint="eastAsia" w:ascii="宋体" w:hAnsi="宋体"/>
                <w:b/>
                <w:bCs/>
                <w:sz w:val="28"/>
                <w:szCs w:val="28"/>
              </w:rPr>
              <w:t>论证小组汇签</w:t>
            </w:r>
          </w:p>
        </w:tc>
        <w:tc>
          <w:tcPr>
            <w:tcW w:w="8723" w:type="dxa"/>
          </w:tcPr>
          <w:p w14:paraId="662625B9">
            <w:pPr>
              <w:spacing w:line="280" w:lineRule="exact"/>
              <w:rPr>
                <w:rFonts w:ascii="宋体" w:hAnsi="宋体"/>
                <w:bCs/>
                <w:sz w:val="18"/>
                <w:szCs w:val="18"/>
              </w:rPr>
            </w:pPr>
          </w:p>
        </w:tc>
      </w:tr>
      <w:tr w14:paraId="0B477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4" w:hRule="atLeast"/>
          <w:jc w:val="center"/>
        </w:trPr>
        <w:tc>
          <w:tcPr>
            <w:tcW w:w="2120" w:type="dxa"/>
            <w:vAlign w:val="center"/>
          </w:tcPr>
          <w:p w14:paraId="14CA693C">
            <w:pPr>
              <w:spacing w:line="276" w:lineRule="auto"/>
              <w:jc w:val="center"/>
              <w:rPr>
                <w:rFonts w:ascii="宋体" w:hAnsi="宋体"/>
                <w:b/>
                <w:bCs/>
                <w:sz w:val="28"/>
                <w:szCs w:val="28"/>
              </w:rPr>
            </w:pPr>
            <w:r>
              <w:rPr>
                <w:rFonts w:hint="eastAsia" w:ascii="宋体" w:hAnsi="宋体"/>
                <w:b/>
                <w:bCs/>
                <w:sz w:val="28"/>
                <w:szCs w:val="28"/>
              </w:rPr>
              <w:t>使用科室签字</w:t>
            </w:r>
          </w:p>
        </w:tc>
        <w:tc>
          <w:tcPr>
            <w:tcW w:w="8723" w:type="dxa"/>
            <w:vAlign w:val="center"/>
          </w:tcPr>
          <w:p w14:paraId="2C507971">
            <w:pPr>
              <w:spacing w:line="276" w:lineRule="auto"/>
              <w:jc w:val="left"/>
              <w:rPr>
                <w:rFonts w:ascii="宋体" w:hAnsi="宋体"/>
                <w:bCs/>
                <w:sz w:val="18"/>
                <w:szCs w:val="18"/>
              </w:rPr>
            </w:pPr>
          </w:p>
        </w:tc>
      </w:tr>
    </w:tbl>
    <w:p w14:paraId="54F26639">
      <w:pPr>
        <w:rPr>
          <w:rFonts w:cs="方正小标宋简体" w:asciiTheme="majorEastAsia" w:hAnsiTheme="majorEastAsia" w:eastAsiaTheme="majorEastAsia"/>
          <w:sz w:val="10"/>
          <w:szCs w:val="10"/>
        </w:rPr>
      </w:pPr>
    </w:p>
    <w:sectPr>
      <w:footerReference r:id="rId3" w:type="default"/>
      <w:pgSz w:w="11906" w:h="16838"/>
      <w:pgMar w:top="284" w:right="851" w:bottom="284" w:left="851" w:header="113" w:footer="283"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Microsoft JhengHei UI Light">
    <w:panose1 w:val="020B0304030504040204"/>
    <w:charset w:val="88"/>
    <w:family w:val="swiss"/>
    <w:pitch w:val="default"/>
    <w:sig w:usb0="800002A7" w:usb1="28CF4400" w:usb2="00000016" w:usb3="00000000" w:csb0="00100009" w:csb1="00000000"/>
  </w:font>
  <w:font w:name="方正小标宋简体">
    <w:panose1 w:val="02010601030101010101"/>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375192"/>
    </w:sdtPr>
    <w:sdtContent>
      <w:sdt>
        <w:sdtPr>
          <w:id w:val="171357217"/>
        </w:sdtPr>
        <w:sdtContent>
          <w:p w14:paraId="160848CC">
            <w:pPr>
              <w:pStyle w:val="7"/>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4</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5</w:t>
            </w:r>
            <w:r>
              <w:rPr>
                <w:b/>
                <w:sz w:val="24"/>
                <w:szCs w:val="24"/>
              </w:rPr>
              <w:fldChar w:fldCharType="end"/>
            </w:r>
          </w:p>
        </w:sdtContent>
      </w:sdt>
    </w:sdtContent>
  </w:sdt>
  <w:p w14:paraId="48210DC9">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E1BDE0"/>
    <w:multiLevelType w:val="singleLevel"/>
    <w:tmpl w:val="95E1BDE0"/>
    <w:lvl w:ilvl="0" w:tentative="0">
      <w:start w:val="6"/>
      <w:numFmt w:val="decimal"/>
      <w:suff w:val="nothing"/>
      <w:lvlText w:val="%1、"/>
      <w:lvlJc w:val="left"/>
    </w:lvl>
  </w:abstractNum>
  <w:abstractNum w:abstractNumId="1">
    <w:nsid w:val="B4C93B06"/>
    <w:multiLevelType w:val="singleLevel"/>
    <w:tmpl w:val="B4C93B06"/>
    <w:lvl w:ilvl="0" w:tentative="0">
      <w:start w:val="5"/>
      <w:numFmt w:val="decimal"/>
      <w:suff w:val="nothing"/>
      <w:lvlText w:val="%1、"/>
      <w:lvlJc w:val="left"/>
    </w:lvl>
  </w:abstractNum>
  <w:abstractNum w:abstractNumId="2">
    <w:nsid w:val="39E85DA3"/>
    <w:multiLevelType w:val="singleLevel"/>
    <w:tmpl w:val="39E85DA3"/>
    <w:lvl w:ilvl="0" w:tentative="0">
      <w:start w:val="2"/>
      <w:numFmt w:val="decimal"/>
      <w:suff w:val="nothing"/>
      <w:lvlText w:val="%1、"/>
      <w:lvlJc w:val="left"/>
    </w:lvl>
  </w:abstractNum>
  <w:abstractNum w:abstractNumId="3">
    <w:nsid w:val="5B870740"/>
    <w:multiLevelType w:val="singleLevel"/>
    <w:tmpl w:val="5B870740"/>
    <w:lvl w:ilvl="0" w:tentative="0">
      <w:start w:val="2"/>
      <w:numFmt w:val="chineseCounting"/>
      <w:suff w:val="space"/>
      <w:lvlText w:val="第%1部分"/>
      <w:lvlJc w:val="left"/>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865C2"/>
    <w:rsid w:val="01C42B8B"/>
    <w:rsid w:val="02094A42"/>
    <w:rsid w:val="04567CE7"/>
    <w:rsid w:val="096274B0"/>
    <w:rsid w:val="0BB973F1"/>
    <w:rsid w:val="101F3682"/>
    <w:rsid w:val="11335637"/>
    <w:rsid w:val="1367781A"/>
    <w:rsid w:val="15A41DCB"/>
    <w:rsid w:val="180B12CE"/>
    <w:rsid w:val="198F3627"/>
    <w:rsid w:val="1B607CC5"/>
    <w:rsid w:val="1F314CE2"/>
    <w:rsid w:val="217B030D"/>
    <w:rsid w:val="23737B15"/>
    <w:rsid w:val="27DD0335"/>
    <w:rsid w:val="281013DB"/>
    <w:rsid w:val="2C3A5674"/>
    <w:rsid w:val="308C2216"/>
    <w:rsid w:val="32026D5E"/>
    <w:rsid w:val="32AF004A"/>
    <w:rsid w:val="33820266"/>
    <w:rsid w:val="35BF6BEA"/>
    <w:rsid w:val="38BD38B5"/>
    <w:rsid w:val="396C7E5B"/>
    <w:rsid w:val="3AF37D5E"/>
    <w:rsid w:val="3CE753A4"/>
    <w:rsid w:val="43566B5C"/>
    <w:rsid w:val="45357ED5"/>
    <w:rsid w:val="4B906D62"/>
    <w:rsid w:val="4C8A18A8"/>
    <w:rsid w:val="4FA42C81"/>
    <w:rsid w:val="510744AC"/>
    <w:rsid w:val="51A0391C"/>
    <w:rsid w:val="54F77CF7"/>
    <w:rsid w:val="55214D74"/>
    <w:rsid w:val="564E1B99"/>
    <w:rsid w:val="5A9F56BB"/>
    <w:rsid w:val="5ABD109B"/>
    <w:rsid w:val="5AD93816"/>
    <w:rsid w:val="5D482F21"/>
    <w:rsid w:val="5F8D54E0"/>
    <w:rsid w:val="60FE457C"/>
    <w:rsid w:val="63051831"/>
    <w:rsid w:val="63406FCA"/>
    <w:rsid w:val="638A11A0"/>
    <w:rsid w:val="6480357C"/>
    <w:rsid w:val="669F7F0C"/>
    <w:rsid w:val="6AB04778"/>
    <w:rsid w:val="6B970619"/>
    <w:rsid w:val="6C354F35"/>
    <w:rsid w:val="6F8C1783"/>
    <w:rsid w:val="70785D38"/>
    <w:rsid w:val="758509A9"/>
    <w:rsid w:val="7E553215"/>
    <w:rsid w:val="7F85288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2">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3">
    <w:name w:val="annotation text"/>
    <w:basedOn w:val="1"/>
    <w:link w:val="21"/>
    <w:unhideWhenUsed/>
    <w:qFormat/>
    <w:uiPriority w:val="99"/>
    <w:pPr>
      <w:jc w:val="left"/>
    </w:pPr>
  </w:style>
  <w:style w:type="paragraph" w:styleId="4">
    <w:name w:val="Body Text"/>
    <w:basedOn w:val="1"/>
    <w:link w:val="23"/>
    <w:qFormat/>
    <w:uiPriority w:val="0"/>
    <w:pPr>
      <w:adjustRightInd w:val="0"/>
      <w:snapToGrid w:val="0"/>
      <w:spacing w:line="500" w:lineRule="atLeast"/>
    </w:pPr>
    <w:rPr>
      <w:rFonts w:ascii="宋体"/>
      <w:bCs/>
      <w:sz w:val="28"/>
    </w:rPr>
  </w:style>
  <w:style w:type="paragraph" w:styleId="5">
    <w:name w:val="Plain Text"/>
    <w:basedOn w:val="1"/>
    <w:link w:val="18"/>
    <w:unhideWhenUsed/>
    <w:qFormat/>
    <w:uiPriority w:val="99"/>
    <w:rPr>
      <w:rFonts w:ascii="宋体" w:hAnsi="Courier New" w:cs="Courier New"/>
      <w:szCs w:val="21"/>
    </w:rPr>
  </w:style>
  <w:style w:type="paragraph" w:styleId="6">
    <w:name w:val="Balloon Text"/>
    <w:basedOn w:val="1"/>
    <w:link w:val="20"/>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annotation subject"/>
    <w:basedOn w:val="3"/>
    <w:next w:val="3"/>
    <w:link w:val="22"/>
    <w:unhideWhenUsed/>
    <w:qFormat/>
    <w:uiPriority w:val="99"/>
    <w:rPr>
      <w:b/>
      <w:bCs/>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qFormat/>
    <w:uiPriority w:val="0"/>
    <w:rPr>
      <w:rFonts w:ascii="Tahoma" w:hAnsi="Tahoma" w:eastAsia="宋体"/>
      <w:b/>
      <w:bCs/>
      <w:spacing w:val="10"/>
      <w:kern w:val="2"/>
      <w:sz w:val="24"/>
      <w:szCs w:val="24"/>
      <w:lang w:val="en-US" w:eastAsia="zh-CN" w:bidi="ar-SA"/>
    </w:rPr>
  </w:style>
  <w:style w:type="character" w:styleId="14">
    <w:name w:val="annotation reference"/>
    <w:basedOn w:val="12"/>
    <w:unhideWhenUsed/>
    <w:qFormat/>
    <w:uiPriority w:val="99"/>
    <w:rPr>
      <w:sz w:val="21"/>
      <w:szCs w:val="21"/>
    </w:rPr>
  </w:style>
  <w:style w:type="character" w:customStyle="1" w:styleId="15">
    <w:name w:val="页眉 Char"/>
    <w:basedOn w:val="12"/>
    <w:link w:val="8"/>
    <w:qFormat/>
    <w:uiPriority w:val="99"/>
    <w:rPr>
      <w:sz w:val="18"/>
      <w:szCs w:val="18"/>
    </w:rPr>
  </w:style>
  <w:style w:type="character" w:customStyle="1" w:styleId="16">
    <w:name w:val="页脚 Char"/>
    <w:basedOn w:val="12"/>
    <w:link w:val="7"/>
    <w:qFormat/>
    <w:uiPriority w:val="99"/>
    <w:rPr>
      <w:sz w:val="18"/>
      <w:szCs w:val="18"/>
    </w:rPr>
  </w:style>
  <w:style w:type="paragraph" w:customStyle="1" w:styleId="17">
    <w:name w:val="List Paragraph"/>
    <w:basedOn w:val="1"/>
    <w:qFormat/>
    <w:uiPriority w:val="34"/>
    <w:pPr>
      <w:ind w:firstLine="420" w:firstLineChars="200"/>
    </w:pPr>
  </w:style>
  <w:style w:type="character" w:customStyle="1" w:styleId="18">
    <w:name w:val="纯文本 Char"/>
    <w:basedOn w:val="12"/>
    <w:link w:val="5"/>
    <w:qFormat/>
    <w:uiPriority w:val="99"/>
    <w:rPr>
      <w:rFonts w:ascii="宋体" w:hAnsi="Courier New" w:eastAsia="宋体" w:cs="Courier New"/>
      <w:szCs w:val="21"/>
    </w:rPr>
  </w:style>
  <w:style w:type="paragraph" w:customStyle="1" w:styleId="19">
    <w:name w:val="样式1 Char Char"/>
    <w:basedOn w:val="1"/>
    <w:next w:val="5"/>
    <w:qFormat/>
    <w:uiPriority w:val="0"/>
    <w:pPr>
      <w:spacing w:line="360" w:lineRule="auto"/>
      <w:ind w:firstLine="516" w:firstLineChars="215"/>
    </w:pPr>
    <w:rPr>
      <w:sz w:val="24"/>
    </w:rPr>
  </w:style>
  <w:style w:type="character" w:customStyle="1" w:styleId="20">
    <w:name w:val="批注框文本 Char"/>
    <w:basedOn w:val="12"/>
    <w:link w:val="6"/>
    <w:semiHidden/>
    <w:qFormat/>
    <w:uiPriority w:val="99"/>
    <w:rPr>
      <w:rFonts w:ascii="Times New Roman" w:hAnsi="Times New Roman" w:eastAsia="宋体" w:cs="Times New Roman"/>
      <w:kern w:val="2"/>
      <w:sz w:val="18"/>
      <w:szCs w:val="18"/>
    </w:rPr>
  </w:style>
  <w:style w:type="character" w:customStyle="1" w:styleId="21">
    <w:name w:val="批注文字 Char"/>
    <w:basedOn w:val="12"/>
    <w:link w:val="3"/>
    <w:qFormat/>
    <w:uiPriority w:val="99"/>
    <w:rPr>
      <w:rFonts w:ascii="Times New Roman" w:hAnsi="Times New Roman" w:eastAsia="宋体" w:cs="Times New Roman"/>
      <w:kern w:val="2"/>
      <w:sz w:val="21"/>
      <w:szCs w:val="24"/>
    </w:rPr>
  </w:style>
  <w:style w:type="character" w:customStyle="1" w:styleId="22">
    <w:name w:val="批注主题 Char"/>
    <w:basedOn w:val="21"/>
    <w:link w:val="9"/>
    <w:semiHidden/>
    <w:qFormat/>
    <w:uiPriority w:val="99"/>
    <w:rPr>
      <w:rFonts w:ascii="Times New Roman" w:hAnsi="Times New Roman" w:eastAsia="宋体" w:cs="Times New Roman"/>
      <w:b/>
      <w:bCs/>
      <w:kern w:val="2"/>
      <w:sz w:val="21"/>
      <w:szCs w:val="24"/>
    </w:rPr>
  </w:style>
  <w:style w:type="character" w:customStyle="1" w:styleId="23">
    <w:name w:val="正文文本 Char"/>
    <w:basedOn w:val="12"/>
    <w:link w:val="4"/>
    <w:qFormat/>
    <w:uiPriority w:val="0"/>
    <w:rPr>
      <w:rFonts w:ascii="宋体" w:hAnsi="Times New Roman" w:eastAsia="宋体" w:cs="Times New Roman"/>
      <w:bCs/>
      <w:kern w:val="2"/>
      <w:sz w:val="28"/>
      <w:szCs w:val="24"/>
    </w:rPr>
  </w:style>
  <w:style w:type="paragraph" w:customStyle="1" w:styleId="24">
    <w:name w:val="正文 A"/>
    <w:qFormat/>
    <w:uiPriority w:val="0"/>
    <w:pPr>
      <w:framePr w:wrap="around" w:vAnchor="margin" w:hAnchor="text" w:y="1"/>
      <w:widowControl w:val="0"/>
    </w:pPr>
    <w:rPr>
      <w:rFonts w:ascii="Microsoft JhengHei UI Light" w:hAnsi="Microsoft JhengHei UI Light" w:eastAsia="Microsoft JhengHei UI Light" w:cs="Microsoft JhengHei UI Light"/>
      <w:color w:val="000000"/>
      <w:sz w:val="22"/>
      <w:szCs w:val="22"/>
      <w:u w:color="000000"/>
      <w:lang w:val="en-US" w:eastAsia="zh-CN" w:bidi="ar-SA"/>
    </w:rPr>
  </w:style>
  <w:style w:type="character" w:customStyle="1" w:styleId="25">
    <w:name w:val="NormalCharact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5648</Words>
  <Characters>5911</Characters>
  <Lines>33</Lines>
  <Paragraphs>9</Paragraphs>
  <TotalTime>2</TotalTime>
  <ScaleCrop>false</ScaleCrop>
  <LinksUpToDate>false</LinksUpToDate>
  <CharactersWithSpaces>6003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2025-06-13T13:20:00Z</dcterms:created>
  <dc:creator>陈蕾</dc:creator>
  <cp:lastModifiedBy>YU</cp:lastModifiedBy>
  <cp:lastPrinted>2026-07-10T14:13:00Z</cp:lastPrinted>
  <dcterms:modified xsi:type="dcterms:W3CDTF">2026-09-02T03:25:32Z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eyJoZGlkIjoiMmQ4OTUwZjJkODExY2E3NTUyYTgwNDhkMzNjYjZkNmYiLCJ1c2VySWQiOiI1NjcwNTQxMTcifQ==</vt:lpwstr>
  </property>
  <property fmtid="{D5CDD505-2E9C-101B-9397-08002B2CF9AE}" pid="4" name="ICV">
    <vt:lpwstr>7544483733C34067B39197CF1345B8E0_13</vt:lpwstr>
  </property>
</Properties>
</file>