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49C73">
      <w:pPr>
        <w:pStyle w:val="4"/>
        <w:spacing w:line="240" w:lineRule="auto"/>
        <w:rPr>
          <w:sz w:val="28"/>
          <w:szCs w:val="28"/>
          <w:u w:val="single"/>
        </w:rPr>
      </w:pPr>
    </w:p>
    <w:p w14:paraId="302B7285">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中山大学附属第八医院服务类</w:t>
      </w:r>
    </w:p>
    <w:p w14:paraId="0305524D">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采购需求书</w:t>
      </w:r>
    </w:p>
    <w:p w14:paraId="608A9CF8">
      <w:pPr>
        <w:ind w:firstLine="320" w:firstLineChars="100"/>
        <w:jc w:val="center"/>
        <w:rPr>
          <w:rFonts w:hint="eastAsia" w:asciiTheme="majorEastAsia" w:hAnsiTheme="majorEastAsia" w:eastAsiaTheme="majorEastAsia" w:cstheme="majorEastAsia"/>
          <w:sz w:val="32"/>
          <w:szCs w:val="32"/>
        </w:rPr>
      </w:pPr>
    </w:p>
    <w:p w14:paraId="0559EAF3">
      <w:pPr>
        <w:ind w:firstLine="320" w:firstLineChars="100"/>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第一部分 项目基本要求</w:t>
      </w:r>
    </w:p>
    <w:p w14:paraId="69640ACB">
      <w:pPr>
        <w:widowControl/>
        <w:spacing w:before="100" w:beforeAutospacing="1" w:after="100" w:afterAutospacing="1"/>
        <w:ind w:firstLine="440" w:firstLineChars="200"/>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sz w:val="22"/>
          <w:szCs w:val="22"/>
          <w:shd w:val="clear" w:color="auto" w:fill="FFFFFF"/>
        </w:rPr>
        <w:t>一</w:t>
      </w:r>
      <w:r>
        <w:rPr>
          <w:rFonts w:hint="eastAsia" w:asciiTheme="majorEastAsia" w:hAnsiTheme="majorEastAsia" w:eastAsiaTheme="majorEastAsia" w:cstheme="majorEastAsia"/>
          <w:sz w:val="24"/>
          <w:shd w:val="clear" w:color="auto" w:fill="FFFFFF"/>
        </w:rPr>
        <w:t>、项目基本信息</w:t>
      </w:r>
    </w:p>
    <w:p w14:paraId="4472E288">
      <w:pPr>
        <w:numPr>
          <w:ilvl w:val="0"/>
          <w:numId w:val="1"/>
        </w:numPr>
        <w:tabs>
          <w:tab w:val="left" w:pos="567"/>
        </w:tabs>
        <w:adjustRightInd w:val="0"/>
        <w:snapToGrid w:val="0"/>
        <w:rPr>
          <w:rFonts w:hint="eastAsia" w:ascii="宋体" w:hAnsi="宋体" w:eastAsia="宋体" w:cs="宋体"/>
          <w:sz w:val="24"/>
        </w:rPr>
      </w:pPr>
      <w:r>
        <w:rPr>
          <w:rFonts w:hint="eastAsia" w:ascii="宋体" w:hAnsi="宋体" w:eastAsia="宋体" w:cs="宋体"/>
          <w:bCs/>
          <w:sz w:val="24"/>
        </w:rPr>
        <w:t>采购项目名称：临床技能培训中心</w:t>
      </w:r>
      <w:r>
        <w:rPr>
          <w:rFonts w:hint="eastAsia" w:ascii="宋体" w:hAnsi="宋体" w:eastAsia="宋体"/>
          <w:sz w:val="24"/>
        </w:rPr>
        <w:t>2026年ACLS导师培训及督导服务采购</w:t>
      </w:r>
    </w:p>
    <w:p w14:paraId="059BCFB6">
      <w:pPr>
        <w:pStyle w:val="4"/>
        <w:numPr>
          <w:ilvl w:val="0"/>
          <w:numId w:val="1"/>
        </w:numPr>
        <w:spacing w:line="240" w:lineRule="auto"/>
        <w:rPr>
          <w:sz w:val="24"/>
          <w:szCs w:val="24"/>
        </w:rPr>
      </w:pPr>
      <w:r>
        <w:rPr>
          <w:rFonts w:hint="eastAsia"/>
          <w:sz w:val="24"/>
          <w:szCs w:val="24"/>
        </w:rPr>
        <w:t>采购方式：</w:t>
      </w:r>
      <w:r>
        <w:rPr>
          <w:rFonts w:hint="eastAsia"/>
          <w:sz w:val="24"/>
          <w:szCs w:val="24"/>
          <w:lang w:val="en-US" w:eastAsia="zh-CN"/>
        </w:rPr>
        <w:t>比</w:t>
      </w:r>
      <w:r>
        <w:rPr>
          <w:rFonts w:hint="eastAsia"/>
          <w:sz w:val="24"/>
          <w:szCs w:val="24"/>
        </w:rPr>
        <w:t>价</w:t>
      </w:r>
      <w:bookmarkStart w:id="1" w:name="_GoBack"/>
      <w:bookmarkEnd w:id="1"/>
    </w:p>
    <w:p w14:paraId="423CAEA8">
      <w:pPr>
        <w:numPr>
          <w:ilvl w:val="0"/>
          <w:numId w:val="1"/>
        </w:numPr>
        <w:adjustRightInd w:val="0"/>
        <w:snapToGrid w:val="0"/>
        <w:rPr>
          <w:rFonts w:hint="eastAsia" w:ascii="宋体" w:hAnsi="宋体" w:eastAsia="宋体" w:cs="宋体"/>
          <w:sz w:val="24"/>
        </w:rPr>
      </w:pPr>
      <w:r>
        <w:rPr>
          <w:rFonts w:hint="eastAsia" w:ascii="宋体" w:hAnsi="宋体" w:eastAsia="宋体" w:cs="宋体"/>
          <w:bCs/>
          <w:sz w:val="24"/>
        </w:rPr>
        <w:t>预算金额</w:t>
      </w:r>
      <w:r>
        <w:rPr>
          <w:rFonts w:hint="eastAsia" w:ascii="宋体" w:hAnsi="宋体" w:eastAsia="宋体" w:cs="宋体"/>
          <w:sz w:val="24"/>
        </w:rPr>
        <w:t>：60000元</w:t>
      </w:r>
    </w:p>
    <w:p w14:paraId="691DBAF2">
      <w:pPr>
        <w:numPr>
          <w:ilvl w:val="0"/>
          <w:numId w:val="1"/>
        </w:numPr>
        <w:tabs>
          <w:tab w:val="left" w:pos="567"/>
        </w:tabs>
        <w:adjustRightInd w:val="0"/>
        <w:snapToGrid w:val="0"/>
        <w:rPr>
          <w:rFonts w:hint="eastAsia"/>
          <w:sz w:val="24"/>
        </w:rPr>
      </w:pPr>
      <w:r>
        <w:rPr>
          <w:rFonts w:hint="eastAsia" w:ascii="宋体" w:hAnsi="宋体" w:eastAsia="宋体" w:cs="宋体"/>
          <w:bCs/>
          <w:sz w:val="24"/>
        </w:rPr>
        <w:t>采购需求：</w:t>
      </w:r>
    </w:p>
    <w:tbl>
      <w:tblPr>
        <w:tblStyle w:val="12"/>
        <w:tblW w:w="0" w:type="auto"/>
        <w:tblInd w:w="0" w:type="dxa"/>
        <w:tblLayout w:type="autofit"/>
        <w:tblCellMar>
          <w:top w:w="0" w:type="dxa"/>
          <w:left w:w="108" w:type="dxa"/>
          <w:bottom w:w="0" w:type="dxa"/>
          <w:right w:w="108" w:type="dxa"/>
        </w:tblCellMar>
      </w:tblPr>
      <w:tblGrid>
        <w:gridCol w:w="562"/>
        <w:gridCol w:w="1466"/>
        <w:gridCol w:w="562"/>
        <w:gridCol w:w="562"/>
        <w:gridCol w:w="1494"/>
        <w:gridCol w:w="1361"/>
        <w:gridCol w:w="975"/>
        <w:gridCol w:w="2980"/>
      </w:tblGrid>
      <w:tr w14:paraId="401A9E80">
        <w:trPr>
          <w:trHeight w:val="1200" w:hRule="atLeast"/>
        </w:trPr>
        <w:tc>
          <w:tcPr>
            <w:tcW w:w="0" w:type="auto"/>
            <w:tcBorders>
              <w:top w:val="single" w:color="auto" w:sz="4" w:space="0"/>
              <w:left w:val="single" w:color="auto" w:sz="4" w:space="0"/>
              <w:bottom w:val="single" w:color="auto" w:sz="4" w:space="0"/>
              <w:right w:val="single" w:color="auto" w:sz="4" w:space="0"/>
            </w:tcBorders>
            <w:shd w:val="clear" w:color="000000" w:fill="EEECE1"/>
            <w:vAlign w:val="center"/>
          </w:tcPr>
          <w:p w14:paraId="375AD0A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0" w:type="auto"/>
            <w:tcBorders>
              <w:top w:val="single" w:color="auto" w:sz="4" w:space="0"/>
              <w:left w:val="nil"/>
              <w:bottom w:val="single" w:color="auto" w:sz="4" w:space="0"/>
              <w:right w:val="single" w:color="auto" w:sz="4" w:space="0"/>
            </w:tcBorders>
            <w:shd w:val="clear" w:color="000000" w:fill="EEECE1"/>
            <w:vAlign w:val="center"/>
          </w:tcPr>
          <w:p w14:paraId="3203681E">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采购内容分项</w:t>
            </w:r>
          </w:p>
        </w:tc>
        <w:tc>
          <w:tcPr>
            <w:tcW w:w="0" w:type="auto"/>
            <w:tcBorders>
              <w:top w:val="single" w:color="auto" w:sz="4" w:space="0"/>
              <w:left w:val="nil"/>
              <w:bottom w:val="single" w:color="auto" w:sz="4" w:space="0"/>
              <w:right w:val="single" w:color="auto" w:sz="4" w:space="0"/>
            </w:tcBorders>
            <w:shd w:val="clear" w:color="000000" w:fill="EEECE1"/>
            <w:vAlign w:val="center"/>
          </w:tcPr>
          <w:p w14:paraId="47BE0B62">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数量</w:t>
            </w:r>
          </w:p>
        </w:tc>
        <w:tc>
          <w:tcPr>
            <w:tcW w:w="0" w:type="auto"/>
            <w:tcBorders>
              <w:top w:val="single" w:color="auto" w:sz="4" w:space="0"/>
              <w:left w:val="nil"/>
              <w:bottom w:val="single" w:color="auto" w:sz="4" w:space="0"/>
              <w:right w:val="single" w:color="auto" w:sz="4" w:space="0"/>
            </w:tcBorders>
            <w:shd w:val="clear" w:color="000000" w:fill="EEECE1"/>
            <w:vAlign w:val="center"/>
          </w:tcPr>
          <w:p w14:paraId="60C78930">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单位</w:t>
            </w:r>
          </w:p>
        </w:tc>
        <w:tc>
          <w:tcPr>
            <w:tcW w:w="0" w:type="auto"/>
            <w:tcBorders>
              <w:top w:val="single" w:color="auto" w:sz="4" w:space="0"/>
              <w:left w:val="nil"/>
              <w:bottom w:val="single" w:color="auto" w:sz="4" w:space="0"/>
              <w:right w:val="single" w:color="auto" w:sz="4" w:space="0"/>
            </w:tcBorders>
            <w:shd w:val="clear" w:color="000000" w:fill="EEECE1"/>
            <w:vAlign w:val="center"/>
          </w:tcPr>
          <w:p w14:paraId="61E6E76D">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简要技术需求</w:t>
            </w:r>
          </w:p>
        </w:tc>
        <w:tc>
          <w:tcPr>
            <w:tcW w:w="0" w:type="auto"/>
            <w:tcBorders>
              <w:top w:val="single" w:color="auto" w:sz="4" w:space="0"/>
              <w:left w:val="nil"/>
              <w:bottom w:val="single" w:color="auto" w:sz="4" w:space="0"/>
              <w:right w:val="single" w:color="auto" w:sz="4" w:space="0"/>
            </w:tcBorders>
            <w:shd w:val="clear" w:color="000000" w:fill="EEECE1"/>
            <w:vAlign w:val="center"/>
          </w:tcPr>
          <w:p w14:paraId="72493D80">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预算单价（元）</w:t>
            </w:r>
          </w:p>
        </w:tc>
        <w:tc>
          <w:tcPr>
            <w:tcW w:w="0" w:type="auto"/>
            <w:tcBorders>
              <w:top w:val="single" w:color="auto" w:sz="4" w:space="0"/>
              <w:left w:val="nil"/>
              <w:bottom w:val="single" w:color="auto" w:sz="4" w:space="0"/>
              <w:right w:val="single" w:color="auto" w:sz="4" w:space="0"/>
            </w:tcBorders>
            <w:shd w:val="clear" w:color="000000" w:fill="EEECE1"/>
            <w:vAlign w:val="center"/>
          </w:tcPr>
          <w:p w14:paraId="7EC94FD5">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预算总价</w:t>
            </w:r>
          </w:p>
        </w:tc>
        <w:tc>
          <w:tcPr>
            <w:tcW w:w="0" w:type="auto"/>
            <w:tcBorders>
              <w:top w:val="single" w:color="auto" w:sz="4" w:space="0"/>
              <w:left w:val="nil"/>
              <w:bottom w:val="single" w:color="auto" w:sz="4" w:space="0"/>
              <w:right w:val="single" w:color="auto" w:sz="4" w:space="0"/>
            </w:tcBorders>
            <w:shd w:val="clear" w:color="000000" w:fill="EEECE1"/>
            <w:vAlign w:val="center"/>
          </w:tcPr>
          <w:p w14:paraId="0C0893CC">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备注</w:t>
            </w:r>
          </w:p>
        </w:tc>
      </w:tr>
      <w:tr w14:paraId="3D25808B">
        <w:tblPrEx>
          <w:tblCellMar>
            <w:top w:w="0" w:type="dxa"/>
            <w:left w:w="108" w:type="dxa"/>
            <w:bottom w:w="0" w:type="dxa"/>
            <w:right w:w="108" w:type="dxa"/>
          </w:tblCellMar>
        </w:tblPrEx>
        <w:trPr>
          <w:trHeight w:val="1200"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583F607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0" w:type="auto"/>
            <w:tcBorders>
              <w:top w:val="nil"/>
              <w:left w:val="nil"/>
              <w:bottom w:val="single" w:color="auto" w:sz="4" w:space="0"/>
              <w:right w:val="single" w:color="auto" w:sz="4" w:space="0"/>
            </w:tcBorders>
            <w:shd w:val="clear" w:color="auto" w:fill="auto"/>
            <w:vAlign w:val="center"/>
          </w:tcPr>
          <w:p w14:paraId="12650935">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ACLS导师培训及督导</w:t>
            </w:r>
          </w:p>
        </w:tc>
        <w:tc>
          <w:tcPr>
            <w:tcW w:w="0" w:type="auto"/>
            <w:tcBorders>
              <w:top w:val="nil"/>
              <w:left w:val="nil"/>
              <w:bottom w:val="single" w:color="auto" w:sz="4" w:space="0"/>
              <w:right w:val="single" w:color="auto" w:sz="4" w:space="0"/>
            </w:tcBorders>
            <w:shd w:val="clear" w:color="auto" w:fill="auto"/>
            <w:vAlign w:val="center"/>
          </w:tcPr>
          <w:p w14:paraId="491EE469">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6</w:t>
            </w:r>
          </w:p>
        </w:tc>
        <w:tc>
          <w:tcPr>
            <w:tcW w:w="0" w:type="auto"/>
            <w:tcBorders>
              <w:top w:val="nil"/>
              <w:left w:val="nil"/>
              <w:bottom w:val="single" w:color="auto" w:sz="4" w:space="0"/>
              <w:right w:val="single" w:color="auto" w:sz="4" w:space="0"/>
            </w:tcBorders>
            <w:shd w:val="clear" w:color="auto" w:fill="auto"/>
            <w:vAlign w:val="center"/>
          </w:tcPr>
          <w:p w14:paraId="412D65CA">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人</w:t>
            </w:r>
          </w:p>
        </w:tc>
        <w:tc>
          <w:tcPr>
            <w:tcW w:w="0" w:type="auto"/>
            <w:tcBorders>
              <w:top w:val="nil"/>
              <w:left w:val="nil"/>
              <w:bottom w:val="single" w:color="auto" w:sz="4" w:space="0"/>
              <w:right w:val="single" w:color="auto" w:sz="4" w:space="0"/>
            </w:tcBorders>
            <w:shd w:val="clear" w:color="auto" w:fill="auto"/>
            <w:vAlign w:val="center"/>
          </w:tcPr>
          <w:p w14:paraId="05A6C177">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1.ACLS导师课程；</w:t>
            </w:r>
            <w:r>
              <w:rPr>
                <w:rFonts w:hint="eastAsia" w:ascii="仿宋" w:hAnsi="仿宋" w:eastAsia="仿宋" w:cs="宋体"/>
                <w:color w:val="000000"/>
                <w:kern w:val="0"/>
                <w:sz w:val="24"/>
              </w:rPr>
              <w:br w:type="textWrapping"/>
            </w:r>
            <w:r>
              <w:rPr>
                <w:rFonts w:hint="eastAsia" w:ascii="仿宋" w:hAnsi="仿宋" w:eastAsia="仿宋" w:cs="宋体"/>
                <w:color w:val="000000"/>
                <w:kern w:val="0"/>
                <w:sz w:val="24"/>
              </w:rPr>
              <w:t>2.ACLS导师督导；</w:t>
            </w:r>
          </w:p>
        </w:tc>
        <w:tc>
          <w:tcPr>
            <w:tcW w:w="0" w:type="auto"/>
            <w:tcBorders>
              <w:top w:val="nil"/>
              <w:left w:val="nil"/>
              <w:bottom w:val="single" w:color="auto" w:sz="4" w:space="0"/>
              <w:right w:val="single" w:color="auto" w:sz="4" w:space="0"/>
            </w:tcBorders>
            <w:shd w:val="clear" w:color="auto" w:fill="auto"/>
            <w:vAlign w:val="center"/>
          </w:tcPr>
          <w:p w14:paraId="6958A5DB">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8740</w:t>
            </w:r>
          </w:p>
        </w:tc>
        <w:tc>
          <w:tcPr>
            <w:tcW w:w="0" w:type="auto"/>
            <w:tcBorders>
              <w:top w:val="nil"/>
              <w:left w:val="nil"/>
              <w:bottom w:val="single" w:color="auto" w:sz="4" w:space="0"/>
              <w:right w:val="single" w:color="auto" w:sz="4" w:space="0"/>
            </w:tcBorders>
            <w:shd w:val="clear" w:color="auto" w:fill="auto"/>
            <w:vAlign w:val="center"/>
          </w:tcPr>
          <w:p w14:paraId="08DFA22C">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52440</w:t>
            </w:r>
          </w:p>
        </w:tc>
        <w:tc>
          <w:tcPr>
            <w:tcW w:w="0" w:type="auto"/>
            <w:tcBorders>
              <w:top w:val="nil"/>
              <w:left w:val="nil"/>
              <w:bottom w:val="single" w:color="auto" w:sz="4" w:space="0"/>
              <w:right w:val="single" w:color="auto" w:sz="4" w:space="0"/>
            </w:tcBorders>
            <w:shd w:val="clear" w:color="auto" w:fill="auto"/>
            <w:vAlign w:val="center"/>
          </w:tcPr>
          <w:p w14:paraId="065D1CC6">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给6名ACLS导师进行授课，并完成相应的督导任务。</w:t>
            </w:r>
          </w:p>
        </w:tc>
      </w:tr>
      <w:tr w14:paraId="38325586">
        <w:tblPrEx>
          <w:tblCellMar>
            <w:top w:w="0" w:type="dxa"/>
            <w:left w:w="108" w:type="dxa"/>
            <w:bottom w:w="0" w:type="dxa"/>
            <w:right w:w="108" w:type="dxa"/>
          </w:tblCellMar>
        </w:tblPrEx>
        <w:trPr>
          <w:trHeight w:val="1200"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62C1193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0" w:type="auto"/>
            <w:tcBorders>
              <w:top w:val="nil"/>
              <w:left w:val="nil"/>
              <w:bottom w:val="single" w:color="auto" w:sz="4" w:space="0"/>
              <w:right w:val="single" w:color="auto" w:sz="4" w:space="0"/>
            </w:tcBorders>
            <w:shd w:val="clear" w:color="auto" w:fill="auto"/>
            <w:vAlign w:val="center"/>
          </w:tcPr>
          <w:p w14:paraId="24F0CF63">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ACLS学员手册</w:t>
            </w:r>
          </w:p>
        </w:tc>
        <w:tc>
          <w:tcPr>
            <w:tcW w:w="0" w:type="auto"/>
            <w:tcBorders>
              <w:top w:val="nil"/>
              <w:left w:val="nil"/>
              <w:bottom w:val="single" w:color="auto" w:sz="4" w:space="0"/>
              <w:right w:val="single" w:color="auto" w:sz="4" w:space="0"/>
            </w:tcBorders>
            <w:shd w:val="clear" w:color="auto" w:fill="auto"/>
            <w:vAlign w:val="center"/>
          </w:tcPr>
          <w:p w14:paraId="4550C73B">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18</w:t>
            </w:r>
          </w:p>
        </w:tc>
        <w:tc>
          <w:tcPr>
            <w:tcW w:w="0" w:type="auto"/>
            <w:tcBorders>
              <w:top w:val="nil"/>
              <w:left w:val="nil"/>
              <w:bottom w:val="single" w:color="auto" w:sz="4" w:space="0"/>
              <w:right w:val="single" w:color="auto" w:sz="4" w:space="0"/>
            </w:tcBorders>
            <w:shd w:val="clear" w:color="auto" w:fill="auto"/>
            <w:vAlign w:val="center"/>
          </w:tcPr>
          <w:p w14:paraId="46F7FA19">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本</w:t>
            </w:r>
          </w:p>
        </w:tc>
        <w:tc>
          <w:tcPr>
            <w:tcW w:w="0" w:type="auto"/>
            <w:tcBorders>
              <w:top w:val="nil"/>
              <w:left w:val="nil"/>
              <w:bottom w:val="single" w:color="auto" w:sz="4" w:space="0"/>
              <w:right w:val="single" w:color="auto" w:sz="4" w:space="0"/>
            </w:tcBorders>
            <w:shd w:val="clear" w:color="auto" w:fill="auto"/>
            <w:vAlign w:val="center"/>
          </w:tcPr>
          <w:p w14:paraId="32427EDA">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正版图书</w:t>
            </w:r>
          </w:p>
        </w:tc>
        <w:tc>
          <w:tcPr>
            <w:tcW w:w="0" w:type="auto"/>
            <w:tcBorders>
              <w:top w:val="nil"/>
              <w:left w:val="nil"/>
              <w:bottom w:val="single" w:color="auto" w:sz="4" w:space="0"/>
              <w:right w:val="single" w:color="auto" w:sz="4" w:space="0"/>
            </w:tcBorders>
            <w:shd w:val="clear" w:color="auto" w:fill="auto"/>
            <w:vAlign w:val="center"/>
          </w:tcPr>
          <w:p w14:paraId="3C094F02">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200</w:t>
            </w:r>
          </w:p>
        </w:tc>
        <w:tc>
          <w:tcPr>
            <w:tcW w:w="0" w:type="auto"/>
            <w:tcBorders>
              <w:top w:val="nil"/>
              <w:left w:val="nil"/>
              <w:bottom w:val="single" w:color="auto" w:sz="4" w:space="0"/>
              <w:right w:val="single" w:color="auto" w:sz="4" w:space="0"/>
            </w:tcBorders>
            <w:shd w:val="clear" w:color="auto" w:fill="auto"/>
            <w:vAlign w:val="center"/>
          </w:tcPr>
          <w:p w14:paraId="4C28C316">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3600</w:t>
            </w:r>
          </w:p>
        </w:tc>
        <w:tc>
          <w:tcPr>
            <w:tcW w:w="0" w:type="auto"/>
            <w:tcBorders>
              <w:top w:val="nil"/>
              <w:left w:val="nil"/>
              <w:bottom w:val="single" w:color="auto" w:sz="4" w:space="0"/>
              <w:right w:val="single" w:color="auto" w:sz="4" w:space="0"/>
            </w:tcBorders>
            <w:shd w:val="clear" w:color="auto" w:fill="auto"/>
            <w:vAlign w:val="center"/>
          </w:tcPr>
          <w:p w14:paraId="52D10825">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　</w:t>
            </w:r>
          </w:p>
        </w:tc>
      </w:tr>
      <w:tr w14:paraId="30324D3B">
        <w:tblPrEx>
          <w:tblCellMar>
            <w:top w:w="0" w:type="dxa"/>
            <w:left w:w="108" w:type="dxa"/>
            <w:bottom w:w="0" w:type="dxa"/>
            <w:right w:w="108" w:type="dxa"/>
          </w:tblCellMar>
        </w:tblPrEx>
        <w:trPr>
          <w:trHeight w:val="1200"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7E07C699">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0" w:type="auto"/>
            <w:tcBorders>
              <w:top w:val="nil"/>
              <w:left w:val="nil"/>
              <w:bottom w:val="single" w:color="auto" w:sz="4" w:space="0"/>
              <w:right w:val="single" w:color="auto" w:sz="4" w:space="0"/>
            </w:tcBorders>
            <w:shd w:val="clear" w:color="auto" w:fill="auto"/>
            <w:vAlign w:val="center"/>
          </w:tcPr>
          <w:p w14:paraId="0B5AE262">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ACLS学员证书</w:t>
            </w:r>
          </w:p>
        </w:tc>
        <w:tc>
          <w:tcPr>
            <w:tcW w:w="0" w:type="auto"/>
            <w:tcBorders>
              <w:top w:val="nil"/>
              <w:left w:val="nil"/>
              <w:bottom w:val="single" w:color="auto" w:sz="4" w:space="0"/>
              <w:right w:val="single" w:color="auto" w:sz="4" w:space="0"/>
            </w:tcBorders>
            <w:shd w:val="clear" w:color="auto" w:fill="auto"/>
            <w:vAlign w:val="center"/>
          </w:tcPr>
          <w:p w14:paraId="38AB7463">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18</w:t>
            </w:r>
          </w:p>
        </w:tc>
        <w:tc>
          <w:tcPr>
            <w:tcW w:w="0" w:type="auto"/>
            <w:tcBorders>
              <w:top w:val="nil"/>
              <w:left w:val="nil"/>
              <w:bottom w:val="single" w:color="auto" w:sz="4" w:space="0"/>
              <w:right w:val="single" w:color="auto" w:sz="4" w:space="0"/>
            </w:tcBorders>
            <w:shd w:val="clear" w:color="auto" w:fill="auto"/>
            <w:vAlign w:val="center"/>
          </w:tcPr>
          <w:p w14:paraId="249CC8F1">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张</w:t>
            </w:r>
          </w:p>
        </w:tc>
        <w:tc>
          <w:tcPr>
            <w:tcW w:w="0" w:type="auto"/>
            <w:tcBorders>
              <w:top w:val="nil"/>
              <w:left w:val="nil"/>
              <w:bottom w:val="single" w:color="auto" w:sz="4" w:space="0"/>
              <w:right w:val="single" w:color="auto" w:sz="4" w:space="0"/>
            </w:tcBorders>
            <w:shd w:val="clear" w:color="auto" w:fill="auto"/>
            <w:vAlign w:val="center"/>
          </w:tcPr>
          <w:p w14:paraId="2DD58A43">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正版证书</w:t>
            </w:r>
          </w:p>
        </w:tc>
        <w:tc>
          <w:tcPr>
            <w:tcW w:w="0" w:type="auto"/>
            <w:tcBorders>
              <w:top w:val="nil"/>
              <w:left w:val="nil"/>
              <w:bottom w:val="single" w:color="auto" w:sz="4" w:space="0"/>
              <w:right w:val="single" w:color="auto" w:sz="4" w:space="0"/>
            </w:tcBorders>
            <w:shd w:val="clear" w:color="auto" w:fill="auto"/>
            <w:vAlign w:val="center"/>
          </w:tcPr>
          <w:p w14:paraId="7425F578">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100</w:t>
            </w:r>
          </w:p>
        </w:tc>
        <w:tc>
          <w:tcPr>
            <w:tcW w:w="0" w:type="auto"/>
            <w:tcBorders>
              <w:top w:val="nil"/>
              <w:left w:val="nil"/>
              <w:bottom w:val="single" w:color="auto" w:sz="4" w:space="0"/>
              <w:right w:val="single" w:color="auto" w:sz="4" w:space="0"/>
            </w:tcBorders>
            <w:shd w:val="clear" w:color="auto" w:fill="auto"/>
            <w:vAlign w:val="center"/>
          </w:tcPr>
          <w:p w14:paraId="6F46E138">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1800</w:t>
            </w:r>
          </w:p>
        </w:tc>
        <w:tc>
          <w:tcPr>
            <w:tcW w:w="0" w:type="auto"/>
            <w:tcBorders>
              <w:top w:val="nil"/>
              <w:left w:val="nil"/>
              <w:bottom w:val="single" w:color="auto" w:sz="4" w:space="0"/>
              <w:right w:val="single" w:color="auto" w:sz="4" w:space="0"/>
            </w:tcBorders>
            <w:shd w:val="clear" w:color="auto" w:fill="auto"/>
            <w:vAlign w:val="center"/>
          </w:tcPr>
          <w:p w14:paraId="0D3B1F74">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　</w:t>
            </w:r>
          </w:p>
        </w:tc>
      </w:tr>
      <w:tr w14:paraId="4AB2A1F8">
        <w:tblPrEx>
          <w:tblCellMar>
            <w:top w:w="0" w:type="dxa"/>
            <w:left w:w="108" w:type="dxa"/>
            <w:bottom w:w="0" w:type="dxa"/>
            <w:right w:w="108" w:type="dxa"/>
          </w:tblCellMar>
        </w:tblPrEx>
        <w:trPr>
          <w:trHeight w:val="1200"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14C98AB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0" w:type="auto"/>
            <w:tcBorders>
              <w:top w:val="nil"/>
              <w:left w:val="nil"/>
              <w:bottom w:val="single" w:color="auto" w:sz="4" w:space="0"/>
              <w:right w:val="single" w:color="auto" w:sz="4" w:space="0"/>
            </w:tcBorders>
            <w:shd w:val="clear" w:color="auto" w:fill="auto"/>
            <w:vAlign w:val="center"/>
          </w:tcPr>
          <w:p w14:paraId="12DBE78D">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ECC手册</w:t>
            </w:r>
          </w:p>
        </w:tc>
        <w:tc>
          <w:tcPr>
            <w:tcW w:w="0" w:type="auto"/>
            <w:tcBorders>
              <w:top w:val="nil"/>
              <w:left w:val="nil"/>
              <w:bottom w:val="single" w:color="auto" w:sz="4" w:space="0"/>
              <w:right w:val="single" w:color="auto" w:sz="4" w:space="0"/>
            </w:tcBorders>
            <w:shd w:val="clear" w:color="auto" w:fill="auto"/>
            <w:vAlign w:val="center"/>
          </w:tcPr>
          <w:p w14:paraId="194EC7DE">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18</w:t>
            </w:r>
          </w:p>
        </w:tc>
        <w:tc>
          <w:tcPr>
            <w:tcW w:w="0" w:type="auto"/>
            <w:tcBorders>
              <w:top w:val="nil"/>
              <w:left w:val="nil"/>
              <w:bottom w:val="single" w:color="auto" w:sz="4" w:space="0"/>
              <w:right w:val="single" w:color="auto" w:sz="4" w:space="0"/>
            </w:tcBorders>
            <w:shd w:val="clear" w:color="auto" w:fill="auto"/>
            <w:vAlign w:val="center"/>
          </w:tcPr>
          <w:p w14:paraId="7E565999">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本</w:t>
            </w:r>
          </w:p>
        </w:tc>
        <w:tc>
          <w:tcPr>
            <w:tcW w:w="0" w:type="auto"/>
            <w:tcBorders>
              <w:top w:val="nil"/>
              <w:left w:val="nil"/>
              <w:bottom w:val="single" w:color="auto" w:sz="4" w:space="0"/>
              <w:right w:val="single" w:color="auto" w:sz="4" w:space="0"/>
            </w:tcBorders>
            <w:shd w:val="clear" w:color="auto" w:fill="auto"/>
            <w:vAlign w:val="center"/>
          </w:tcPr>
          <w:p w14:paraId="51B84D80">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正版图书</w:t>
            </w:r>
          </w:p>
        </w:tc>
        <w:tc>
          <w:tcPr>
            <w:tcW w:w="0" w:type="auto"/>
            <w:tcBorders>
              <w:top w:val="nil"/>
              <w:left w:val="nil"/>
              <w:bottom w:val="single" w:color="auto" w:sz="4" w:space="0"/>
              <w:right w:val="single" w:color="auto" w:sz="4" w:space="0"/>
            </w:tcBorders>
            <w:shd w:val="clear" w:color="auto" w:fill="auto"/>
            <w:vAlign w:val="center"/>
          </w:tcPr>
          <w:p w14:paraId="2681F859">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120</w:t>
            </w:r>
          </w:p>
        </w:tc>
        <w:tc>
          <w:tcPr>
            <w:tcW w:w="0" w:type="auto"/>
            <w:tcBorders>
              <w:top w:val="nil"/>
              <w:left w:val="nil"/>
              <w:bottom w:val="single" w:color="auto" w:sz="4" w:space="0"/>
              <w:right w:val="single" w:color="auto" w:sz="4" w:space="0"/>
            </w:tcBorders>
            <w:shd w:val="clear" w:color="auto" w:fill="auto"/>
            <w:vAlign w:val="center"/>
          </w:tcPr>
          <w:p w14:paraId="632147CB">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2160</w:t>
            </w:r>
          </w:p>
        </w:tc>
        <w:tc>
          <w:tcPr>
            <w:tcW w:w="0" w:type="auto"/>
            <w:tcBorders>
              <w:top w:val="nil"/>
              <w:left w:val="nil"/>
              <w:bottom w:val="single" w:color="auto" w:sz="4" w:space="0"/>
              <w:right w:val="single" w:color="auto" w:sz="4" w:space="0"/>
            </w:tcBorders>
            <w:shd w:val="clear" w:color="auto" w:fill="auto"/>
            <w:vAlign w:val="center"/>
          </w:tcPr>
          <w:p w14:paraId="0ECC324E">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　</w:t>
            </w:r>
          </w:p>
        </w:tc>
      </w:tr>
      <w:tr w14:paraId="79F3C2E7">
        <w:tblPrEx>
          <w:tblCellMar>
            <w:top w:w="0" w:type="dxa"/>
            <w:left w:w="108" w:type="dxa"/>
            <w:bottom w:w="0" w:type="dxa"/>
            <w:right w:w="108" w:type="dxa"/>
          </w:tblCellMar>
        </w:tblPrEx>
        <w:trPr>
          <w:trHeight w:val="720" w:hRule="atLeast"/>
        </w:trPr>
        <w:tc>
          <w:tcPr>
            <w:tcW w:w="0" w:type="auto"/>
            <w:tcBorders>
              <w:top w:val="nil"/>
              <w:left w:val="single" w:color="auto" w:sz="4" w:space="0"/>
              <w:bottom w:val="single" w:color="auto" w:sz="4" w:space="0"/>
              <w:right w:val="single" w:color="auto" w:sz="4" w:space="0"/>
            </w:tcBorders>
            <w:shd w:val="clear" w:color="auto" w:fill="auto"/>
            <w:noWrap/>
            <w:vAlign w:val="bottom"/>
          </w:tcPr>
          <w:p w14:paraId="41FC7372">
            <w:pPr>
              <w:widowControl/>
              <w:jc w:val="left"/>
              <w:rPr>
                <w:rFonts w:hint="eastAsia" w:ascii="等线" w:hAnsi="等线" w:eastAsia="等线" w:cs="宋体"/>
                <w:color w:val="000000"/>
                <w:kern w:val="0"/>
                <w:sz w:val="24"/>
              </w:rPr>
            </w:pPr>
            <w:r>
              <w:rPr>
                <w:rFonts w:hint="eastAsia" w:ascii="等线" w:hAnsi="等线" w:eastAsia="等线" w:cs="宋体"/>
                <w:color w:val="000000"/>
                <w:kern w:val="0"/>
                <w:sz w:val="24"/>
              </w:rPr>
              <w:t>　</w:t>
            </w:r>
          </w:p>
        </w:tc>
        <w:tc>
          <w:tcPr>
            <w:tcW w:w="0" w:type="auto"/>
            <w:tcBorders>
              <w:top w:val="nil"/>
              <w:left w:val="nil"/>
              <w:bottom w:val="single" w:color="auto" w:sz="4" w:space="0"/>
              <w:right w:val="single" w:color="auto" w:sz="4" w:space="0"/>
            </w:tcBorders>
            <w:shd w:val="clear" w:color="auto" w:fill="auto"/>
            <w:vAlign w:val="center"/>
          </w:tcPr>
          <w:p w14:paraId="0CE5B9C7">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总计</w:t>
            </w:r>
          </w:p>
        </w:tc>
        <w:tc>
          <w:tcPr>
            <w:tcW w:w="0" w:type="auto"/>
            <w:tcBorders>
              <w:top w:val="nil"/>
              <w:left w:val="nil"/>
              <w:bottom w:val="single" w:color="auto" w:sz="4" w:space="0"/>
              <w:right w:val="single" w:color="auto" w:sz="4" w:space="0"/>
            </w:tcBorders>
            <w:shd w:val="clear" w:color="auto" w:fill="auto"/>
            <w:noWrap/>
            <w:vAlign w:val="bottom"/>
          </w:tcPr>
          <w:p w14:paraId="6414C734">
            <w:pPr>
              <w:widowControl/>
              <w:jc w:val="left"/>
              <w:rPr>
                <w:rFonts w:hint="eastAsia" w:ascii="等线" w:hAnsi="等线" w:eastAsia="等线" w:cs="宋体"/>
                <w:color w:val="000000"/>
                <w:kern w:val="0"/>
                <w:sz w:val="24"/>
              </w:rPr>
            </w:pPr>
            <w:r>
              <w:rPr>
                <w:rFonts w:hint="eastAsia" w:ascii="等线" w:hAnsi="等线" w:eastAsia="等线" w:cs="宋体"/>
                <w:color w:val="000000"/>
                <w:kern w:val="0"/>
                <w:sz w:val="24"/>
              </w:rPr>
              <w:t>　</w:t>
            </w:r>
          </w:p>
        </w:tc>
        <w:tc>
          <w:tcPr>
            <w:tcW w:w="0" w:type="auto"/>
            <w:tcBorders>
              <w:top w:val="nil"/>
              <w:left w:val="nil"/>
              <w:bottom w:val="single" w:color="auto" w:sz="4" w:space="0"/>
              <w:right w:val="single" w:color="auto" w:sz="4" w:space="0"/>
            </w:tcBorders>
            <w:shd w:val="clear" w:color="auto" w:fill="auto"/>
            <w:noWrap/>
            <w:vAlign w:val="bottom"/>
          </w:tcPr>
          <w:p w14:paraId="0C2B13C6">
            <w:pPr>
              <w:widowControl/>
              <w:jc w:val="left"/>
              <w:rPr>
                <w:rFonts w:hint="eastAsia" w:ascii="等线" w:hAnsi="等线" w:eastAsia="等线" w:cs="宋体"/>
                <w:color w:val="000000"/>
                <w:kern w:val="0"/>
                <w:sz w:val="24"/>
              </w:rPr>
            </w:pPr>
            <w:r>
              <w:rPr>
                <w:rFonts w:hint="eastAsia" w:ascii="等线" w:hAnsi="等线" w:eastAsia="等线" w:cs="宋体"/>
                <w:color w:val="000000"/>
                <w:kern w:val="0"/>
                <w:sz w:val="24"/>
              </w:rPr>
              <w:t>　</w:t>
            </w:r>
          </w:p>
        </w:tc>
        <w:tc>
          <w:tcPr>
            <w:tcW w:w="0" w:type="auto"/>
            <w:tcBorders>
              <w:top w:val="nil"/>
              <w:left w:val="nil"/>
              <w:bottom w:val="single" w:color="auto" w:sz="4" w:space="0"/>
              <w:right w:val="single" w:color="auto" w:sz="4" w:space="0"/>
            </w:tcBorders>
            <w:shd w:val="clear" w:color="auto" w:fill="auto"/>
            <w:noWrap/>
            <w:vAlign w:val="bottom"/>
          </w:tcPr>
          <w:p w14:paraId="6BA24C66">
            <w:pPr>
              <w:widowControl/>
              <w:jc w:val="left"/>
              <w:rPr>
                <w:rFonts w:hint="eastAsia" w:ascii="等线" w:hAnsi="等线" w:eastAsia="等线" w:cs="宋体"/>
                <w:color w:val="000000"/>
                <w:kern w:val="0"/>
                <w:sz w:val="24"/>
              </w:rPr>
            </w:pPr>
            <w:r>
              <w:rPr>
                <w:rFonts w:hint="eastAsia" w:ascii="等线" w:hAnsi="等线" w:eastAsia="等线" w:cs="宋体"/>
                <w:color w:val="000000"/>
                <w:kern w:val="0"/>
                <w:sz w:val="24"/>
              </w:rPr>
              <w:t>　</w:t>
            </w:r>
          </w:p>
        </w:tc>
        <w:tc>
          <w:tcPr>
            <w:tcW w:w="0" w:type="auto"/>
            <w:tcBorders>
              <w:top w:val="nil"/>
              <w:left w:val="nil"/>
              <w:bottom w:val="single" w:color="auto" w:sz="4" w:space="0"/>
              <w:right w:val="single" w:color="auto" w:sz="4" w:space="0"/>
            </w:tcBorders>
            <w:shd w:val="clear" w:color="auto" w:fill="auto"/>
            <w:noWrap/>
            <w:vAlign w:val="bottom"/>
          </w:tcPr>
          <w:p w14:paraId="4C59CB1B">
            <w:pPr>
              <w:widowControl/>
              <w:jc w:val="left"/>
              <w:rPr>
                <w:rFonts w:hint="eastAsia" w:ascii="等线" w:hAnsi="等线" w:eastAsia="等线" w:cs="宋体"/>
                <w:color w:val="000000"/>
                <w:kern w:val="0"/>
                <w:sz w:val="24"/>
              </w:rPr>
            </w:pPr>
            <w:r>
              <w:rPr>
                <w:rFonts w:hint="eastAsia" w:ascii="等线" w:hAnsi="等线" w:eastAsia="等线" w:cs="宋体"/>
                <w:color w:val="000000"/>
                <w:kern w:val="0"/>
                <w:sz w:val="24"/>
              </w:rPr>
              <w:t>　</w:t>
            </w:r>
          </w:p>
        </w:tc>
        <w:tc>
          <w:tcPr>
            <w:tcW w:w="0" w:type="auto"/>
            <w:tcBorders>
              <w:top w:val="nil"/>
              <w:left w:val="nil"/>
              <w:bottom w:val="single" w:color="auto" w:sz="4" w:space="0"/>
              <w:right w:val="single" w:color="auto" w:sz="4" w:space="0"/>
            </w:tcBorders>
            <w:shd w:val="clear" w:color="auto" w:fill="auto"/>
            <w:vAlign w:val="center"/>
          </w:tcPr>
          <w:p w14:paraId="2BD1B3EF">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60000</w:t>
            </w:r>
          </w:p>
        </w:tc>
        <w:tc>
          <w:tcPr>
            <w:tcW w:w="0" w:type="auto"/>
            <w:tcBorders>
              <w:top w:val="nil"/>
              <w:left w:val="nil"/>
              <w:bottom w:val="single" w:color="auto" w:sz="4" w:space="0"/>
              <w:right w:val="single" w:color="auto" w:sz="4" w:space="0"/>
            </w:tcBorders>
            <w:shd w:val="clear" w:color="auto" w:fill="auto"/>
            <w:noWrap/>
            <w:vAlign w:val="bottom"/>
          </w:tcPr>
          <w:p w14:paraId="26F0AB99">
            <w:pPr>
              <w:widowControl/>
              <w:jc w:val="left"/>
              <w:rPr>
                <w:rFonts w:hint="eastAsia" w:ascii="等线" w:hAnsi="等线" w:eastAsia="等线" w:cs="宋体"/>
                <w:color w:val="000000"/>
                <w:kern w:val="0"/>
                <w:sz w:val="24"/>
              </w:rPr>
            </w:pPr>
            <w:r>
              <w:rPr>
                <w:rFonts w:hint="eastAsia" w:ascii="等线" w:hAnsi="等线" w:eastAsia="等线" w:cs="宋体"/>
                <w:color w:val="000000"/>
                <w:kern w:val="0"/>
                <w:sz w:val="24"/>
              </w:rPr>
              <w:t>　</w:t>
            </w:r>
          </w:p>
        </w:tc>
      </w:tr>
    </w:tbl>
    <w:p w14:paraId="0CC66DED">
      <w:pPr>
        <w:tabs>
          <w:tab w:val="left" w:pos="567"/>
        </w:tabs>
        <w:adjustRightInd w:val="0"/>
        <w:snapToGrid w:val="0"/>
        <w:ind w:left="400"/>
        <w:rPr>
          <w:sz w:val="24"/>
        </w:rPr>
      </w:pPr>
    </w:p>
    <w:p w14:paraId="7FAD6B32">
      <w:pPr>
        <w:tabs>
          <w:tab w:val="left" w:pos="567"/>
        </w:tabs>
        <w:adjustRightInd w:val="0"/>
        <w:snapToGrid w:val="0"/>
        <w:ind w:left="400"/>
        <w:rPr>
          <w:rFonts w:hint="eastAsia"/>
          <w:sz w:val="24"/>
        </w:rPr>
      </w:pPr>
    </w:p>
    <w:p w14:paraId="5F802780">
      <w:pPr>
        <w:numPr>
          <w:ilvl w:val="0"/>
          <w:numId w:val="1"/>
        </w:numPr>
        <w:tabs>
          <w:tab w:val="left" w:pos="567"/>
        </w:tabs>
        <w:adjustRightInd w:val="0"/>
        <w:snapToGrid w:val="0"/>
        <w:rPr>
          <w:rFonts w:hint="eastAsia" w:ascii="宋体" w:hAnsi="宋体" w:eastAsia="宋体" w:cs="宋体"/>
          <w:bCs/>
          <w:sz w:val="24"/>
        </w:rPr>
      </w:pPr>
      <w:r>
        <w:rPr>
          <w:rFonts w:hint="eastAsia" w:ascii="宋体" w:hAnsi="宋体" w:eastAsia="宋体" w:cs="宋体"/>
          <w:bCs/>
          <w:sz w:val="24"/>
        </w:rPr>
        <w:t>合同履行期限：</w:t>
      </w:r>
      <w:bookmarkStart w:id="0" w:name="_Hlk83826489"/>
      <w:r>
        <w:rPr>
          <w:rFonts w:hint="eastAsia" w:ascii="宋体" w:hAnsi="宋体" w:eastAsia="宋体" w:cs="宋体"/>
          <w:bCs/>
          <w:sz w:val="24"/>
        </w:rPr>
        <w:t>2026年10月1日前。</w:t>
      </w:r>
      <w:bookmarkEnd w:id="0"/>
    </w:p>
    <w:p w14:paraId="61AD6506">
      <w:pPr>
        <w:widowControl/>
        <w:numPr>
          <w:ilvl w:val="0"/>
          <w:numId w:val="2"/>
        </w:numPr>
        <w:spacing w:before="100" w:beforeAutospacing="1" w:after="100" w:afterAutospacing="1"/>
        <w:ind w:left="420" w:leftChars="2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shd w:val="clear" w:color="auto" w:fill="FFFFFF"/>
        </w:rPr>
        <w:t>投标人资格要求</w:t>
      </w:r>
    </w:p>
    <w:p w14:paraId="532B127E">
      <w:pPr>
        <w:numPr>
          <w:ilvl w:val="0"/>
          <w:numId w:val="3"/>
        </w:numPr>
        <w:tabs>
          <w:tab w:val="left" w:pos="567"/>
        </w:tabs>
        <w:adjustRightInd w:val="0"/>
        <w:snapToGrid w:val="0"/>
        <w:rPr>
          <w:rFonts w:ascii="Times New Roman" w:hAnsi="Times New Roman" w:eastAsia="仿宋_GB2312" w:cs="Times New Roman"/>
          <w:sz w:val="44"/>
          <w:szCs w:val="44"/>
        </w:rPr>
      </w:pPr>
      <w:r>
        <w:rPr>
          <w:rFonts w:hint="eastAsia" w:ascii="宋体" w:hAnsi="宋体" w:eastAsia="宋体" w:cs="宋体"/>
          <w:sz w:val="24"/>
        </w:rPr>
        <w:t>投标人须是在中华人民共和国境内注册的有合法经营资格的国内独立法人，并具有相关经营范围（提供合法有效的营业执照原件扫描件，原件备查）。</w:t>
      </w:r>
    </w:p>
    <w:p w14:paraId="14C8AE58">
      <w:pPr>
        <w:numPr>
          <w:ilvl w:val="0"/>
          <w:numId w:val="3"/>
        </w:numPr>
        <w:tabs>
          <w:tab w:val="left" w:pos="567"/>
        </w:tabs>
        <w:adjustRightInd w:val="0"/>
        <w:snapToGrid w:val="0"/>
        <w:rPr>
          <w:rFonts w:hint="eastAsia" w:ascii="宋体" w:hAnsi="宋体" w:eastAsia="宋体" w:cs="宋体"/>
          <w:sz w:val="24"/>
        </w:rPr>
      </w:pPr>
      <w:r>
        <w:rPr>
          <w:rFonts w:hint="eastAsia" w:ascii="宋体" w:hAnsi="宋体" w:eastAsia="宋体" w:cs="宋体"/>
          <w:sz w:val="24"/>
        </w:rPr>
        <w:t>特殊资质要求：无</w:t>
      </w:r>
    </w:p>
    <w:p w14:paraId="0803ACAD">
      <w:pPr>
        <w:pStyle w:val="4"/>
        <w:spacing w:line="240" w:lineRule="auto"/>
      </w:pPr>
    </w:p>
    <w:p w14:paraId="79F72A7D">
      <w:pPr>
        <w:ind w:firstLine="320" w:firstLineChars="100"/>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第二部分 采购项目需求</w:t>
      </w:r>
    </w:p>
    <w:p w14:paraId="7E613887">
      <w:pPr>
        <w:pStyle w:val="4"/>
        <w:spacing w:line="240" w:lineRule="auto"/>
      </w:pPr>
    </w:p>
    <w:p w14:paraId="526D7EAB">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一、服务需求</w:t>
      </w:r>
    </w:p>
    <w:p w14:paraId="661B5789">
      <w:pPr>
        <w:ind w:firstLine="482" w:firstLineChars="200"/>
        <w:rPr>
          <w:rFonts w:hint="eastAsia" w:ascii="宋体" w:hAnsi="宋体" w:eastAsia="宋体" w:cs="宋体"/>
          <w:b/>
          <w:bCs/>
          <w:sz w:val="24"/>
        </w:rPr>
      </w:pPr>
      <w:r>
        <w:rPr>
          <w:rFonts w:hint="eastAsia" w:ascii="宋体" w:hAnsi="宋体" w:eastAsia="宋体" w:cs="宋体"/>
          <w:b/>
          <w:bCs/>
          <w:sz w:val="24"/>
        </w:rPr>
        <w:t>（一）项目背景</w:t>
      </w:r>
    </w:p>
    <w:p w14:paraId="225BA9EB">
      <w:pPr>
        <w:ind w:firstLine="480" w:firstLineChars="200"/>
        <w:rPr>
          <w:rFonts w:hint="eastAsia" w:ascii="宋体" w:hAnsi="宋体" w:eastAsia="宋体" w:cs="Times New Roman"/>
          <w:sz w:val="24"/>
        </w:rPr>
      </w:pPr>
      <w:r>
        <w:rPr>
          <w:rFonts w:hint="eastAsia" w:ascii="宋体" w:hAnsi="宋体" w:eastAsia="宋体" w:cs="Times New Roman"/>
          <w:sz w:val="24"/>
        </w:rPr>
        <w:t>2023</w:t>
      </w:r>
      <w:r>
        <w:rPr>
          <w:rFonts w:hint="eastAsia" w:ascii="宋体" w:hAnsi="宋体" w:eastAsia="宋体"/>
          <w:sz w:val="24"/>
        </w:rPr>
        <w:t>年，我院开始引进</w:t>
      </w:r>
      <w:r>
        <w:rPr>
          <w:rFonts w:hint="eastAsia" w:ascii="宋体" w:hAnsi="宋体" w:eastAsia="宋体" w:cs="Times New Roman"/>
          <w:sz w:val="24"/>
        </w:rPr>
        <w:t>AHA</w:t>
      </w:r>
      <w:r>
        <w:rPr>
          <w:rFonts w:hint="eastAsia" w:ascii="宋体" w:hAnsi="宋体" w:eastAsia="宋体"/>
          <w:sz w:val="24"/>
        </w:rPr>
        <w:t>标准急救课程。2023年11月，</w:t>
      </w:r>
      <w:r>
        <w:rPr>
          <w:rFonts w:hint="eastAsia" w:ascii="宋体" w:hAnsi="宋体" w:eastAsia="宋体" w:cs="Times New Roman"/>
          <w:sz w:val="24"/>
        </w:rPr>
        <w:t>我院成功获批“AHA培训基地”。2023</w:t>
      </w:r>
      <w:r>
        <w:rPr>
          <w:rFonts w:hint="eastAsia" w:ascii="宋体" w:hAnsi="宋体" w:eastAsia="宋体"/>
          <w:sz w:val="24"/>
        </w:rPr>
        <w:t>年培养了基础生命支持（</w:t>
      </w:r>
      <w:r>
        <w:rPr>
          <w:rFonts w:hint="eastAsia" w:ascii="宋体" w:hAnsi="宋体" w:eastAsia="宋体" w:cs="Times New Roman"/>
          <w:sz w:val="24"/>
        </w:rPr>
        <w:t>BLS</w:t>
      </w:r>
      <w:r>
        <w:rPr>
          <w:rFonts w:hint="eastAsia" w:ascii="宋体" w:hAnsi="宋体" w:eastAsia="宋体"/>
          <w:sz w:val="24"/>
        </w:rPr>
        <w:t>）导师</w:t>
      </w:r>
      <w:r>
        <w:rPr>
          <w:rFonts w:hint="eastAsia" w:ascii="宋体" w:hAnsi="宋体" w:eastAsia="宋体" w:cs="Times New Roman"/>
          <w:sz w:val="24"/>
        </w:rPr>
        <w:t>6</w:t>
      </w:r>
      <w:r>
        <w:rPr>
          <w:rFonts w:hint="eastAsia" w:ascii="宋体" w:hAnsi="宋体" w:eastAsia="宋体"/>
          <w:sz w:val="24"/>
        </w:rPr>
        <w:t>名，</w:t>
      </w:r>
      <w:r>
        <w:rPr>
          <w:rFonts w:hint="eastAsia" w:ascii="宋体" w:hAnsi="宋体" w:eastAsia="宋体" w:cs="Times New Roman"/>
          <w:sz w:val="24"/>
        </w:rPr>
        <w:t>2024</w:t>
      </w:r>
      <w:r>
        <w:rPr>
          <w:rFonts w:hint="eastAsia" w:ascii="宋体" w:hAnsi="宋体" w:eastAsia="宋体"/>
          <w:sz w:val="24"/>
        </w:rPr>
        <w:t>年10月，</w:t>
      </w:r>
      <w:r>
        <w:rPr>
          <w:rFonts w:hint="eastAsia" w:ascii="宋体" w:hAnsi="宋体" w:eastAsia="宋体" w:cs="Times New Roman"/>
          <w:sz w:val="24"/>
        </w:rPr>
        <w:t>6</w:t>
      </w:r>
      <w:r>
        <w:rPr>
          <w:rFonts w:hint="eastAsia" w:ascii="宋体" w:hAnsi="宋体" w:eastAsia="宋体"/>
          <w:sz w:val="24"/>
        </w:rPr>
        <w:t>名</w:t>
      </w:r>
      <w:r>
        <w:rPr>
          <w:rFonts w:hint="eastAsia" w:ascii="宋体" w:hAnsi="宋体" w:eastAsia="宋体" w:cs="Times New Roman"/>
          <w:sz w:val="24"/>
        </w:rPr>
        <w:t>BLS</w:t>
      </w:r>
      <w:r>
        <w:rPr>
          <w:rFonts w:hint="eastAsia" w:ascii="宋体" w:hAnsi="宋体" w:eastAsia="宋体"/>
          <w:sz w:val="24"/>
        </w:rPr>
        <w:t>导师经过进一步培训考核，升级成为高级生命</w:t>
      </w:r>
      <w:r>
        <w:rPr>
          <w:rFonts w:ascii="宋体" w:hAnsi="宋体" w:eastAsia="宋体"/>
          <w:sz w:val="24"/>
        </w:rPr>
        <w:t>心血管生命支持课程</w:t>
      </w:r>
      <w:r>
        <w:rPr>
          <w:rFonts w:ascii="宋体" w:hAnsi="宋体" w:eastAsia="宋体" w:cs="Times New Roman"/>
          <w:sz w:val="24"/>
        </w:rPr>
        <w:t>（ACLS）</w:t>
      </w:r>
      <w:r>
        <w:rPr>
          <w:rFonts w:hint="eastAsia" w:ascii="宋体" w:hAnsi="宋体" w:eastAsia="宋体" w:cs="Times New Roman"/>
          <w:sz w:val="24"/>
        </w:rPr>
        <w:t>导师，并培养我院</w:t>
      </w:r>
      <w:r>
        <w:rPr>
          <w:rFonts w:ascii="宋体" w:hAnsi="宋体" w:eastAsia="宋体" w:cs="Times New Roman"/>
          <w:sz w:val="24"/>
        </w:rPr>
        <w:t>ACLS</w:t>
      </w:r>
      <w:r>
        <w:rPr>
          <w:rFonts w:hint="eastAsia" w:ascii="宋体" w:hAnsi="宋体" w:eastAsia="宋体" w:cs="Times New Roman"/>
          <w:sz w:val="24"/>
        </w:rPr>
        <w:t>学员16名。现需根据AHA管理要求，对6名</w:t>
      </w:r>
      <w:r>
        <w:rPr>
          <w:rFonts w:ascii="宋体" w:hAnsi="宋体" w:eastAsia="宋体" w:cs="Times New Roman"/>
          <w:sz w:val="24"/>
        </w:rPr>
        <w:t>ACLS</w:t>
      </w:r>
      <w:r>
        <w:rPr>
          <w:rFonts w:hint="eastAsia" w:ascii="宋体" w:hAnsi="宋体" w:eastAsia="宋体" w:cs="Times New Roman"/>
          <w:sz w:val="24"/>
        </w:rPr>
        <w:t>导师进行定期培训和督导。</w:t>
      </w:r>
    </w:p>
    <w:p w14:paraId="182031D3">
      <w:pPr>
        <w:ind w:firstLine="480" w:firstLineChars="200"/>
        <w:rPr>
          <w:rFonts w:hint="eastAsia" w:ascii="宋体" w:hAnsi="宋体" w:eastAsia="宋体" w:cs="Times New Roman"/>
          <w:sz w:val="24"/>
        </w:rPr>
      </w:pPr>
      <w:r>
        <w:rPr>
          <w:rFonts w:hint="eastAsia" w:ascii="宋体" w:hAnsi="宋体" w:eastAsia="宋体"/>
          <w:sz w:val="24"/>
        </w:rPr>
        <w:t>2026年ACLS导师培训及督导服务采购</w:t>
      </w:r>
      <w:r>
        <w:rPr>
          <w:rFonts w:hint="eastAsia" w:ascii="宋体" w:hAnsi="宋体" w:eastAsia="宋体" w:cs="Times New Roman"/>
          <w:sz w:val="24"/>
        </w:rPr>
        <w:t>，主要包括：ACLS导师的培训和督导。</w:t>
      </w:r>
    </w:p>
    <w:p w14:paraId="300F7274">
      <w:pPr>
        <w:ind w:firstLine="482" w:firstLineChars="200"/>
        <w:rPr>
          <w:rFonts w:hint="eastAsia" w:ascii="宋体" w:hAnsi="宋体" w:eastAsia="宋体" w:cs="宋体"/>
          <w:b/>
          <w:sz w:val="24"/>
        </w:rPr>
      </w:pPr>
      <w:r>
        <w:rPr>
          <w:rFonts w:hint="eastAsia" w:ascii="宋体" w:hAnsi="宋体" w:eastAsia="宋体" w:cs="宋体"/>
          <w:b/>
          <w:bCs/>
          <w:sz w:val="24"/>
        </w:rPr>
        <w:t>（二）</w:t>
      </w:r>
      <w:r>
        <w:rPr>
          <w:rFonts w:hint="eastAsia" w:ascii="宋体" w:hAnsi="宋体" w:eastAsia="宋体" w:cs="宋体"/>
          <w:b/>
          <w:sz w:val="24"/>
        </w:rPr>
        <w:t>服务要求</w:t>
      </w:r>
    </w:p>
    <w:p w14:paraId="48B575E3">
      <w:pPr>
        <w:ind w:firstLine="480" w:firstLineChars="200"/>
        <w:rPr>
          <w:rFonts w:hint="eastAsia" w:ascii="宋体" w:hAnsi="宋体" w:eastAsia="宋体" w:cs="Times New Roman"/>
          <w:sz w:val="24"/>
        </w:rPr>
      </w:pPr>
      <w:r>
        <w:rPr>
          <w:rFonts w:hint="eastAsia" w:ascii="宋体" w:hAnsi="宋体" w:eastAsia="宋体" w:cs="Times New Roman"/>
          <w:sz w:val="24"/>
        </w:rPr>
        <w:t>1.培训要求</w:t>
      </w:r>
    </w:p>
    <w:p w14:paraId="1B36F37F">
      <w:pPr>
        <w:ind w:firstLine="480" w:firstLineChars="200"/>
        <w:rPr>
          <w:rFonts w:ascii="宋体" w:hAnsi="宋体" w:eastAsia="宋体" w:cs="Times New Roman"/>
          <w:sz w:val="24"/>
        </w:rPr>
      </w:pPr>
      <w:r>
        <w:rPr>
          <w:rFonts w:hint="eastAsia" w:ascii="宋体" w:hAnsi="宋体" w:eastAsia="宋体" w:cs="Times New Roman"/>
          <w:sz w:val="24"/>
        </w:rPr>
        <w:t>（1）投标人为采购人提供6名ACLS导师的培训服务。</w:t>
      </w:r>
    </w:p>
    <w:p w14:paraId="74787328">
      <w:pPr>
        <w:ind w:firstLine="480" w:firstLineChars="200"/>
        <w:rPr>
          <w:rFonts w:ascii="宋体" w:hAnsi="宋体" w:eastAsia="宋体" w:cs="Times New Roman"/>
          <w:sz w:val="24"/>
        </w:rPr>
      </w:pPr>
      <w:r>
        <w:rPr>
          <w:rFonts w:hint="eastAsia" w:ascii="宋体" w:hAnsi="宋体" w:eastAsia="宋体" w:cs="Times New Roman"/>
          <w:sz w:val="24"/>
        </w:rPr>
        <w:t>（2）投标人为采购人提供6名ACLS导师定期督导服务。</w:t>
      </w:r>
    </w:p>
    <w:p w14:paraId="6EC99437">
      <w:pPr>
        <w:ind w:firstLine="480" w:firstLineChars="200"/>
        <w:rPr>
          <w:rFonts w:hint="eastAsia" w:ascii="宋体" w:hAnsi="宋体" w:eastAsia="宋体" w:cs="Times New Roman"/>
          <w:sz w:val="24"/>
        </w:rPr>
      </w:pPr>
      <w:r>
        <w:rPr>
          <w:rFonts w:hint="eastAsia" w:ascii="宋体" w:hAnsi="宋体" w:eastAsia="宋体" w:cs="Times New Roman"/>
          <w:sz w:val="24"/>
        </w:rPr>
        <w:t>（3）6名ACLS导师获得由美国心脏协会（简称“AHA”）颁发的导师证书。</w:t>
      </w:r>
    </w:p>
    <w:p w14:paraId="4647EDBA">
      <w:pPr>
        <w:ind w:firstLine="480" w:firstLineChars="200"/>
        <w:rPr>
          <w:rFonts w:hint="eastAsia" w:ascii="宋体" w:hAnsi="宋体" w:eastAsia="宋体" w:cs="Times New Roman"/>
          <w:sz w:val="24"/>
        </w:rPr>
      </w:pPr>
      <w:r>
        <w:rPr>
          <w:rFonts w:hint="eastAsia" w:ascii="宋体" w:hAnsi="宋体" w:eastAsia="宋体" w:cs="Times New Roman"/>
          <w:sz w:val="24"/>
        </w:rPr>
        <w:t>（4）投标人为采购人提供开展ACLS导师定期督导课程相关教材、导师证书。</w:t>
      </w:r>
    </w:p>
    <w:p w14:paraId="5077DA34">
      <w:pPr>
        <w:ind w:firstLine="480" w:firstLineChars="200"/>
        <w:rPr>
          <w:rFonts w:hint="eastAsia" w:ascii="宋体" w:hAnsi="宋体" w:eastAsia="宋体" w:cs="Times New Roman"/>
          <w:sz w:val="24"/>
        </w:rPr>
      </w:pPr>
      <w:r>
        <w:rPr>
          <w:rFonts w:hint="eastAsia" w:ascii="宋体" w:hAnsi="宋体" w:eastAsia="宋体" w:cs="Times New Roman"/>
          <w:sz w:val="24"/>
        </w:rPr>
        <w:t>2.ACLS导师督导内容</w:t>
      </w:r>
    </w:p>
    <w:p w14:paraId="20FACA5E">
      <w:pPr>
        <w:ind w:firstLine="480" w:firstLineChars="200"/>
        <w:rPr>
          <w:rFonts w:hint="eastAsia" w:ascii="宋体" w:hAnsi="宋体" w:eastAsia="宋体" w:cs="Times New Roman"/>
          <w:sz w:val="24"/>
        </w:rPr>
      </w:pPr>
      <w:r>
        <w:rPr>
          <w:rFonts w:hint="eastAsia" w:ascii="宋体" w:hAnsi="宋体" w:eastAsia="宋体" w:cs="Times New Roman"/>
          <w:sz w:val="24"/>
        </w:rPr>
        <w:t>（1）根据AHA相关要求，评估ACLS导师是否准确传授相关理论知识、准确示范ACLS技能操作。</w:t>
      </w:r>
    </w:p>
    <w:p w14:paraId="50324AF2">
      <w:pPr>
        <w:ind w:firstLine="480" w:firstLineChars="200"/>
        <w:rPr>
          <w:rFonts w:hint="eastAsia" w:ascii="宋体" w:hAnsi="宋体" w:eastAsia="宋体" w:cs="Times New Roman"/>
          <w:sz w:val="24"/>
        </w:rPr>
      </w:pPr>
      <w:r>
        <w:rPr>
          <w:rFonts w:hint="eastAsia" w:ascii="宋体" w:hAnsi="宋体" w:eastAsia="宋体" w:cs="Times New Roman"/>
          <w:sz w:val="24"/>
        </w:rPr>
        <w:t>（2）评估导师是否按照教学大纲合理安排教学进度。</w:t>
      </w:r>
    </w:p>
    <w:p w14:paraId="3471F4BD">
      <w:pPr>
        <w:ind w:firstLine="480" w:firstLineChars="200"/>
        <w:rPr>
          <w:rFonts w:hint="eastAsia" w:ascii="宋体" w:hAnsi="宋体" w:eastAsia="宋体" w:cs="Times New Roman"/>
          <w:sz w:val="24"/>
        </w:rPr>
      </w:pPr>
      <w:r>
        <w:rPr>
          <w:rFonts w:hint="eastAsia" w:ascii="宋体" w:hAnsi="宋体" w:eastAsia="宋体" w:cs="Times New Roman"/>
          <w:sz w:val="24"/>
        </w:rPr>
        <w:t>（3）评估导师能否及时发现学员问题并给予针对性的指导和纠正。</w:t>
      </w:r>
    </w:p>
    <w:p w14:paraId="12C6D3CD">
      <w:pPr>
        <w:ind w:firstLine="480" w:firstLineChars="200"/>
        <w:rPr>
          <w:rFonts w:hint="eastAsia" w:ascii="宋体" w:hAnsi="宋体" w:eastAsia="宋体" w:cs="Times New Roman"/>
          <w:sz w:val="24"/>
        </w:rPr>
      </w:pPr>
      <w:r>
        <w:rPr>
          <w:rFonts w:hint="eastAsia" w:ascii="宋体" w:hAnsi="宋体" w:eastAsia="宋体" w:cs="Times New Roman"/>
          <w:sz w:val="24"/>
        </w:rPr>
        <w:t>（4）督导导师能否严格按照AHA标准对学员进行技能考核。</w:t>
      </w:r>
    </w:p>
    <w:p w14:paraId="70B80A7B">
      <w:pPr>
        <w:ind w:firstLine="480" w:firstLineChars="200"/>
        <w:rPr>
          <w:rFonts w:hint="eastAsia" w:ascii="宋体" w:hAnsi="宋体" w:eastAsia="宋体" w:cs="Times New Roman"/>
          <w:sz w:val="24"/>
        </w:rPr>
      </w:pPr>
      <w:r>
        <w:rPr>
          <w:rFonts w:hint="eastAsia" w:ascii="宋体" w:hAnsi="宋体" w:eastAsia="宋体" w:cs="Times New Roman"/>
          <w:sz w:val="24"/>
        </w:rPr>
        <w:t>（5）为ACLS导师提供针对性的改进建议，促进教学质量提升。</w:t>
      </w:r>
    </w:p>
    <w:p w14:paraId="3D87364C">
      <w:pPr>
        <w:ind w:firstLine="480" w:firstLineChars="200"/>
        <w:rPr>
          <w:rFonts w:hint="eastAsia" w:ascii="宋体" w:hAnsi="宋体" w:eastAsia="宋体" w:cs="Times New Roman"/>
          <w:sz w:val="24"/>
        </w:rPr>
      </w:pPr>
      <w:r>
        <w:rPr>
          <w:rFonts w:hint="eastAsia" w:ascii="宋体" w:hAnsi="宋体" w:eastAsia="宋体" w:cs="Times New Roman"/>
          <w:sz w:val="24"/>
        </w:rPr>
        <w:t>3.准备时间：每期培训采购人至少提前1周时间通知投标人进行准备，投标人收到采购人通知后，须在采购人指定时间提供服务。</w:t>
      </w:r>
    </w:p>
    <w:p w14:paraId="073AD3F6">
      <w:pPr>
        <w:ind w:firstLine="480" w:firstLineChars="200"/>
        <w:rPr>
          <w:rFonts w:hint="eastAsia" w:ascii="宋体" w:hAnsi="宋体" w:eastAsia="宋体" w:cs="Times New Roman"/>
          <w:sz w:val="24"/>
        </w:rPr>
      </w:pPr>
      <w:r>
        <w:rPr>
          <w:rFonts w:hint="eastAsia" w:ascii="宋体" w:hAnsi="宋体" w:eastAsia="宋体" w:cs="Times New Roman"/>
          <w:sz w:val="24"/>
        </w:rPr>
        <w:t>5.投标人协助采购人完成相关督导课程，并协助导师获得相应证书。</w:t>
      </w:r>
    </w:p>
    <w:p w14:paraId="76E22961">
      <w:pPr>
        <w:ind w:firstLine="480" w:firstLineChars="200"/>
        <w:rPr>
          <w:rFonts w:hint="eastAsia" w:ascii="宋体" w:hAnsi="宋体" w:eastAsia="宋体" w:cs="Times New Roman"/>
          <w:sz w:val="24"/>
        </w:rPr>
      </w:pPr>
      <w:r>
        <w:rPr>
          <w:rFonts w:hint="eastAsia" w:ascii="宋体" w:hAnsi="宋体" w:eastAsia="宋体" w:cs="Times New Roman"/>
          <w:sz w:val="24"/>
        </w:rPr>
        <w:t>6.投标人提供培训数据并上传至AHA要求的平台。</w:t>
      </w:r>
    </w:p>
    <w:p w14:paraId="5D5A6419">
      <w:pPr>
        <w:ind w:firstLine="480" w:firstLineChars="200"/>
        <w:rPr>
          <w:rFonts w:hint="eastAsia" w:ascii="宋体" w:hAnsi="宋体" w:eastAsia="宋体" w:cs="Times New Roman"/>
          <w:sz w:val="24"/>
        </w:rPr>
      </w:pPr>
      <w:r>
        <w:rPr>
          <w:rFonts w:hint="eastAsia" w:ascii="宋体" w:hAnsi="宋体" w:eastAsia="宋体" w:cs="Times New Roman"/>
          <w:sz w:val="24"/>
        </w:rPr>
        <w:t>7.投标人根据AHA要求提供培训所需的场地和会务服务，协助课程人数符合AHA规定。</w:t>
      </w:r>
    </w:p>
    <w:p w14:paraId="6FBF08A4">
      <w:pPr>
        <w:ind w:firstLine="480" w:firstLineChars="200"/>
        <w:rPr>
          <w:rFonts w:hint="eastAsia" w:ascii="宋体" w:hAnsi="宋体" w:eastAsia="宋体" w:cs="Times New Roman"/>
          <w:sz w:val="24"/>
        </w:rPr>
      </w:pPr>
      <w:r>
        <w:rPr>
          <w:rFonts w:hint="eastAsia" w:ascii="宋体" w:hAnsi="宋体" w:eastAsia="宋体" w:cs="Times New Roman"/>
          <w:sz w:val="24"/>
        </w:rPr>
        <w:t>8.培训课程地点：采购人指定地点。</w:t>
      </w:r>
    </w:p>
    <w:p w14:paraId="0EBB7B8F">
      <w:pPr>
        <w:ind w:firstLine="480" w:firstLineChars="200"/>
        <w:rPr>
          <w:rFonts w:hint="eastAsia" w:ascii="宋体" w:hAnsi="宋体" w:eastAsia="宋体" w:cs="Times New Roman"/>
          <w:sz w:val="24"/>
        </w:rPr>
      </w:pPr>
      <w:r>
        <w:rPr>
          <w:rFonts w:hint="eastAsia" w:ascii="宋体" w:hAnsi="宋体" w:eastAsia="宋体" w:cs="Times New Roman"/>
          <w:sz w:val="24"/>
        </w:rPr>
        <w:t>9.培训时间：培训完成时间为2026年，具体时间由</w:t>
      </w:r>
      <w:r>
        <w:rPr>
          <w:rFonts w:hint="eastAsia" w:ascii="宋体" w:hAnsi="宋体" w:eastAsia="宋体" w:cs="Times New Roman"/>
          <w:sz w:val="24"/>
          <w:lang w:val="en-US" w:eastAsia="zh-CN"/>
        </w:rPr>
        <w:t>采购人与投标人</w:t>
      </w:r>
      <w:r>
        <w:rPr>
          <w:rFonts w:hint="eastAsia" w:ascii="宋体" w:hAnsi="宋体" w:eastAsia="宋体" w:cs="Times New Roman"/>
          <w:sz w:val="24"/>
        </w:rPr>
        <w:t>双方协定。</w:t>
      </w:r>
    </w:p>
    <w:p w14:paraId="497FD9B7">
      <w:pPr>
        <w:ind w:firstLine="480" w:firstLineChars="200"/>
        <w:rPr>
          <w:rFonts w:hint="eastAsia" w:ascii="宋体" w:hAnsi="宋体" w:eastAsia="宋体" w:cs="Times New Roman"/>
          <w:sz w:val="24"/>
        </w:rPr>
      </w:pPr>
      <w:r>
        <w:rPr>
          <w:rFonts w:hint="eastAsia" w:ascii="宋体" w:hAnsi="宋体" w:eastAsia="宋体" w:cs="Times New Roman"/>
          <w:sz w:val="24"/>
        </w:rPr>
        <w:t>10.培训对象：采购人指定的医护人员。</w:t>
      </w:r>
    </w:p>
    <w:p w14:paraId="7C193C16">
      <w:pPr>
        <w:ind w:firstLine="480" w:firstLineChars="200"/>
        <w:rPr>
          <w:rFonts w:hint="eastAsia" w:ascii="宋体" w:hAnsi="宋体" w:eastAsia="宋体" w:cs="Times New Roman"/>
          <w:sz w:val="24"/>
        </w:rPr>
      </w:pPr>
    </w:p>
    <w:p w14:paraId="15B86178">
      <w:pPr>
        <w:ind w:left="482"/>
        <w:rPr>
          <w:rFonts w:hint="eastAsia" w:ascii="宋体" w:hAnsi="宋体" w:eastAsia="宋体" w:cs="宋体"/>
          <w:b/>
          <w:sz w:val="24"/>
        </w:rPr>
      </w:pPr>
      <w:r>
        <w:rPr>
          <w:rFonts w:hint="eastAsia" w:ascii="宋体" w:hAnsi="宋体" w:eastAsia="宋体" w:cs="宋体"/>
          <w:b/>
          <w:bCs/>
          <w:sz w:val="24"/>
        </w:rPr>
        <w:t>（三）</w:t>
      </w:r>
      <w:r>
        <w:rPr>
          <w:rFonts w:hint="eastAsia" w:ascii="宋体" w:hAnsi="宋体" w:eastAsia="宋体" w:cs="宋体"/>
          <w:b/>
          <w:sz w:val="24"/>
        </w:rPr>
        <w:t>人员要求（必选）</w:t>
      </w:r>
    </w:p>
    <w:p w14:paraId="499A6920">
      <w:pPr>
        <w:ind w:firstLine="720" w:firstLineChars="300"/>
        <w:rPr>
          <w:rFonts w:hint="eastAsia" w:ascii="宋体" w:hAnsi="宋体" w:cs="宋体"/>
          <w:b/>
          <w:bCs/>
          <w:sz w:val="28"/>
          <w:szCs w:val="28"/>
        </w:rPr>
      </w:pPr>
      <w:r>
        <w:rPr>
          <w:rFonts w:hint="eastAsia" w:ascii="宋体" w:hAnsi="宋体" w:cs="宋体"/>
          <w:color w:val="000000"/>
          <w:kern w:val="0"/>
          <w:sz w:val="24"/>
          <w:lang w:bidi="ar"/>
        </w:rPr>
        <w:t>授课专家要求：投标人须提供至少2名具有AHA主任导师（TCF）或区域主任导师（RF）作为备选授课专家，授课专家须具备1年及以上的心血管急救课程培训授课经验，且具备合法有效的AHA主任导师证书。</w:t>
      </w:r>
    </w:p>
    <w:p w14:paraId="36F6D663">
      <w:pPr>
        <w:rPr>
          <w:rFonts w:hint="eastAsia" w:ascii="宋体" w:hAnsi="宋体" w:eastAsia="宋体" w:cs="宋体"/>
          <w:b/>
          <w:bCs/>
          <w:sz w:val="28"/>
          <w:szCs w:val="28"/>
        </w:rPr>
      </w:pPr>
      <w:r>
        <w:rPr>
          <w:rFonts w:hint="eastAsia" w:ascii="宋体" w:hAnsi="宋体" w:eastAsia="宋体" w:cs="宋体"/>
          <w:b/>
          <w:bCs/>
          <w:sz w:val="28"/>
          <w:szCs w:val="28"/>
        </w:rPr>
        <w:t>★二、商务要求</w:t>
      </w:r>
    </w:p>
    <w:p w14:paraId="2FBF2D21">
      <w:pPr>
        <w:numPr>
          <w:ilvl w:val="0"/>
          <w:numId w:val="4"/>
        </w:numPr>
        <w:rPr>
          <w:rFonts w:hint="eastAsia" w:ascii="宋体" w:hAnsi="宋体" w:eastAsia="宋体" w:cs="宋体"/>
          <w:bCs/>
          <w:sz w:val="24"/>
        </w:rPr>
      </w:pPr>
      <w:r>
        <w:rPr>
          <w:rFonts w:hint="eastAsia" w:ascii="宋体" w:hAnsi="宋体" w:eastAsia="宋体" w:cs="宋体"/>
          <w:b/>
          <w:bCs/>
          <w:sz w:val="24"/>
        </w:rPr>
        <w:t>服务时间:</w:t>
      </w:r>
      <w:r>
        <w:rPr>
          <w:rFonts w:hint="eastAsia" w:ascii="宋体" w:hAnsi="宋体" w:eastAsia="宋体" w:cs="宋体"/>
          <w:sz w:val="24"/>
        </w:rPr>
        <w:t>自</w:t>
      </w:r>
      <w:r>
        <w:rPr>
          <w:rFonts w:hint="eastAsia" w:ascii="宋体" w:hAnsi="宋体" w:eastAsia="宋体" w:cs="宋体"/>
          <w:bCs/>
          <w:sz w:val="24"/>
        </w:rPr>
        <w:t>合同签订之日起</w:t>
      </w:r>
      <w:r>
        <w:rPr>
          <w:rFonts w:hint="eastAsia" w:ascii="宋体" w:hAnsi="宋体" w:eastAsia="宋体" w:cs="宋体"/>
          <w:bCs/>
          <w:sz w:val="24"/>
          <w:lang w:val="en-US" w:eastAsia="zh-CN"/>
        </w:rPr>
        <w:t>至2026年10月1日前</w:t>
      </w:r>
      <w:r>
        <w:rPr>
          <w:rFonts w:hint="eastAsia" w:ascii="宋体" w:hAnsi="宋体" w:eastAsia="宋体" w:cs="宋体"/>
          <w:bCs/>
          <w:sz w:val="24"/>
        </w:rPr>
        <w:t>完成全部培训内容。</w:t>
      </w:r>
    </w:p>
    <w:p w14:paraId="7C07E55A">
      <w:pPr>
        <w:numPr>
          <w:ilvl w:val="0"/>
          <w:numId w:val="4"/>
        </w:numPr>
        <w:rPr>
          <w:rFonts w:hint="eastAsia" w:ascii="宋体" w:hAnsi="宋体" w:eastAsia="宋体" w:cs="宋体"/>
          <w:b/>
          <w:bCs/>
          <w:sz w:val="24"/>
        </w:rPr>
      </w:pPr>
      <w:r>
        <w:rPr>
          <w:rFonts w:hint="eastAsia" w:ascii="宋体" w:hAnsi="宋体" w:eastAsia="宋体" w:cs="宋体"/>
          <w:b/>
          <w:bCs/>
          <w:sz w:val="24"/>
        </w:rPr>
        <w:t>服务地点：</w:t>
      </w:r>
      <w:r>
        <w:rPr>
          <w:rFonts w:hint="eastAsia" w:ascii="宋体" w:hAnsi="宋体" w:cs="宋体"/>
          <w:kern w:val="0"/>
          <w:sz w:val="24"/>
        </w:rPr>
        <w:t>中山大学附属第八医院（深圳福田）</w:t>
      </w:r>
    </w:p>
    <w:p w14:paraId="43A873A2">
      <w:pPr>
        <w:numPr>
          <w:ilvl w:val="0"/>
          <w:numId w:val="4"/>
        </w:numPr>
        <w:rPr>
          <w:rFonts w:hint="eastAsia" w:ascii="宋体" w:hAnsi="宋体" w:eastAsia="宋体" w:cs="宋体"/>
          <w:b/>
          <w:bCs/>
          <w:sz w:val="24"/>
        </w:rPr>
      </w:pPr>
      <w:r>
        <w:rPr>
          <w:rFonts w:hint="eastAsia" w:ascii="宋体" w:hAnsi="宋体" w:eastAsia="宋体" w:cs="宋体"/>
          <w:b/>
          <w:bCs/>
          <w:sz w:val="24"/>
        </w:rPr>
        <w:t>投标报价要求</w:t>
      </w:r>
    </w:p>
    <w:p w14:paraId="605BCFEF">
      <w:pPr>
        <w:ind w:left="420" w:firstLine="480" w:firstLineChars="200"/>
      </w:pPr>
      <w:r>
        <w:rPr>
          <w:rFonts w:hint="eastAsia"/>
          <w:kern w:val="0"/>
          <w:sz w:val="24"/>
          <w:szCs w:val="22"/>
          <w:lang w:val="en-US" w:eastAsia="zh-CN"/>
        </w:rPr>
        <w:t>项目报价</w:t>
      </w:r>
      <w:r>
        <w:rPr>
          <w:rFonts w:hint="eastAsia" w:ascii="宋体" w:hAnsi="宋体" w:cs="宋体"/>
          <w:sz w:val="24"/>
        </w:rPr>
        <w:t>含该项目涉及的一切费用，包括但不限于培训过程所涉及的所有培训服务费、导师、督导人员的劳务、差旅、住宿、教学培训材料、证书费、国家规定的各项税费等全部费用。</w:t>
      </w:r>
      <w:r>
        <w:rPr>
          <w:rFonts w:hint="eastAsia" w:ascii="宋体" w:hAnsi="宋体" w:cs="宋体"/>
          <w:sz w:val="24"/>
          <w:lang w:val="en-US" w:eastAsia="zh-CN"/>
        </w:rPr>
        <w:t>报价</w:t>
      </w:r>
      <w:r>
        <w:rPr>
          <w:rFonts w:hint="eastAsia" w:ascii="宋体" w:hAnsi="宋体" w:cs="宋体"/>
          <w:sz w:val="24"/>
        </w:rPr>
        <w:t>价已包含本项目下服务所涉全部费用，采购人无需支付任何额外费用和承担任何额外义务</w:t>
      </w:r>
    </w:p>
    <w:p w14:paraId="37F0D377">
      <w:pPr>
        <w:ind w:firstLine="482" w:firstLineChars="200"/>
        <w:rPr>
          <w:rFonts w:hint="eastAsia" w:ascii="宋体" w:hAnsi="宋体" w:eastAsia="宋体" w:cs="宋体"/>
          <w:b/>
          <w:bCs/>
          <w:sz w:val="24"/>
        </w:rPr>
      </w:pPr>
      <w:r>
        <w:rPr>
          <w:rFonts w:hint="eastAsia" w:ascii="宋体" w:hAnsi="宋体" w:eastAsia="宋体" w:cs="宋体"/>
          <w:b/>
          <w:bCs/>
          <w:sz w:val="24"/>
        </w:rPr>
        <w:t>（四）付款方式：</w:t>
      </w:r>
    </w:p>
    <w:p w14:paraId="4ABF3997">
      <w:pPr>
        <w:ind w:left="420"/>
        <w:rPr>
          <w:rFonts w:hint="eastAsia" w:ascii="宋体" w:hAnsi="宋体" w:eastAsia="宋体" w:cs="宋体"/>
          <w:b/>
          <w:bCs/>
          <w:sz w:val="24"/>
        </w:rPr>
      </w:pPr>
      <w:r>
        <w:rPr>
          <w:rFonts w:hint="eastAsia" w:ascii="宋体" w:hAnsi="宋体" w:eastAsia="宋体" w:cs="宋体"/>
          <w:color w:val="auto"/>
          <w:kern w:val="0"/>
          <w:sz w:val="24"/>
        </w:rPr>
        <w:t>完成验收后</w:t>
      </w:r>
      <w:r>
        <w:rPr>
          <w:rFonts w:hint="eastAsia" w:ascii="宋体" w:hAnsi="宋体" w:cs="仿宋_GB2312"/>
          <w:color w:val="auto"/>
          <w:sz w:val="24"/>
          <w:lang w:val="en-US" w:eastAsia="zh-CN"/>
        </w:rPr>
        <w:t>之日起5天内</w:t>
      </w:r>
      <w:r>
        <w:rPr>
          <w:rFonts w:hint="eastAsia" w:ascii="宋体" w:hAnsi="宋体" w:cs="仿宋_GB2312"/>
          <w:color w:val="auto"/>
          <w:sz w:val="24"/>
        </w:rPr>
        <w:t>，</w:t>
      </w:r>
      <w:r>
        <w:rPr>
          <w:rFonts w:hint="eastAsia" w:ascii="宋体" w:hAnsi="宋体" w:cs="仿宋_GB2312"/>
          <w:color w:val="auto"/>
          <w:sz w:val="24"/>
          <w:lang w:val="en-US" w:eastAsia="zh-CN"/>
        </w:rPr>
        <w:t>中标人</w:t>
      </w:r>
      <w:r>
        <w:rPr>
          <w:rFonts w:hint="eastAsia" w:ascii="宋体" w:hAnsi="宋体" w:cs="仿宋_GB2312"/>
          <w:color w:val="auto"/>
          <w:sz w:val="24"/>
        </w:rPr>
        <w:t>向采购人开具与合同金额等额的发票，采购人财务科自收到项目合同发票后的</w:t>
      </w:r>
      <w:r>
        <w:rPr>
          <w:rFonts w:hint="eastAsia" w:ascii="宋体" w:hAnsi="宋体" w:cs="仿宋_GB2312"/>
          <w:color w:val="auto"/>
          <w:sz w:val="24"/>
          <w:lang w:val="en-US" w:eastAsia="zh-CN"/>
        </w:rPr>
        <w:t>10个工作日</w:t>
      </w:r>
      <w:r>
        <w:rPr>
          <w:rFonts w:hint="eastAsia" w:ascii="宋体" w:hAnsi="宋体" w:cs="仿宋_GB2312"/>
          <w:color w:val="auto"/>
          <w:sz w:val="24"/>
        </w:rPr>
        <w:t>内向</w:t>
      </w:r>
      <w:r>
        <w:rPr>
          <w:rFonts w:hint="eastAsia" w:ascii="宋体" w:hAnsi="宋体" w:cs="仿宋_GB2312"/>
          <w:color w:val="auto"/>
          <w:sz w:val="24"/>
          <w:lang w:val="en-US" w:eastAsia="zh-CN"/>
        </w:rPr>
        <w:t>中</w:t>
      </w:r>
      <w:r>
        <w:rPr>
          <w:rFonts w:hint="eastAsia" w:ascii="宋体" w:hAnsi="宋体" w:cs="仿宋_GB2312"/>
          <w:color w:val="auto"/>
          <w:sz w:val="24"/>
        </w:rPr>
        <w:t>标人支付</w:t>
      </w:r>
      <w:r>
        <w:rPr>
          <w:rFonts w:hint="eastAsia" w:ascii="宋体" w:hAnsi="宋体" w:cs="仿宋_GB2312"/>
          <w:color w:val="auto"/>
          <w:sz w:val="24"/>
          <w:lang w:val="en-US" w:eastAsia="zh-CN"/>
        </w:rPr>
        <w:t>100</w:t>
      </w:r>
      <w:r>
        <w:rPr>
          <w:rFonts w:hint="eastAsia" w:ascii="宋体" w:hAnsi="宋体" w:cs="仿宋_GB2312"/>
          <w:color w:val="auto"/>
          <w:sz w:val="24"/>
        </w:rPr>
        <w:t>%</w:t>
      </w:r>
      <w:r>
        <w:rPr>
          <w:rFonts w:hint="eastAsia" w:ascii="宋体" w:hAnsi="宋体" w:cs="仿宋_GB2312"/>
          <w:color w:val="auto"/>
          <w:sz w:val="24"/>
          <w:lang w:val="en-US" w:eastAsia="zh-CN"/>
        </w:rPr>
        <w:t>的合同</w:t>
      </w:r>
      <w:r>
        <w:rPr>
          <w:rFonts w:hint="eastAsia" w:ascii="宋体" w:hAnsi="宋体" w:cs="仿宋_GB2312"/>
          <w:color w:val="auto"/>
          <w:sz w:val="24"/>
        </w:rPr>
        <w:t>款项</w:t>
      </w:r>
      <w:r>
        <w:rPr>
          <w:rFonts w:hint="eastAsia" w:ascii="宋体" w:hAnsi="宋体" w:cs="宋体"/>
          <w:sz w:val="24"/>
        </w:rPr>
        <w:t>。</w:t>
      </w:r>
    </w:p>
    <w:p w14:paraId="4FB3EF59">
      <w:pPr>
        <w:ind w:left="420"/>
        <w:rPr>
          <w:rFonts w:hint="eastAsia" w:ascii="宋体" w:hAnsi="宋体" w:eastAsia="宋体" w:cs="宋体"/>
          <w:b/>
          <w:bCs/>
          <w:sz w:val="24"/>
        </w:rPr>
      </w:pPr>
      <w:r>
        <w:rPr>
          <w:rFonts w:hint="eastAsia" w:ascii="宋体" w:hAnsi="宋体" w:eastAsia="宋体" w:cs="宋体"/>
          <w:b/>
          <w:bCs/>
          <w:sz w:val="24"/>
        </w:rPr>
        <w:t>（五）关于验收</w:t>
      </w:r>
    </w:p>
    <w:p w14:paraId="0778C68F">
      <w:pPr>
        <w:ind w:firstLine="480" w:firstLineChars="200"/>
        <w:rPr>
          <w:rFonts w:hint="eastAsia" w:ascii="宋体" w:hAnsi="宋体" w:eastAsia="宋体" w:cs="Times New Roman"/>
          <w:sz w:val="24"/>
        </w:rPr>
      </w:pPr>
      <w:r>
        <w:rPr>
          <w:rFonts w:hint="eastAsia" w:ascii="宋体" w:hAnsi="宋体" w:eastAsia="宋体" w:cs="Times New Roman"/>
          <w:sz w:val="24"/>
        </w:rPr>
        <w:t>自合同签订之日起</w:t>
      </w:r>
      <w:r>
        <w:rPr>
          <w:rFonts w:hint="eastAsia" w:ascii="宋体" w:hAnsi="宋体" w:eastAsia="宋体" w:cs="宋体"/>
          <w:bCs/>
          <w:sz w:val="24"/>
          <w:lang w:val="en-US" w:eastAsia="zh-CN"/>
        </w:rPr>
        <w:t>2026年10月1日前</w:t>
      </w:r>
      <w:r>
        <w:rPr>
          <w:rFonts w:hint="eastAsia" w:ascii="宋体" w:hAnsi="宋体" w:eastAsia="宋体" w:cs="Times New Roman"/>
          <w:sz w:val="24"/>
        </w:rPr>
        <w:t>投标人须完成以下内容并经采购人验收合格，具体包括：</w:t>
      </w:r>
    </w:p>
    <w:p w14:paraId="3F661F63">
      <w:pPr>
        <w:ind w:left="420"/>
        <w:rPr>
          <w:rFonts w:hint="eastAsia" w:ascii="宋体" w:hAnsi="宋体" w:eastAsia="宋体" w:cs="Times New Roman"/>
          <w:sz w:val="24"/>
        </w:rPr>
      </w:pPr>
      <w:r>
        <w:rPr>
          <w:rFonts w:hint="eastAsia" w:ascii="宋体" w:hAnsi="宋体" w:eastAsia="宋体" w:cs="Times New Roman"/>
          <w:sz w:val="24"/>
        </w:rPr>
        <w:t>（1）完成采购人6名ACLS导师培训服务。</w:t>
      </w:r>
    </w:p>
    <w:p w14:paraId="4BCEDEB9">
      <w:pPr>
        <w:ind w:left="420"/>
        <w:rPr>
          <w:rFonts w:hint="eastAsia" w:ascii="宋体" w:hAnsi="宋体" w:eastAsia="宋体" w:cs="Times New Roman"/>
          <w:sz w:val="24"/>
        </w:rPr>
      </w:pPr>
      <w:r>
        <w:rPr>
          <w:rFonts w:hint="eastAsia" w:ascii="宋体" w:hAnsi="宋体" w:eastAsia="宋体" w:cs="Times New Roman"/>
          <w:sz w:val="24"/>
        </w:rPr>
        <w:t>（2）完成采购人6名ACLS导师定期督导服务。</w:t>
      </w:r>
    </w:p>
    <w:p w14:paraId="3CF0AC65">
      <w:pPr>
        <w:ind w:firstLine="480" w:firstLineChars="200"/>
        <w:rPr>
          <w:rFonts w:hint="eastAsia" w:ascii="宋体" w:hAnsi="宋体" w:eastAsia="宋体" w:cs="Times New Roman"/>
          <w:sz w:val="24"/>
        </w:rPr>
      </w:pPr>
      <w:r>
        <w:rPr>
          <w:rFonts w:hint="eastAsia" w:ascii="宋体" w:hAnsi="宋体" w:eastAsia="宋体" w:cs="Times New Roman"/>
          <w:sz w:val="24"/>
        </w:rPr>
        <w:t>（3）6名ACLS导师获得由美国心脏协会（简称“AHA”）颁发的导师证书。</w:t>
      </w:r>
    </w:p>
    <w:p w14:paraId="5A433D2A">
      <w:pPr>
        <w:ind w:left="420"/>
        <w:rPr>
          <w:rFonts w:hint="eastAsia" w:ascii="宋体" w:hAnsi="宋体" w:eastAsia="宋体" w:cs="Times New Roman"/>
          <w:sz w:val="24"/>
        </w:rPr>
      </w:pPr>
      <w:r>
        <w:rPr>
          <w:rFonts w:hint="eastAsia" w:ascii="宋体" w:hAnsi="宋体" w:eastAsia="宋体" w:cs="Times New Roman"/>
          <w:sz w:val="24"/>
        </w:rPr>
        <w:t>（4）提供ACLS导师定期督导课程相关教材、导师证书。</w:t>
      </w:r>
    </w:p>
    <w:p w14:paraId="1785FE28">
      <w:pPr>
        <w:ind w:left="420"/>
        <w:rPr>
          <w:rFonts w:hint="eastAsia" w:ascii="宋体" w:hAnsi="宋体" w:eastAsia="宋体" w:cs="宋体"/>
          <w:b/>
          <w:bCs/>
          <w:sz w:val="24"/>
        </w:rPr>
      </w:pPr>
      <w:r>
        <w:rPr>
          <w:rFonts w:hint="eastAsia" w:ascii="宋体" w:hAnsi="宋体" w:eastAsia="宋体" w:cs="宋体"/>
          <w:b/>
          <w:bCs/>
          <w:sz w:val="24"/>
        </w:rPr>
        <w:t>（六）违约责任</w:t>
      </w:r>
    </w:p>
    <w:p w14:paraId="4B4EC053">
      <w:pPr>
        <w:ind w:left="420"/>
        <w:rPr>
          <w:rFonts w:hint="eastAsia" w:ascii="宋体" w:hAnsi="宋体" w:eastAsia="宋体" w:cs="Times New Roman"/>
          <w:sz w:val="24"/>
        </w:rPr>
      </w:pPr>
      <w:r>
        <w:rPr>
          <w:rFonts w:hint="eastAsia" w:ascii="宋体" w:hAnsi="宋体" w:eastAsia="宋体" w:cs="Times New Roman"/>
          <w:sz w:val="24"/>
        </w:rPr>
        <w:t>（1）投标人提供的服务不能实质性满足采购文件要求或不符合合同约定的，采购人有权拒绝验收，投标人须向采购人支付合同总金额5%的违约金，同时投标人须在采购人要求时限内整改并经采购人验收合格。若在采购人要求时限内未能完成整改，或经两次整改后仍达不到采购人要求的，采购人有权单方解除合同，投标人须承担违约责任。因投标人违约导致采购人提前解除合同的，投标人按照合同金额的30%向采购人支付违约金并退回已支付款项。</w:t>
      </w:r>
    </w:p>
    <w:p w14:paraId="55D7CE49">
      <w:pPr>
        <w:ind w:left="420"/>
        <w:rPr>
          <w:rFonts w:hint="eastAsia" w:ascii="宋体" w:hAnsi="宋体" w:eastAsia="宋体" w:cs="Times New Roman"/>
          <w:sz w:val="24"/>
        </w:rPr>
      </w:pPr>
      <w:r>
        <w:rPr>
          <w:rFonts w:hint="eastAsia" w:ascii="宋体" w:hAnsi="宋体" w:eastAsia="宋体" w:cs="Times New Roman"/>
          <w:sz w:val="24"/>
        </w:rPr>
        <w:t>（2）投标人向采购人提供的服务，不会产生因第三方提出的包括但不限于侵犯其专利权、商标权、工业设计等知识产权或侵犯其所有权、抵押物等物权或其他权利而引发的纠纷。若有纠纷，投标人承担一切经济及法律责任并赔偿给采购人造成的全部损失。</w:t>
      </w:r>
    </w:p>
    <w:p w14:paraId="4E085223">
      <w:pPr>
        <w:pStyle w:val="4"/>
        <w:spacing w:line="240" w:lineRule="auto"/>
      </w:pPr>
    </w:p>
    <w:p w14:paraId="4428BA25">
      <w:pPr>
        <w:rPr>
          <w:rFonts w:ascii="Times New Roman" w:hAnsi="Times New Roman" w:eastAsia="仿宋_GB2312" w:cs="Times New Roman"/>
          <w:sz w:val="28"/>
          <w:szCs w:val="28"/>
        </w:rPr>
      </w:pPr>
    </w:p>
    <w:p w14:paraId="6CCAB0A8">
      <w:pPr>
        <w:jc w:val="right"/>
        <w:rPr>
          <w:rFonts w:ascii="Times New Roman" w:hAnsi="Times New Roman" w:eastAsia="仿宋_GB2312" w:cs="Times New Roman"/>
          <w:sz w:val="22"/>
          <w:szCs w:val="22"/>
        </w:rPr>
      </w:pPr>
      <w:r>
        <w:rPr>
          <w:rFonts w:hint="eastAsia" w:ascii="Times New Roman" w:hAnsi="Times New Roman" w:eastAsia="仿宋_GB2312" w:cs="Times New Roman"/>
          <w:sz w:val="22"/>
          <w:szCs w:val="22"/>
        </w:rPr>
        <w:t>此模板由招标采购管理办公室于202</w:t>
      </w:r>
      <w:r>
        <w:rPr>
          <w:rFonts w:ascii="Times New Roman" w:hAnsi="Times New Roman" w:eastAsia="仿宋_GB2312" w:cs="Times New Roman"/>
          <w:sz w:val="22"/>
          <w:szCs w:val="22"/>
        </w:rPr>
        <w:t>3</w:t>
      </w:r>
      <w:r>
        <w:rPr>
          <w:rFonts w:hint="eastAsia" w:ascii="Times New Roman" w:hAnsi="Times New Roman" w:eastAsia="仿宋_GB2312" w:cs="Times New Roman"/>
          <w:sz w:val="22"/>
          <w:szCs w:val="22"/>
        </w:rPr>
        <w:t>年1月</w:t>
      </w:r>
      <w:r>
        <w:rPr>
          <w:rFonts w:ascii="Times New Roman" w:hAnsi="Times New Roman" w:eastAsia="仿宋_GB2312" w:cs="Times New Roman"/>
          <w:sz w:val="22"/>
          <w:szCs w:val="22"/>
        </w:rPr>
        <w:t>5</w:t>
      </w:r>
      <w:r>
        <w:rPr>
          <w:rFonts w:hint="eastAsia" w:ascii="Times New Roman" w:hAnsi="Times New Roman" w:eastAsia="仿宋_GB2312" w:cs="Times New Roman"/>
          <w:sz w:val="22"/>
          <w:szCs w:val="22"/>
        </w:rPr>
        <w:t>日修订</w: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长城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23147">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BCF1C1">
                          <w:pPr>
                            <w:pStyle w:val="7"/>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9BCF1C1">
                    <w:pPr>
                      <w:pStyle w:val="7"/>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D069C">
    <w:pPr>
      <w:autoSpaceDE w:val="0"/>
      <w:autoSpaceDN w:val="0"/>
      <w:spacing w:line="14" w:lineRule="auto"/>
      <w:jc w:val="left"/>
      <w:rPr>
        <w:rFonts w:hint="eastAsia" w:ascii="仿宋" w:hAnsi="仿宋" w:eastAsia="仿宋" w:cs="仿宋"/>
        <w:sz w:val="2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61611C"/>
    <w:multiLevelType w:val="singleLevel"/>
    <w:tmpl w:val="FA61611C"/>
    <w:lvl w:ilvl="0" w:tentative="0">
      <w:start w:val="1"/>
      <w:numFmt w:val="decimal"/>
      <w:suff w:val="nothing"/>
      <w:lvlText w:val="%1．"/>
      <w:lvlJc w:val="left"/>
      <w:pPr>
        <w:ind w:left="0" w:firstLine="400"/>
      </w:pPr>
      <w:rPr>
        <w:rFonts w:hint="default" w:ascii="宋体" w:hAnsi="宋体" w:eastAsia="宋体" w:cstheme="majorEastAsia"/>
        <w:sz w:val="24"/>
        <w:szCs w:val="24"/>
      </w:rPr>
    </w:lvl>
  </w:abstractNum>
  <w:abstractNum w:abstractNumId="1">
    <w:nsid w:val="0000000F"/>
    <w:multiLevelType w:val="singleLevel"/>
    <w:tmpl w:val="0000000F"/>
    <w:lvl w:ilvl="0" w:tentative="0">
      <w:start w:val="2"/>
      <w:numFmt w:val="chineseCounting"/>
      <w:suff w:val="nothing"/>
      <w:lvlText w:val="%1、"/>
      <w:lvlJc w:val="left"/>
      <w:rPr>
        <w:rFonts w:hint="eastAsia"/>
      </w:rPr>
    </w:lvl>
  </w:abstractNum>
  <w:abstractNum w:abstractNumId="2">
    <w:nsid w:val="14E3E999"/>
    <w:multiLevelType w:val="singleLevel"/>
    <w:tmpl w:val="14E3E999"/>
    <w:lvl w:ilvl="0" w:tentative="0">
      <w:start w:val="1"/>
      <w:numFmt w:val="chineseCounting"/>
      <w:suff w:val="nothing"/>
      <w:lvlText w:val="（%1）"/>
      <w:lvlJc w:val="left"/>
      <w:pPr>
        <w:ind w:left="0" w:firstLine="420"/>
      </w:pPr>
      <w:rPr>
        <w:rFonts w:hint="eastAsia"/>
      </w:rPr>
    </w:lvl>
  </w:abstractNum>
  <w:abstractNum w:abstractNumId="3">
    <w:nsid w:val="1B9B557A"/>
    <w:multiLevelType w:val="singleLevel"/>
    <w:tmpl w:val="1B9B557A"/>
    <w:lvl w:ilvl="0" w:tentative="0">
      <w:start w:val="1"/>
      <w:numFmt w:val="decimal"/>
      <w:suff w:val="nothing"/>
      <w:lvlText w:val="%1．"/>
      <w:lvlJc w:val="left"/>
      <w:pPr>
        <w:ind w:left="0" w:firstLine="4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VmOGY2NmQ5OTJmMDI1Mjc1OTM0OTRmZDQ5YTZkODMifQ=="/>
  </w:docVars>
  <w:rsids>
    <w:rsidRoot w:val="4FFC5FA2"/>
    <w:rsid w:val="00031F17"/>
    <w:rsid w:val="000624C6"/>
    <w:rsid w:val="000B5C58"/>
    <w:rsid w:val="000D3E62"/>
    <w:rsid w:val="001045D8"/>
    <w:rsid w:val="00176E65"/>
    <w:rsid w:val="001A739A"/>
    <w:rsid w:val="001C35EF"/>
    <w:rsid w:val="001E0D25"/>
    <w:rsid w:val="0021439E"/>
    <w:rsid w:val="00231778"/>
    <w:rsid w:val="002B4449"/>
    <w:rsid w:val="002C0263"/>
    <w:rsid w:val="002F0DC2"/>
    <w:rsid w:val="00405CDE"/>
    <w:rsid w:val="004919EA"/>
    <w:rsid w:val="0051111D"/>
    <w:rsid w:val="00542DBE"/>
    <w:rsid w:val="00604F52"/>
    <w:rsid w:val="006105BC"/>
    <w:rsid w:val="00660D82"/>
    <w:rsid w:val="006A471C"/>
    <w:rsid w:val="006D7483"/>
    <w:rsid w:val="006E2F14"/>
    <w:rsid w:val="00734FD5"/>
    <w:rsid w:val="00750145"/>
    <w:rsid w:val="007C3C0D"/>
    <w:rsid w:val="00833C21"/>
    <w:rsid w:val="00834B7B"/>
    <w:rsid w:val="008B3F21"/>
    <w:rsid w:val="008F7572"/>
    <w:rsid w:val="0090076B"/>
    <w:rsid w:val="009A50A7"/>
    <w:rsid w:val="00A23411"/>
    <w:rsid w:val="00A8324E"/>
    <w:rsid w:val="00AB75EE"/>
    <w:rsid w:val="00AF1268"/>
    <w:rsid w:val="00B53AF8"/>
    <w:rsid w:val="00BA06E7"/>
    <w:rsid w:val="00BB13FB"/>
    <w:rsid w:val="00C02AA3"/>
    <w:rsid w:val="00C153FD"/>
    <w:rsid w:val="00C232F4"/>
    <w:rsid w:val="00C26884"/>
    <w:rsid w:val="00C463D7"/>
    <w:rsid w:val="00C528DB"/>
    <w:rsid w:val="00C6595B"/>
    <w:rsid w:val="00C86A37"/>
    <w:rsid w:val="00D1001E"/>
    <w:rsid w:val="00D322D1"/>
    <w:rsid w:val="00D34683"/>
    <w:rsid w:val="00D46B5E"/>
    <w:rsid w:val="00D61398"/>
    <w:rsid w:val="00D63897"/>
    <w:rsid w:val="00E26390"/>
    <w:rsid w:val="00E67D38"/>
    <w:rsid w:val="00ED6670"/>
    <w:rsid w:val="00EF4A7F"/>
    <w:rsid w:val="025A2061"/>
    <w:rsid w:val="031B4DDD"/>
    <w:rsid w:val="034D6BB0"/>
    <w:rsid w:val="04A43F7C"/>
    <w:rsid w:val="04F835A0"/>
    <w:rsid w:val="05C30855"/>
    <w:rsid w:val="066639D5"/>
    <w:rsid w:val="07207949"/>
    <w:rsid w:val="08B6005B"/>
    <w:rsid w:val="0AF34F6D"/>
    <w:rsid w:val="0CB734F0"/>
    <w:rsid w:val="0CF33513"/>
    <w:rsid w:val="0FC87C7C"/>
    <w:rsid w:val="109F26E4"/>
    <w:rsid w:val="13C045D3"/>
    <w:rsid w:val="14E07226"/>
    <w:rsid w:val="154E4416"/>
    <w:rsid w:val="168B310E"/>
    <w:rsid w:val="18823C45"/>
    <w:rsid w:val="1AB64061"/>
    <w:rsid w:val="1D390E43"/>
    <w:rsid w:val="1E7239A4"/>
    <w:rsid w:val="1E7D169F"/>
    <w:rsid w:val="1EC975DB"/>
    <w:rsid w:val="1F2E7B6B"/>
    <w:rsid w:val="1FE65F6B"/>
    <w:rsid w:val="20DB2F52"/>
    <w:rsid w:val="228C6B97"/>
    <w:rsid w:val="22D737D5"/>
    <w:rsid w:val="25F37AAF"/>
    <w:rsid w:val="26180E7B"/>
    <w:rsid w:val="27611031"/>
    <w:rsid w:val="28721A3E"/>
    <w:rsid w:val="29ED6FF1"/>
    <w:rsid w:val="2B3D2467"/>
    <w:rsid w:val="2B5014F4"/>
    <w:rsid w:val="2D774A5C"/>
    <w:rsid w:val="2E722BA3"/>
    <w:rsid w:val="2F320885"/>
    <w:rsid w:val="2F4B1AAD"/>
    <w:rsid w:val="2F5939CF"/>
    <w:rsid w:val="2FC041FF"/>
    <w:rsid w:val="3001707A"/>
    <w:rsid w:val="3215472C"/>
    <w:rsid w:val="32AD00B9"/>
    <w:rsid w:val="34023489"/>
    <w:rsid w:val="34815751"/>
    <w:rsid w:val="35400969"/>
    <w:rsid w:val="36BC2F59"/>
    <w:rsid w:val="370B0B2C"/>
    <w:rsid w:val="38FB262F"/>
    <w:rsid w:val="39FD4282"/>
    <w:rsid w:val="3A2E1EF7"/>
    <w:rsid w:val="3AED4389"/>
    <w:rsid w:val="3AF109F6"/>
    <w:rsid w:val="3B4A6275"/>
    <w:rsid w:val="3B915A92"/>
    <w:rsid w:val="3BDB4DF3"/>
    <w:rsid w:val="3C71288B"/>
    <w:rsid w:val="3C9A6F62"/>
    <w:rsid w:val="3E0233F7"/>
    <w:rsid w:val="41072269"/>
    <w:rsid w:val="420B225C"/>
    <w:rsid w:val="42BE4C61"/>
    <w:rsid w:val="4811248E"/>
    <w:rsid w:val="48E61E4B"/>
    <w:rsid w:val="48EB1D78"/>
    <w:rsid w:val="49260284"/>
    <w:rsid w:val="4A086EB1"/>
    <w:rsid w:val="4A1C3C31"/>
    <w:rsid w:val="4B0C22F0"/>
    <w:rsid w:val="4B1E5CB5"/>
    <w:rsid w:val="4B595235"/>
    <w:rsid w:val="4D006C68"/>
    <w:rsid w:val="4EE203B7"/>
    <w:rsid w:val="4FFC5FA2"/>
    <w:rsid w:val="523B17BE"/>
    <w:rsid w:val="53460CB6"/>
    <w:rsid w:val="56FA2A30"/>
    <w:rsid w:val="58E64432"/>
    <w:rsid w:val="5B285746"/>
    <w:rsid w:val="5B9D1491"/>
    <w:rsid w:val="5DAF116F"/>
    <w:rsid w:val="5E930ED1"/>
    <w:rsid w:val="5EF9646E"/>
    <w:rsid w:val="601C7825"/>
    <w:rsid w:val="608E2BDB"/>
    <w:rsid w:val="60ED780A"/>
    <w:rsid w:val="62355AF7"/>
    <w:rsid w:val="62EA2ED9"/>
    <w:rsid w:val="691D3680"/>
    <w:rsid w:val="6CDB5633"/>
    <w:rsid w:val="6EB505AF"/>
    <w:rsid w:val="6FE36D2D"/>
    <w:rsid w:val="70866F42"/>
    <w:rsid w:val="741B7106"/>
    <w:rsid w:val="753C5586"/>
    <w:rsid w:val="76796366"/>
    <w:rsid w:val="7A2B0238"/>
    <w:rsid w:val="7B086181"/>
    <w:rsid w:val="7BB865F7"/>
    <w:rsid w:val="7CD56FFA"/>
    <w:rsid w:val="7D34021E"/>
    <w:rsid w:val="7DFF2EA4"/>
    <w:rsid w:val="7E0A2AE6"/>
    <w:rsid w:val="7F170FBC"/>
    <w:rsid w:val="7F46351C"/>
    <w:rsid w:val="7FD7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adjustRightInd w:val="0"/>
      <w:spacing w:line="360" w:lineRule="atLeast"/>
      <w:ind w:firstLine="420"/>
      <w:jc w:val="left"/>
      <w:textAlignment w:val="baseline"/>
    </w:pPr>
    <w:rPr>
      <w:kern w:val="0"/>
      <w:sz w:val="24"/>
    </w:rPr>
  </w:style>
  <w:style w:type="paragraph" w:styleId="3">
    <w:name w:val="annotation text"/>
    <w:basedOn w:val="1"/>
    <w:link w:val="21"/>
    <w:autoRedefine/>
    <w:qFormat/>
    <w:uiPriority w:val="0"/>
    <w:pPr>
      <w:jc w:val="left"/>
    </w:pPr>
  </w:style>
  <w:style w:type="paragraph" w:styleId="4">
    <w:name w:val="Body Text"/>
    <w:basedOn w:val="1"/>
    <w:next w:val="1"/>
    <w:qFormat/>
    <w:uiPriority w:val="0"/>
    <w:pPr>
      <w:spacing w:line="360" w:lineRule="auto"/>
    </w:pPr>
    <w:rPr>
      <w:szCs w:val="20"/>
    </w:rPr>
  </w:style>
  <w:style w:type="paragraph" w:styleId="5">
    <w:name w:val="Body Text Indent"/>
    <w:basedOn w:val="1"/>
    <w:autoRedefine/>
    <w:qFormat/>
    <w:uiPriority w:val="0"/>
    <w:pPr>
      <w:spacing w:line="560" w:lineRule="exact"/>
      <w:ind w:left="300"/>
    </w:pPr>
    <w:rPr>
      <w:sz w:val="24"/>
    </w:rPr>
  </w:style>
  <w:style w:type="paragraph" w:styleId="6">
    <w:name w:val="Plain Text"/>
    <w:basedOn w:val="1"/>
    <w:autoRedefine/>
    <w:qFormat/>
    <w:uiPriority w:val="0"/>
    <w:rPr>
      <w:rFonts w:ascii="宋体" w:hAnsi="Courier New"/>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rFonts w:cs="Times New Roman"/>
      <w:kern w:val="0"/>
      <w:sz w:val="24"/>
    </w:rPr>
  </w:style>
  <w:style w:type="paragraph" w:styleId="10">
    <w:name w:val="annotation subject"/>
    <w:basedOn w:val="3"/>
    <w:next w:val="3"/>
    <w:link w:val="22"/>
    <w:uiPriority w:val="0"/>
    <w:rPr>
      <w:b/>
      <w:bCs/>
    </w:rPr>
  </w:style>
  <w:style w:type="paragraph" w:styleId="11">
    <w:name w:val="Body Text First Indent 2"/>
    <w:basedOn w:val="5"/>
    <w:next w:val="1"/>
    <w:autoRedefine/>
    <w:qFormat/>
    <w:uiPriority w:val="0"/>
    <w:pPr>
      <w:ind w:firstLine="420" w:firstLineChars="200"/>
    </w:pPr>
    <w:rPr>
      <w:sz w:val="21"/>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autoRedefine/>
    <w:qFormat/>
    <w:uiPriority w:val="99"/>
    <w:rPr>
      <w:sz w:val="21"/>
      <w:szCs w:val="21"/>
    </w:rPr>
  </w:style>
  <w:style w:type="paragraph" w:styleId="16">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7">
    <w:name w:val="文档正文"/>
    <w:basedOn w:val="1"/>
    <w:autoRedefine/>
    <w:qFormat/>
    <w:uiPriority w:val="0"/>
    <w:pPr>
      <w:adjustRightInd w:val="0"/>
      <w:spacing w:line="480" w:lineRule="atLeast"/>
      <w:ind w:firstLine="567" w:firstLineChars="200"/>
      <w:textAlignment w:val="baseline"/>
    </w:pPr>
    <w:rPr>
      <w:rFonts w:ascii="长城仿宋" w:hAnsi="Times New Roman" w:eastAsia="宋体" w:cs="Times New Roman"/>
      <w:kern w:val="0"/>
      <w:szCs w:val="20"/>
    </w:rPr>
  </w:style>
  <w:style w:type="paragraph" w:customStyle="1" w:styleId="18">
    <w:name w:val="图"/>
    <w:basedOn w:val="1"/>
    <w:autoRedefine/>
    <w:qFormat/>
    <w:uiPriority w:val="0"/>
    <w:pPr>
      <w:keepNext/>
      <w:framePr w:hSpace="180" w:wrap="around" w:vAnchor="text" w:hAnchor="page" w:x="1688" w:y="67"/>
      <w:suppressOverlap/>
      <w:adjustRightInd w:val="0"/>
      <w:spacing w:before="60" w:after="60"/>
      <w:ind w:hanging="67"/>
      <w:jc w:val="left"/>
      <w:textAlignment w:val="center"/>
    </w:pPr>
    <w:rPr>
      <w:snapToGrid w:val="0"/>
      <w:spacing w:val="20"/>
      <w:kern w:val="0"/>
      <w:sz w:val="24"/>
      <w:szCs w:val="20"/>
    </w:rPr>
  </w:style>
  <w:style w:type="paragraph" w:customStyle="1" w:styleId="19">
    <w:name w:val="列出段落1"/>
    <w:basedOn w:val="1"/>
    <w:autoRedefine/>
    <w:qFormat/>
    <w:uiPriority w:val="0"/>
    <w:pPr>
      <w:ind w:firstLine="420" w:firstLineChars="200"/>
    </w:pPr>
    <w:rPr>
      <w:rFonts w:ascii="Times New Roman" w:hAnsi="Times New Roman" w:eastAsia="宋体" w:cs="Times New Roman"/>
    </w:rPr>
  </w:style>
  <w:style w:type="paragraph" w:customStyle="1" w:styleId="20">
    <w:name w:val="p9"/>
    <w:basedOn w:val="1"/>
    <w:autoRedefine/>
    <w:qFormat/>
    <w:uiPriority w:val="0"/>
    <w:pPr>
      <w:widowControl/>
      <w:spacing w:before="100" w:beforeAutospacing="1" w:after="100" w:afterAutospacing="1"/>
      <w:jc w:val="left"/>
    </w:pPr>
    <w:rPr>
      <w:rFonts w:eastAsia="Arial Unicode MS" w:cs="Arial Unicode MS"/>
      <w:color w:val="000000"/>
      <w:kern w:val="0"/>
      <w:sz w:val="18"/>
      <w:szCs w:val="18"/>
    </w:rPr>
  </w:style>
  <w:style w:type="character" w:customStyle="1" w:styleId="21">
    <w:name w:val="批注文字 字符"/>
    <w:basedOn w:val="14"/>
    <w:link w:val="3"/>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0"/>
    <w:qFormat/>
    <w:uiPriority w:val="0"/>
    <w:rPr>
      <w:rFonts w:asciiTheme="minorHAnsi" w:hAnsiTheme="minorHAnsi" w:eastAsiaTheme="minorEastAsia" w:cstheme="minorBidi"/>
      <w:b/>
      <w:bCs/>
      <w:kern w:val="2"/>
      <w:sz w:val="21"/>
      <w:szCs w:val="24"/>
    </w:rPr>
  </w:style>
  <w:style w:type="paragraph" w:customStyle="1" w:styleId="2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6CCF20-1272-41C4-AC3D-A9288ED1BD0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1706</Words>
  <Characters>1905</Characters>
  <Lines>14</Lines>
  <Paragraphs>3</Paragraphs>
  <TotalTime>0</TotalTime>
  <ScaleCrop>false</ScaleCrop>
  <LinksUpToDate>false</LinksUpToDate>
  <CharactersWithSpaces>1916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2023-01-05T10:14:00Z</dcterms:created>
  <dc:creator>yc</dc:creator>
  <cp:lastModifiedBy>Lam</cp:lastModifiedBy>
  <dcterms:modified xsi:type="dcterms:W3CDTF">2026-07-21T08:33:07Z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DC8C16F3D9C14BA0AA458FDE82E26CBA_13</vt:lpwstr>
  </property>
  <property fmtid="{D5CDD505-2E9C-101B-9397-08002B2CF9AE}" pid="4" name="KSOTemplateDocerSaveRecord">
    <vt:lpwstr>eyJoZGlkIjoiM2JhODljZDI1ODQ1MDczYWY2NTMwYjA0ODdmMzlkOTciLCJ1c2VySWQiOiIxNjAxNDAyNjIzIn0=</vt:lpwstr>
  </property>
</Properties>
</file>