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年第</w:t>
            </w:r>
            <w:r>
              <w:rPr>
                <w:rFonts w:hint="eastAsia" w:eastAsia="宋体"/>
                <w:b/>
                <w:color w:val="000000"/>
                <w:sz w:val="30"/>
                <w:szCs w:val="30"/>
                <w:lang w:val="en-US" w:eastAsia="zh-CN"/>
              </w:rPr>
              <w:t>32</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4966E7EF">
        <w:tblPrEx>
          <w:tblCellMar>
            <w:top w:w="0" w:type="dxa"/>
            <w:left w:w="108" w:type="dxa"/>
            <w:bottom w:w="0" w:type="dxa"/>
            <w:right w:w="108" w:type="dxa"/>
          </w:tblCellMar>
        </w:tblPrEx>
        <w:trPr>
          <w:trHeight w:val="13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BA763B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D9492F">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32-182-A</w:t>
            </w:r>
          </w:p>
        </w:tc>
        <w:tc>
          <w:tcPr>
            <w:tcW w:w="1718" w:type="pct"/>
            <w:tcBorders>
              <w:top w:val="single" w:color="auto" w:sz="4" w:space="0"/>
              <w:left w:val="nil"/>
              <w:bottom w:val="single" w:color="auto" w:sz="4" w:space="0"/>
              <w:right w:val="single" w:color="auto" w:sz="4" w:space="0"/>
            </w:tcBorders>
            <w:shd w:val="clear" w:color="auto" w:fill="auto"/>
            <w:vAlign w:val="center"/>
          </w:tcPr>
          <w:p w14:paraId="6610083A">
            <w:pPr>
              <w:widowControl/>
              <w:jc w:val="center"/>
              <w:textAlignment w:val="center"/>
              <w:rPr>
                <w:rFonts w:hint="default" w:eastAsia="宋体"/>
                <w:color w:val="000000"/>
                <w:sz w:val="22"/>
                <w:lang w:val="en-US" w:eastAsia="zh-CN"/>
              </w:rPr>
            </w:pPr>
            <w:r>
              <w:rPr>
                <w:rFonts w:hint="eastAsia" w:eastAsia="宋体"/>
                <w:color w:val="000000"/>
                <w:sz w:val="22"/>
                <w:lang w:eastAsia="zh-CN"/>
              </w:rPr>
              <w:t>医用检查手套（橡胶）</w:t>
            </w:r>
            <w:r>
              <w:rPr>
                <w:rFonts w:hint="eastAsia" w:eastAsia="宋体"/>
                <w:color w:val="000000"/>
                <w:sz w:val="22"/>
                <w:lang w:val="en-US" w:eastAsia="zh-CN"/>
              </w:rPr>
              <w:t>A包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259E41E4">
            <w:pPr>
              <w:widowControl/>
              <w:jc w:val="center"/>
              <w:textAlignment w:val="center"/>
              <w:rPr>
                <w:rFonts w:hint="default" w:eastAsia="宋体"/>
                <w:color w:val="000000"/>
                <w:sz w:val="22"/>
                <w:lang w:val="en-US" w:eastAsia="zh-CN"/>
              </w:rPr>
            </w:pPr>
            <w:r>
              <w:rPr>
                <w:rFonts w:hint="eastAsia" w:eastAsia="宋体"/>
                <w:color w:val="000000"/>
                <w:sz w:val="22"/>
                <w:lang w:val="en-US" w:eastAsia="zh-CN"/>
              </w:rPr>
              <w:t>否</w:t>
            </w:r>
          </w:p>
        </w:tc>
      </w:tr>
      <w:tr w14:paraId="32D0C596">
        <w:tblPrEx>
          <w:tblCellMar>
            <w:top w:w="0" w:type="dxa"/>
            <w:left w:w="108" w:type="dxa"/>
            <w:bottom w:w="0" w:type="dxa"/>
            <w:right w:w="108" w:type="dxa"/>
          </w:tblCellMar>
        </w:tblPrEx>
        <w:trPr>
          <w:trHeight w:val="272"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AD0486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w:t>
            </w:r>
          </w:p>
        </w:tc>
        <w:tc>
          <w:tcPr>
            <w:tcW w:w="1541" w:type="pct"/>
            <w:tcBorders>
              <w:top w:val="single" w:color="auto" w:sz="4" w:space="0"/>
              <w:left w:val="nil"/>
              <w:bottom w:val="single" w:color="auto" w:sz="4" w:space="0"/>
              <w:right w:val="single" w:color="auto" w:sz="4" w:space="0"/>
            </w:tcBorders>
            <w:shd w:val="clear" w:color="auto" w:fill="auto"/>
            <w:vAlign w:val="center"/>
          </w:tcPr>
          <w:p w14:paraId="78752B6C">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32-182-B</w:t>
            </w:r>
          </w:p>
        </w:tc>
        <w:tc>
          <w:tcPr>
            <w:tcW w:w="1718" w:type="pct"/>
            <w:tcBorders>
              <w:top w:val="single" w:color="auto" w:sz="4" w:space="0"/>
              <w:left w:val="nil"/>
              <w:bottom w:val="single" w:color="auto" w:sz="4" w:space="0"/>
              <w:right w:val="single" w:color="auto" w:sz="4" w:space="0"/>
            </w:tcBorders>
            <w:shd w:val="clear" w:color="auto" w:fill="auto"/>
            <w:vAlign w:val="center"/>
          </w:tcPr>
          <w:p w14:paraId="2B2338F3">
            <w:pPr>
              <w:widowControl/>
              <w:jc w:val="center"/>
              <w:textAlignment w:val="center"/>
              <w:rPr>
                <w:rFonts w:hint="default" w:eastAsia="宋体"/>
                <w:color w:val="000000"/>
                <w:sz w:val="22"/>
                <w:lang w:val="en-US" w:eastAsia="zh-CN"/>
              </w:rPr>
            </w:pPr>
            <w:r>
              <w:rPr>
                <w:rFonts w:hint="eastAsia" w:eastAsia="宋体"/>
                <w:color w:val="000000"/>
                <w:sz w:val="22"/>
                <w:lang w:eastAsia="zh-CN"/>
              </w:rPr>
              <w:t>医用检查手套（橡胶）</w:t>
            </w:r>
            <w:r>
              <w:rPr>
                <w:rFonts w:hint="eastAsia" w:eastAsia="宋体"/>
                <w:color w:val="000000"/>
                <w:sz w:val="22"/>
                <w:lang w:val="en-US" w:eastAsia="zh-CN"/>
              </w:rPr>
              <w:t>B包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4F53C587">
            <w:pPr>
              <w:widowControl/>
              <w:jc w:val="center"/>
              <w:textAlignment w:val="center"/>
              <w:rPr>
                <w:rFonts w:hint="eastAsia" w:eastAsia="宋体"/>
                <w:color w:val="000000"/>
                <w:sz w:val="22"/>
              </w:rPr>
            </w:pPr>
            <w:r>
              <w:rPr>
                <w:rFonts w:hint="eastAsia" w:eastAsia="宋体"/>
                <w:color w:val="000000"/>
                <w:sz w:val="22"/>
                <w:lang w:val="en-US" w:eastAsia="zh-CN"/>
              </w:rPr>
              <w:t>否</w:t>
            </w:r>
          </w:p>
        </w:tc>
      </w:tr>
      <w:tr w14:paraId="5820C36B">
        <w:tblPrEx>
          <w:tblCellMar>
            <w:top w:w="0" w:type="dxa"/>
            <w:left w:w="108" w:type="dxa"/>
            <w:bottom w:w="0" w:type="dxa"/>
            <w:right w:w="108" w:type="dxa"/>
          </w:tblCellMar>
        </w:tblPrEx>
        <w:trPr>
          <w:trHeight w:val="272"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C73E3AE">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w:t>
            </w:r>
          </w:p>
        </w:tc>
        <w:tc>
          <w:tcPr>
            <w:tcW w:w="1541" w:type="pct"/>
            <w:tcBorders>
              <w:top w:val="single" w:color="auto" w:sz="4" w:space="0"/>
              <w:left w:val="nil"/>
              <w:bottom w:val="single" w:color="auto" w:sz="4" w:space="0"/>
              <w:right w:val="single" w:color="auto" w:sz="4" w:space="0"/>
            </w:tcBorders>
            <w:shd w:val="clear" w:color="auto" w:fill="auto"/>
            <w:vAlign w:val="center"/>
          </w:tcPr>
          <w:p w14:paraId="2E13B857">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32-183</w:t>
            </w:r>
          </w:p>
        </w:tc>
        <w:tc>
          <w:tcPr>
            <w:tcW w:w="1718" w:type="pct"/>
            <w:tcBorders>
              <w:top w:val="single" w:color="auto" w:sz="4" w:space="0"/>
              <w:left w:val="nil"/>
              <w:bottom w:val="single" w:color="auto" w:sz="4" w:space="0"/>
              <w:right w:val="single" w:color="auto" w:sz="4" w:space="0"/>
            </w:tcBorders>
            <w:shd w:val="clear" w:color="auto" w:fill="auto"/>
            <w:vAlign w:val="center"/>
          </w:tcPr>
          <w:p w14:paraId="08D05270">
            <w:pPr>
              <w:widowControl/>
              <w:jc w:val="center"/>
              <w:textAlignment w:val="center"/>
              <w:rPr>
                <w:rFonts w:hint="eastAsia" w:eastAsia="宋体"/>
                <w:color w:val="000000"/>
                <w:sz w:val="22"/>
                <w:lang w:eastAsia="zh-CN"/>
              </w:rPr>
            </w:pPr>
            <w:r>
              <w:rPr>
                <w:rFonts w:hint="eastAsia" w:eastAsia="宋体"/>
                <w:color w:val="000000"/>
                <w:sz w:val="22"/>
                <w:lang w:eastAsia="zh-CN"/>
              </w:rPr>
              <w:t>穿刺针</w:t>
            </w:r>
          </w:p>
        </w:tc>
        <w:tc>
          <w:tcPr>
            <w:tcW w:w="1241" w:type="pct"/>
            <w:tcBorders>
              <w:top w:val="single" w:color="auto" w:sz="4" w:space="0"/>
              <w:left w:val="nil"/>
              <w:bottom w:val="single" w:color="auto" w:sz="4" w:space="0"/>
              <w:right w:val="single" w:color="auto" w:sz="4" w:space="0"/>
            </w:tcBorders>
            <w:shd w:val="clear" w:color="auto" w:fill="auto"/>
            <w:vAlign w:val="center"/>
          </w:tcPr>
          <w:p w14:paraId="215DB5A0">
            <w:pPr>
              <w:widowControl/>
              <w:jc w:val="center"/>
              <w:textAlignment w:val="center"/>
              <w:rPr>
                <w:rFonts w:hint="eastAsia" w:eastAsia="宋体"/>
                <w:color w:val="000000"/>
                <w:sz w:val="22"/>
              </w:rPr>
            </w:pPr>
            <w:r>
              <w:rPr>
                <w:rFonts w:hint="eastAsia" w:eastAsia="宋体"/>
                <w:color w:val="000000"/>
                <w:sz w:val="22"/>
              </w:rPr>
              <w:t>是</w:t>
            </w:r>
          </w:p>
        </w:tc>
      </w:tr>
      <w:tr w14:paraId="7167EAB9">
        <w:tblPrEx>
          <w:tblCellMar>
            <w:top w:w="0" w:type="dxa"/>
            <w:left w:w="108" w:type="dxa"/>
            <w:bottom w:w="0" w:type="dxa"/>
            <w:right w:w="108" w:type="dxa"/>
          </w:tblCellMar>
        </w:tblPrEx>
        <w:trPr>
          <w:trHeight w:val="272"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01EDA78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541" w:type="pct"/>
            <w:tcBorders>
              <w:top w:val="single" w:color="auto" w:sz="4" w:space="0"/>
              <w:left w:val="nil"/>
              <w:bottom w:val="single" w:color="auto" w:sz="4" w:space="0"/>
              <w:right w:val="single" w:color="auto" w:sz="4" w:space="0"/>
            </w:tcBorders>
            <w:shd w:val="clear" w:color="auto" w:fill="auto"/>
            <w:vAlign w:val="center"/>
          </w:tcPr>
          <w:p w14:paraId="0D99529B">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32-184</w:t>
            </w:r>
          </w:p>
        </w:tc>
        <w:tc>
          <w:tcPr>
            <w:tcW w:w="1718" w:type="pct"/>
            <w:tcBorders>
              <w:top w:val="single" w:color="auto" w:sz="4" w:space="0"/>
              <w:left w:val="nil"/>
              <w:bottom w:val="single" w:color="auto" w:sz="4" w:space="0"/>
              <w:right w:val="single" w:color="auto" w:sz="4" w:space="0"/>
            </w:tcBorders>
            <w:shd w:val="clear" w:color="auto" w:fill="auto"/>
            <w:vAlign w:val="center"/>
          </w:tcPr>
          <w:p w14:paraId="7C14BE2C">
            <w:pPr>
              <w:widowControl/>
              <w:jc w:val="center"/>
              <w:textAlignment w:val="center"/>
              <w:rPr>
                <w:rFonts w:hint="eastAsia" w:eastAsia="宋体"/>
                <w:color w:val="000000"/>
                <w:sz w:val="22"/>
                <w:lang w:eastAsia="zh-CN"/>
              </w:rPr>
            </w:pPr>
            <w:r>
              <w:rPr>
                <w:rFonts w:hint="eastAsia" w:eastAsia="宋体"/>
                <w:color w:val="000000"/>
                <w:sz w:val="22"/>
                <w:lang w:eastAsia="zh-CN"/>
              </w:rPr>
              <w:t>透析人工血管</w:t>
            </w:r>
          </w:p>
        </w:tc>
        <w:tc>
          <w:tcPr>
            <w:tcW w:w="1241" w:type="pct"/>
            <w:tcBorders>
              <w:top w:val="single" w:color="auto" w:sz="4" w:space="0"/>
              <w:left w:val="nil"/>
              <w:bottom w:val="single" w:color="auto" w:sz="4" w:space="0"/>
              <w:right w:val="single" w:color="auto" w:sz="4" w:space="0"/>
            </w:tcBorders>
            <w:shd w:val="clear" w:color="auto" w:fill="auto"/>
            <w:vAlign w:val="center"/>
          </w:tcPr>
          <w:p w14:paraId="6B86FCB2">
            <w:pPr>
              <w:widowControl/>
              <w:jc w:val="center"/>
              <w:textAlignment w:val="center"/>
              <w:rPr>
                <w:rFonts w:hint="eastAsia" w:eastAsia="宋体"/>
                <w:color w:val="000000"/>
                <w:sz w:val="22"/>
              </w:rPr>
            </w:pPr>
            <w:r>
              <w:rPr>
                <w:rFonts w:hint="eastAsia" w:eastAsia="宋体"/>
                <w:color w:val="000000"/>
                <w:sz w:val="22"/>
              </w:rPr>
              <w:t>是</w:t>
            </w:r>
          </w:p>
        </w:tc>
      </w:tr>
      <w:tr w14:paraId="5AF79409">
        <w:tblPrEx>
          <w:tblCellMar>
            <w:top w:w="0" w:type="dxa"/>
            <w:left w:w="108" w:type="dxa"/>
            <w:bottom w:w="0" w:type="dxa"/>
            <w:right w:w="108" w:type="dxa"/>
          </w:tblCellMar>
        </w:tblPrEx>
        <w:trPr>
          <w:trHeight w:val="272"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1174879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541" w:type="pct"/>
            <w:tcBorders>
              <w:top w:val="single" w:color="auto" w:sz="4" w:space="0"/>
              <w:left w:val="nil"/>
              <w:bottom w:val="single" w:color="auto" w:sz="4" w:space="0"/>
              <w:right w:val="single" w:color="auto" w:sz="4" w:space="0"/>
            </w:tcBorders>
            <w:shd w:val="clear" w:color="auto" w:fill="auto"/>
            <w:vAlign w:val="center"/>
          </w:tcPr>
          <w:p w14:paraId="65E26207">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32-185</w:t>
            </w:r>
          </w:p>
        </w:tc>
        <w:tc>
          <w:tcPr>
            <w:tcW w:w="1718" w:type="pct"/>
            <w:tcBorders>
              <w:top w:val="single" w:color="auto" w:sz="4" w:space="0"/>
              <w:left w:val="nil"/>
              <w:bottom w:val="single" w:color="auto" w:sz="4" w:space="0"/>
              <w:right w:val="single" w:color="auto" w:sz="4" w:space="0"/>
            </w:tcBorders>
            <w:shd w:val="clear" w:color="auto" w:fill="auto"/>
            <w:vAlign w:val="center"/>
          </w:tcPr>
          <w:p w14:paraId="38FB5D13">
            <w:pPr>
              <w:widowControl/>
              <w:jc w:val="center"/>
              <w:textAlignment w:val="center"/>
              <w:rPr>
                <w:rFonts w:hint="eastAsia" w:eastAsia="宋体"/>
                <w:color w:val="000000"/>
                <w:sz w:val="22"/>
                <w:lang w:eastAsia="zh-CN"/>
              </w:rPr>
            </w:pPr>
            <w:r>
              <w:rPr>
                <w:rFonts w:hint="eastAsia" w:eastAsia="宋体"/>
                <w:color w:val="000000"/>
                <w:sz w:val="22"/>
                <w:lang w:eastAsia="zh-CN"/>
              </w:rPr>
              <w:t>半永久中心静脉导管及附件</w:t>
            </w:r>
          </w:p>
        </w:tc>
        <w:tc>
          <w:tcPr>
            <w:tcW w:w="1241" w:type="pct"/>
            <w:tcBorders>
              <w:top w:val="single" w:color="auto" w:sz="4" w:space="0"/>
              <w:left w:val="nil"/>
              <w:bottom w:val="single" w:color="auto" w:sz="4" w:space="0"/>
              <w:right w:val="single" w:color="auto" w:sz="4" w:space="0"/>
            </w:tcBorders>
            <w:shd w:val="clear" w:color="auto" w:fill="auto"/>
            <w:vAlign w:val="center"/>
          </w:tcPr>
          <w:p w14:paraId="6F441FE2">
            <w:pPr>
              <w:widowControl/>
              <w:jc w:val="center"/>
              <w:textAlignment w:val="center"/>
              <w:rPr>
                <w:rFonts w:hint="eastAsia" w:eastAsia="宋体"/>
                <w:color w:val="000000"/>
                <w:sz w:val="22"/>
              </w:rPr>
            </w:pPr>
            <w:r>
              <w:rPr>
                <w:rFonts w:hint="eastAsia" w:eastAsia="宋体"/>
                <w:color w:val="000000"/>
                <w:sz w:val="22"/>
              </w:rPr>
              <w:t>是</w:t>
            </w:r>
          </w:p>
        </w:tc>
      </w:tr>
      <w:tr w14:paraId="7FB91768">
        <w:tblPrEx>
          <w:tblCellMar>
            <w:top w:w="0" w:type="dxa"/>
            <w:left w:w="108" w:type="dxa"/>
            <w:bottom w:w="0" w:type="dxa"/>
            <w:right w:w="108" w:type="dxa"/>
          </w:tblCellMar>
        </w:tblPrEx>
        <w:trPr>
          <w:trHeight w:val="272"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11018DE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541" w:type="pct"/>
            <w:tcBorders>
              <w:top w:val="single" w:color="auto" w:sz="4" w:space="0"/>
              <w:left w:val="nil"/>
              <w:bottom w:val="single" w:color="auto" w:sz="4" w:space="0"/>
              <w:right w:val="single" w:color="auto" w:sz="4" w:space="0"/>
            </w:tcBorders>
            <w:shd w:val="clear" w:color="auto" w:fill="auto"/>
            <w:vAlign w:val="center"/>
          </w:tcPr>
          <w:p w14:paraId="19A39502">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32-186</w:t>
            </w:r>
          </w:p>
        </w:tc>
        <w:tc>
          <w:tcPr>
            <w:tcW w:w="1718" w:type="pct"/>
            <w:tcBorders>
              <w:top w:val="single" w:color="auto" w:sz="4" w:space="0"/>
              <w:left w:val="nil"/>
              <w:bottom w:val="single" w:color="auto" w:sz="4" w:space="0"/>
              <w:right w:val="single" w:color="auto" w:sz="4" w:space="0"/>
            </w:tcBorders>
            <w:shd w:val="clear" w:color="auto" w:fill="auto"/>
            <w:vAlign w:val="center"/>
          </w:tcPr>
          <w:p w14:paraId="22C501DC">
            <w:pPr>
              <w:widowControl/>
              <w:jc w:val="center"/>
              <w:textAlignment w:val="center"/>
              <w:rPr>
                <w:rFonts w:hint="eastAsia" w:eastAsia="宋体"/>
                <w:color w:val="000000"/>
                <w:sz w:val="22"/>
                <w:lang w:eastAsia="zh-CN"/>
              </w:rPr>
            </w:pPr>
            <w:r>
              <w:rPr>
                <w:rFonts w:hint="eastAsia" w:eastAsia="宋体"/>
                <w:color w:val="000000"/>
                <w:sz w:val="22"/>
                <w:lang w:eastAsia="zh-CN"/>
              </w:rPr>
              <w:t>摆药机用包药纸</w:t>
            </w:r>
          </w:p>
        </w:tc>
        <w:tc>
          <w:tcPr>
            <w:tcW w:w="1241" w:type="pct"/>
            <w:tcBorders>
              <w:top w:val="single" w:color="auto" w:sz="4" w:space="0"/>
              <w:left w:val="nil"/>
              <w:bottom w:val="single" w:color="auto" w:sz="4" w:space="0"/>
              <w:right w:val="single" w:color="auto" w:sz="4" w:space="0"/>
            </w:tcBorders>
            <w:shd w:val="clear" w:color="auto" w:fill="auto"/>
            <w:vAlign w:val="center"/>
          </w:tcPr>
          <w:p w14:paraId="14B7A7FB">
            <w:pPr>
              <w:widowControl/>
              <w:jc w:val="center"/>
              <w:textAlignment w:val="center"/>
              <w:rPr>
                <w:rFonts w:hint="eastAsia" w:eastAsia="宋体"/>
                <w:color w:val="000000"/>
                <w:sz w:val="22"/>
              </w:rPr>
            </w:pPr>
            <w:r>
              <w:rPr>
                <w:rFonts w:hint="eastAsia" w:eastAsia="宋体"/>
                <w:color w:val="000000"/>
                <w:sz w:val="22"/>
                <w:lang w:val="en-US" w:eastAsia="zh-CN"/>
              </w:rPr>
              <w:t>否</w:t>
            </w:r>
          </w:p>
        </w:tc>
      </w:tr>
    </w:tbl>
    <w:p w14:paraId="1F8BEBC7">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32</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val="en-US" w:eastAsia="zh-CN"/>
        </w:rPr>
        <w:t>2026</w:t>
      </w:r>
      <w:r>
        <w:rPr>
          <w:rFonts w:hint="eastAsia" w:ascii="Tahoma" w:hAnsi="Tahoma" w:cs="宋体"/>
          <w:kern w:val="0"/>
          <w:szCs w:val="21"/>
        </w:rPr>
        <w:t>年第</w:t>
      </w:r>
      <w:r>
        <w:rPr>
          <w:rFonts w:hint="eastAsia" w:ascii="Tahoma" w:hAnsi="Tahoma" w:cs="宋体"/>
          <w:kern w:val="0"/>
          <w:szCs w:val="21"/>
          <w:lang w:val="en-US" w:eastAsia="zh-CN"/>
        </w:rPr>
        <w:t>32</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6</w:t>
      </w:r>
      <w:r>
        <w:rPr>
          <w:rFonts w:hint="eastAsia"/>
          <w:color w:val="000000"/>
          <w:szCs w:val="21"/>
          <w:highlight w:val="yellow"/>
        </w:rPr>
        <w:t>月</w:t>
      </w:r>
      <w:r>
        <w:rPr>
          <w:rFonts w:hint="eastAsia"/>
          <w:color w:val="000000"/>
          <w:szCs w:val="21"/>
          <w:highlight w:val="yellow"/>
          <w:lang w:val="en-US" w:eastAsia="zh-CN"/>
        </w:rPr>
        <w:t xml:space="preserve"> </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w:t>
      </w:r>
      <w:r>
        <w:rPr>
          <w:rFonts w:hint="eastAsia"/>
          <w:color w:val="000000"/>
          <w:szCs w:val="21"/>
          <w:lang w:val="en-US" w:eastAsia="zh-CN"/>
        </w:rPr>
        <w:t>cgb</w:t>
      </w:r>
      <w:r>
        <w:rPr>
          <w:rFonts w:hint="eastAsia"/>
          <w:color w:val="000000"/>
          <w:szCs w:val="21"/>
        </w:rPr>
        <w:t>@163.com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w:t>
      </w:r>
      <w:r>
        <w:rPr>
          <w:rFonts w:hint="eastAsia" w:ascii="宋体" w:hAnsi="宋体" w:eastAsia="宋体" w:cs="宋体"/>
          <w:b/>
          <w:bCs/>
          <w:color w:val="000000"/>
          <w:sz w:val="20"/>
          <w:szCs w:val="20"/>
          <w:highlight w:val="yellow"/>
          <w:lang w:val="en-US" w:eastAsia="zh-CN"/>
        </w:rPr>
        <w:t>6</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6</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 xml:space="preserve"> </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1C0F763A">
      <w:pPr>
        <w:adjustRightInd w:val="0"/>
        <w:snapToGrid w:val="0"/>
        <w:spacing w:line="420" w:lineRule="exact"/>
        <w:ind w:left="420"/>
        <w:jc w:val="left"/>
        <w:rPr>
          <w:rFonts w:hint="default" w:eastAsiaTheme="minorEastAsia"/>
          <w:lang w:val="en-US" w:eastAsia="zh-CN"/>
        </w:rPr>
      </w:pPr>
      <w:r>
        <w:rPr>
          <w:rFonts w:hint="eastAsia"/>
        </w:rPr>
        <w:t>（三）联系人及联系电话：</w:t>
      </w:r>
      <w:r>
        <w:rPr>
          <w:rFonts w:hint="eastAsia"/>
          <w:lang w:val="en-US" w:eastAsia="zh-CN"/>
        </w:rPr>
        <w:t>林老师 82898683</w:t>
      </w: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862"/>
        <w:gridCol w:w="986"/>
        <w:gridCol w:w="818"/>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C1F72EA">
            <w:pPr>
              <w:snapToGrid w:val="0"/>
              <w:jc w:val="center"/>
              <w:rPr>
                <w:rFonts w:ascii="宋体" w:eastAsia="宋体"/>
                <w:b/>
                <w:sz w:val="22"/>
              </w:rPr>
            </w:pPr>
            <w:r>
              <w:rPr>
                <w:rFonts w:hint="eastAsia" w:ascii="宋体" w:eastAsia="宋体"/>
                <w:b/>
                <w:sz w:val="22"/>
              </w:rPr>
              <w:t>序号</w:t>
            </w:r>
          </w:p>
        </w:tc>
        <w:tc>
          <w:tcPr>
            <w:tcW w:w="1281" w:type="dxa"/>
            <w:vAlign w:val="center"/>
          </w:tcPr>
          <w:p w14:paraId="56DA10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502A19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784EA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084A2E2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tc>
        <w:tc>
          <w:tcPr>
            <w:tcW w:w="807" w:type="dxa"/>
            <w:vAlign w:val="center"/>
          </w:tcPr>
          <w:p w14:paraId="787467E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862" w:type="dxa"/>
            <w:vAlign w:val="center"/>
          </w:tcPr>
          <w:p w14:paraId="40CC6E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986" w:type="dxa"/>
            <w:vAlign w:val="center"/>
          </w:tcPr>
          <w:p w14:paraId="2C60524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7F57C8D">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37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0EAF5E3">
            <w:pPr>
              <w:keepNext w:val="0"/>
              <w:keepLines w:val="0"/>
              <w:widowControl/>
              <w:suppressLineNumbers w:val="0"/>
              <w:jc w:val="center"/>
              <w:textAlignment w:val="center"/>
              <w:rPr>
                <w:rFonts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81" w:type="dxa"/>
            <w:shd w:val="clear" w:color="auto" w:fill="auto"/>
            <w:noWrap/>
            <w:vAlign w:val="center"/>
          </w:tcPr>
          <w:p w14:paraId="4571D82E">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ZCB2026-HC32-182-A</w:t>
            </w:r>
          </w:p>
        </w:tc>
        <w:tc>
          <w:tcPr>
            <w:tcW w:w="1620" w:type="dxa"/>
            <w:shd w:val="clear" w:color="auto" w:fill="auto"/>
            <w:vAlign w:val="center"/>
          </w:tcPr>
          <w:p w14:paraId="7497E0EC">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医用检查手套（橡胶）</w:t>
            </w:r>
            <w:r>
              <w:rPr>
                <w:rFonts w:hint="eastAsia" w:eastAsia="宋体"/>
                <w:color w:val="000000"/>
                <w:sz w:val="22"/>
                <w:lang w:val="en-US" w:eastAsia="zh-CN"/>
              </w:rPr>
              <w:t>A包</w:t>
            </w:r>
          </w:p>
        </w:tc>
        <w:tc>
          <w:tcPr>
            <w:tcW w:w="2688" w:type="dxa"/>
            <w:vAlign w:val="center"/>
          </w:tcPr>
          <w:p w14:paraId="022124D8">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无粉，非无菌提供，一次性使用。用于戴在医生手上或手指上对患者病情进行检查或触检.</w:t>
            </w:r>
          </w:p>
        </w:tc>
        <w:tc>
          <w:tcPr>
            <w:tcW w:w="1470" w:type="dxa"/>
            <w:vAlign w:val="center"/>
          </w:tcPr>
          <w:p w14:paraId="38356FF3">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807" w:type="dxa"/>
            <w:vAlign w:val="center"/>
          </w:tcPr>
          <w:p w14:paraId="53A9D95E">
            <w:pPr>
              <w:keepNext w:val="0"/>
              <w:keepLines w:val="0"/>
              <w:widowControl/>
              <w:suppressLineNumbers w:val="0"/>
              <w:jc w:val="center"/>
              <w:textAlignment w:val="center"/>
              <w:rPr>
                <w:rFonts w:hint="default"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国产</w:t>
            </w:r>
          </w:p>
        </w:tc>
        <w:tc>
          <w:tcPr>
            <w:tcW w:w="862" w:type="dxa"/>
            <w:shd w:val="clear" w:color="auto" w:fill="auto"/>
            <w:vAlign w:val="center"/>
          </w:tcPr>
          <w:p w14:paraId="38B86241">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护理部</w:t>
            </w:r>
          </w:p>
        </w:tc>
        <w:tc>
          <w:tcPr>
            <w:tcW w:w="986" w:type="dxa"/>
            <w:vAlign w:val="center"/>
          </w:tcPr>
          <w:p w14:paraId="4DCA0D08">
            <w:pPr>
              <w:widowControl/>
              <w:jc w:val="center"/>
              <w:textAlignment w:val="center"/>
              <w:rPr>
                <w:rFonts w:hint="eastAsia" w:eastAsia="宋体"/>
                <w:color w:val="000000"/>
                <w:sz w:val="21"/>
                <w:szCs w:val="21"/>
                <w:lang w:eastAsia="zh-CN"/>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22CFD399">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否</w:t>
            </w:r>
          </w:p>
        </w:tc>
      </w:tr>
      <w:tr w14:paraId="3D29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3E0A9E3">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1281" w:type="dxa"/>
            <w:shd w:val="clear" w:color="auto" w:fill="auto"/>
            <w:noWrap/>
            <w:vAlign w:val="center"/>
          </w:tcPr>
          <w:p w14:paraId="16DD2FAB">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ZCB2026-HC32-182-B</w:t>
            </w:r>
          </w:p>
        </w:tc>
        <w:tc>
          <w:tcPr>
            <w:tcW w:w="1620" w:type="dxa"/>
            <w:shd w:val="clear" w:color="auto" w:fill="auto"/>
            <w:vAlign w:val="center"/>
          </w:tcPr>
          <w:p w14:paraId="4DA8F85E">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医用检查手套（橡胶）</w:t>
            </w:r>
            <w:r>
              <w:rPr>
                <w:rFonts w:hint="eastAsia" w:eastAsia="宋体"/>
                <w:color w:val="000000"/>
                <w:sz w:val="22"/>
                <w:lang w:val="en-US" w:eastAsia="zh-CN"/>
              </w:rPr>
              <w:t>B包</w:t>
            </w:r>
          </w:p>
        </w:tc>
        <w:tc>
          <w:tcPr>
            <w:tcW w:w="2688" w:type="dxa"/>
            <w:vAlign w:val="center"/>
          </w:tcPr>
          <w:p w14:paraId="41DFBCA6">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无粉，非无菌提供，一次性使用。用于戴在医生手上或手指上对患者病情进行检查或触检.</w:t>
            </w:r>
          </w:p>
        </w:tc>
        <w:tc>
          <w:tcPr>
            <w:tcW w:w="1470" w:type="dxa"/>
            <w:vAlign w:val="center"/>
          </w:tcPr>
          <w:p w14:paraId="7D8E5A11">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0.225</w:t>
            </w:r>
          </w:p>
        </w:tc>
        <w:tc>
          <w:tcPr>
            <w:tcW w:w="807" w:type="dxa"/>
            <w:vAlign w:val="center"/>
          </w:tcPr>
          <w:p w14:paraId="0D42FAB9">
            <w:pPr>
              <w:keepNext w:val="0"/>
              <w:keepLines w:val="0"/>
              <w:widowControl/>
              <w:suppressLineNumbers w:val="0"/>
              <w:jc w:val="center"/>
              <w:textAlignment w:val="center"/>
              <w:rPr>
                <w:rFonts w:hint="default"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国产</w:t>
            </w:r>
          </w:p>
        </w:tc>
        <w:tc>
          <w:tcPr>
            <w:tcW w:w="862" w:type="dxa"/>
            <w:shd w:val="clear" w:color="auto" w:fill="auto"/>
            <w:vAlign w:val="center"/>
          </w:tcPr>
          <w:p w14:paraId="5C0849C7">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护理部</w:t>
            </w:r>
          </w:p>
        </w:tc>
        <w:tc>
          <w:tcPr>
            <w:tcW w:w="986" w:type="dxa"/>
            <w:shd w:val="clear" w:color="auto" w:fill="auto"/>
            <w:vAlign w:val="center"/>
          </w:tcPr>
          <w:p w14:paraId="67A4D112">
            <w:pPr>
              <w:widowControl/>
              <w:jc w:val="center"/>
              <w:textAlignment w:val="center"/>
              <w:rPr>
                <w:rFonts w:hint="eastAsia" w:eastAsia="宋体"/>
                <w:color w:val="000000"/>
                <w:sz w:val="21"/>
                <w:szCs w:val="21"/>
                <w:lang w:val="en-US" w:eastAsia="zh-CN"/>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45A728B0">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否</w:t>
            </w:r>
          </w:p>
        </w:tc>
      </w:tr>
      <w:tr w14:paraId="2A7E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AE2086E">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281" w:type="dxa"/>
            <w:shd w:val="clear" w:color="auto" w:fill="auto"/>
            <w:noWrap/>
            <w:vAlign w:val="center"/>
          </w:tcPr>
          <w:p w14:paraId="11E099D4">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ZCB2026-HC32-183</w:t>
            </w:r>
          </w:p>
        </w:tc>
        <w:tc>
          <w:tcPr>
            <w:tcW w:w="1620" w:type="dxa"/>
            <w:shd w:val="clear" w:color="auto" w:fill="auto"/>
            <w:vAlign w:val="center"/>
          </w:tcPr>
          <w:p w14:paraId="0EE6D080">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穿刺针</w:t>
            </w:r>
          </w:p>
        </w:tc>
        <w:tc>
          <w:tcPr>
            <w:tcW w:w="2688" w:type="dxa"/>
            <w:vAlign w:val="center"/>
          </w:tcPr>
          <w:p w14:paraId="2D32E028">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用于经皮对胆管及胆囊的穿刺和造影。</w:t>
            </w:r>
          </w:p>
        </w:tc>
        <w:tc>
          <w:tcPr>
            <w:tcW w:w="1470" w:type="dxa"/>
            <w:vAlign w:val="center"/>
          </w:tcPr>
          <w:p w14:paraId="2810D4AB">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110-400</w:t>
            </w:r>
          </w:p>
        </w:tc>
        <w:tc>
          <w:tcPr>
            <w:tcW w:w="807" w:type="dxa"/>
            <w:vAlign w:val="center"/>
          </w:tcPr>
          <w:p w14:paraId="49DCD2E0">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39E2E265">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肾脏内科 </w:t>
            </w:r>
          </w:p>
        </w:tc>
        <w:tc>
          <w:tcPr>
            <w:tcW w:w="986" w:type="dxa"/>
            <w:shd w:val="clear" w:color="auto" w:fill="auto"/>
            <w:vAlign w:val="center"/>
          </w:tcPr>
          <w:p w14:paraId="4D49FF20">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07563637">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是</w:t>
            </w:r>
          </w:p>
        </w:tc>
      </w:tr>
      <w:tr w14:paraId="0E65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3450D3B0">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1281" w:type="dxa"/>
            <w:shd w:val="clear" w:color="auto" w:fill="auto"/>
            <w:noWrap/>
            <w:vAlign w:val="center"/>
          </w:tcPr>
          <w:p w14:paraId="1131D619">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ZCB2026-HC32-184</w:t>
            </w:r>
          </w:p>
        </w:tc>
        <w:tc>
          <w:tcPr>
            <w:tcW w:w="1620" w:type="dxa"/>
            <w:shd w:val="clear" w:color="auto" w:fill="auto"/>
            <w:vAlign w:val="center"/>
          </w:tcPr>
          <w:p w14:paraId="0F548DE0">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透析人工血管</w:t>
            </w:r>
          </w:p>
        </w:tc>
        <w:tc>
          <w:tcPr>
            <w:tcW w:w="2688" w:type="dxa"/>
            <w:vAlign w:val="center"/>
          </w:tcPr>
          <w:p w14:paraId="1B45F71F">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用于通过置换血管或建立血管旁路治疗血管闭塞性疾病或动脉瘤，置换损伤血管，建立血液透析通路或其他血管手术。</w:t>
            </w:r>
          </w:p>
        </w:tc>
        <w:tc>
          <w:tcPr>
            <w:tcW w:w="1470" w:type="dxa"/>
            <w:vAlign w:val="center"/>
          </w:tcPr>
          <w:p w14:paraId="3E8BAC15">
            <w:pPr>
              <w:widowControl/>
              <w:jc w:val="center"/>
              <w:textAlignment w:val="center"/>
              <w:rPr>
                <w:rFonts w:hint="default" w:eastAsia="宋体"/>
                <w:color w:val="000000"/>
                <w:sz w:val="21"/>
                <w:szCs w:val="21"/>
                <w:lang w:val="en-US" w:eastAsia="zh-CN"/>
              </w:rPr>
            </w:pPr>
            <w:r>
              <w:rPr>
                <w:rFonts w:hint="eastAsia" w:eastAsia="宋体"/>
                <w:color w:val="000000"/>
                <w:sz w:val="21"/>
                <w:szCs w:val="21"/>
                <w:lang w:eastAsia="zh-CN"/>
              </w:rPr>
              <w:t>6770.6</w:t>
            </w:r>
            <w:r>
              <w:rPr>
                <w:rFonts w:hint="eastAsia" w:eastAsia="宋体"/>
                <w:color w:val="000000"/>
                <w:sz w:val="21"/>
                <w:szCs w:val="21"/>
                <w:lang w:val="en-US" w:eastAsia="zh-CN"/>
              </w:rPr>
              <w:t>-28900</w:t>
            </w:r>
          </w:p>
        </w:tc>
        <w:tc>
          <w:tcPr>
            <w:tcW w:w="807" w:type="dxa"/>
            <w:vAlign w:val="center"/>
          </w:tcPr>
          <w:p w14:paraId="1366AD3C">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3EF60BE9">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肾脏内科 </w:t>
            </w:r>
          </w:p>
        </w:tc>
        <w:tc>
          <w:tcPr>
            <w:tcW w:w="986" w:type="dxa"/>
            <w:shd w:val="clear" w:color="auto" w:fill="auto"/>
            <w:vAlign w:val="center"/>
          </w:tcPr>
          <w:p w14:paraId="08290021">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60841306">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是</w:t>
            </w:r>
          </w:p>
        </w:tc>
      </w:tr>
      <w:tr w14:paraId="1984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3F1E83B">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281" w:type="dxa"/>
            <w:shd w:val="clear" w:color="auto" w:fill="auto"/>
            <w:noWrap/>
            <w:vAlign w:val="center"/>
          </w:tcPr>
          <w:p w14:paraId="690DFBE4">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ZCB2026-HC32-185</w:t>
            </w:r>
          </w:p>
        </w:tc>
        <w:tc>
          <w:tcPr>
            <w:tcW w:w="1620" w:type="dxa"/>
            <w:shd w:val="clear" w:color="auto" w:fill="auto"/>
            <w:vAlign w:val="center"/>
          </w:tcPr>
          <w:p w14:paraId="38E0348E">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半永久中心静脉导管及附件</w:t>
            </w:r>
          </w:p>
        </w:tc>
        <w:tc>
          <w:tcPr>
            <w:tcW w:w="2688" w:type="dxa"/>
            <w:vAlign w:val="center"/>
          </w:tcPr>
          <w:p w14:paraId="7C722973">
            <w:pPr>
              <w:keepNext w:val="0"/>
              <w:keepLines w:val="0"/>
              <w:widowControl/>
              <w:suppressLineNumbers w:val="0"/>
              <w:jc w:val="left"/>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用于血液透析建立血管通路</w:t>
            </w:r>
          </w:p>
        </w:tc>
        <w:tc>
          <w:tcPr>
            <w:tcW w:w="1470" w:type="dxa"/>
            <w:vAlign w:val="center"/>
          </w:tcPr>
          <w:p w14:paraId="2737A806">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0-6000</w:t>
            </w:r>
          </w:p>
        </w:tc>
        <w:tc>
          <w:tcPr>
            <w:tcW w:w="807" w:type="dxa"/>
            <w:vAlign w:val="center"/>
          </w:tcPr>
          <w:p w14:paraId="4362EA60">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50597302">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肾脏内科 </w:t>
            </w:r>
          </w:p>
        </w:tc>
        <w:tc>
          <w:tcPr>
            <w:tcW w:w="986" w:type="dxa"/>
            <w:shd w:val="clear" w:color="auto" w:fill="auto"/>
            <w:vAlign w:val="center"/>
          </w:tcPr>
          <w:p w14:paraId="510DB03D">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2A9C7493">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是</w:t>
            </w:r>
          </w:p>
        </w:tc>
      </w:tr>
      <w:tr w14:paraId="3643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8F5B40F">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281" w:type="dxa"/>
            <w:shd w:val="clear" w:color="auto" w:fill="auto"/>
            <w:noWrap/>
            <w:vAlign w:val="center"/>
          </w:tcPr>
          <w:p w14:paraId="1DFD33C4">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ZCB2026-HC32-186</w:t>
            </w:r>
          </w:p>
        </w:tc>
        <w:tc>
          <w:tcPr>
            <w:tcW w:w="1620" w:type="dxa"/>
            <w:shd w:val="clear" w:color="auto" w:fill="auto"/>
            <w:vAlign w:val="center"/>
          </w:tcPr>
          <w:p w14:paraId="7EB12134">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摆药机用包药纸</w:t>
            </w:r>
          </w:p>
        </w:tc>
        <w:tc>
          <w:tcPr>
            <w:tcW w:w="2688" w:type="dxa"/>
            <w:vAlign w:val="center"/>
          </w:tcPr>
          <w:p w14:paraId="4D3781BD">
            <w:pPr>
              <w:keepNext w:val="0"/>
              <w:keepLines w:val="0"/>
              <w:widowControl/>
              <w:suppressLineNumbers w:val="0"/>
              <w:jc w:val="left"/>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与日本汤山摆药用自动分包机配套使用。</w:t>
            </w:r>
          </w:p>
        </w:tc>
        <w:tc>
          <w:tcPr>
            <w:tcW w:w="1470" w:type="dxa"/>
            <w:vAlign w:val="center"/>
          </w:tcPr>
          <w:p w14:paraId="1D63CB66">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807" w:type="dxa"/>
            <w:vAlign w:val="center"/>
          </w:tcPr>
          <w:p w14:paraId="0627EEA5">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4103F55B">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药学部</w:t>
            </w:r>
          </w:p>
        </w:tc>
        <w:tc>
          <w:tcPr>
            <w:tcW w:w="986" w:type="dxa"/>
            <w:shd w:val="clear" w:color="auto" w:fill="auto"/>
            <w:vAlign w:val="center"/>
          </w:tcPr>
          <w:p w14:paraId="2098AE6B">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386B6FE3">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否</w:t>
            </w:r>
          </w:p>
        </w:tc>
      </w:tr>
    </w:tbl>
    <w:p w14:paraId="50B334BE">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6</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根据2026年党办通33号0130（2025年第2次医用耗材管理委员会审议结果）耗材委员会表决</w:t>
      </w:r>
      <w:r>
        <w:rPr>
          <w:rFonts w:hint="eastAsia" w:ascii="宋体" w:hAnsi="宋体" w:eastAsia="宋体" w:cs="宋体"/>
          <w:color w:val="000000" w:themeColor="text1"/>
          <w:kern w:val="0"/>
          <w:sz w:val="24"/>
          <w:lang w:val="en-US" w:eastAsia="zh-CN"/>
        </w:rPr>
        <w:t>意见</w:t>
      </w:r>
      <w:r>
        <w:rPr>
          <w:rFonts w:hint="eastAsia" w:ascii="宋体" w:hAnsi="宋体" w:eastAsia="宋体" w:cs="宋体"/>
          <w:color w:val="000000" w:themeColor="text1"/>
          <w:kern w:val="0"/>
          <w:sz w:val="24"/>
        </w:rPr>
        <w:t>，对</w:t>
      </w:r>
      <w:r>
        <w:rPr>
          <w:rFonts w:hint="eastAsia" w:ascii="宋体" w:hAnsi="宋体" w:eastAsia="宋体" w:cs="宋体"/>
          <w:color w:val="000000" w:themeColor="text1"/>
          <w:kern w:val="0"/>
          <w:sz w:val="24"/>
          <w:lang w:val="en-US" w:eastAsia="zh-CN"/>
        </w:rPr>
        <w:t>新准入</w:t>
      </w:r>
      <w:r>
        <w:rPr>
          <w:rFonts w:hint="eastAsia" w:ascii="宋体" w:hAnsi="宋体" w:eastAsia="宋体" w:cs="宋体"/>
          <w:color w:val="000000" w:themeColor="text1"/>
          <w:kern w:val="0"/>
          <w:sz w:val="24"/>
        </w:rPr>
        <w:t>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862"/>
        <w:gridCol w:w="986"/>
        <w:gridCol w:w="818"/>
      </w:tblGrid>
      <w:tr w14:paraId="179B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44FB7163">
            <w:pPr>
              <w:snapToGrid w:val="0"/>
              <w:jc w:val="center"/>
              <w:rPr>
                <w:rFonts w:ascii="宋体" w:eastAsia="宋体"/>
                <w:b/>
                <w:sz w:val="22"/>
              </w:rPr>
            </w:pPr>
            <w:r>
              <w:rPr>
                <w:rFonts w:hint="eastAsia" w:ascii="宋体" w:eastAsia="宋体"/>
                <w:b/>
                <w:sz w:val="22"/>
              </w:rPr>
              <w:t>序号</w:t>
            </w:r>
          </w:p>
        </w:tc>
        <w:tc>
          <w:tcPr>
            <w:tcW w:w="1281" w:type="dxa"/>
            <w:vAlign w:val="center"/>
          </w:tcPr>
          <w:p w14:paraId="11771526">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42CBE76E">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02A6D229">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4F51DC86">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tc>
        <w:tc>
          <w:tcPr>
            <w:tcW w:w="807" w:type="dxa"/>
            <w:vAlign w:val="center"/>
          </w:tcPr>
          <w:p w14:paraId="241F7EF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862" w:type="dxa"/>
            <w:vAlign w:val="center"/>
          </w:tcPr>
          <w:p w14:paraId="1B743B99">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986" w:type="dxa"/>
            <w:vAlign w:val="center"/>
          </w:tcPr>
          <w:p w14:paraId="4B3E73DF">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139838AF">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48D4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5FCBFB1A">
            <w:pPr>
              <w:keepNext w:val="0"/>
              <w:keepLines w:val="0"/>
              <w:widowControl/>
              <w:suppressLineNumbers w:val="0"/>
              <w:jc w:val="center"/>
              <w:textAlignment w:val="center"/>
              <w:rPr>
                <w:rFonts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81" w:type="dxa"/>
            <w:shd w:val="clear" w:color="auto" w:fill="auto"/>
            <w:noWrap/>
            <w:vAlign w:val="center"/>
          </w:tcPr>
          <w:p w14:paraId="72863715">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ZCB2026-HC32-182-A</w:t>
            </w:r>
          </w:p>
        </w:tc>
        <w:tc>
          <w:tcPr>
            <w:tcW w:w="1620" w:type="dxa"/>
            <w:shd w:val="clear" w:color="auto" w:fill="auto"/>
            <w:vAlign w:val="center"/>
          </w:tcPr>
          <w:p w14:paraId="6780F923">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医用检查手套（橡胶）</w:t>
            </w:r>
            <w:r>
              <w:rPr>
                <w:rFonts w:hint="eastAsia" w:eastAsia="宋体"/>
                <w:color w:val="000000"/>
                <w:sz w:val="22"/>
                <w:lang w:val="en-US" w:eastAsia="zh-CN"/>
              </w:rPr>
              <w:t>A包</w:t>
            </w:r>
          </w:p>
        </w:tc>
        <w:tc>
          <w:tcPr>
            <w:tcW w:w="2688" w:type="dxa"/>
            <w:vAlign w:val="center"/>
          </w:tcPr>
          <w:p w14:paraId="1513797F">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无粉，非无菌提供，一次性使用。用于戴在医生手上或手指上对患者病情进行检查或触检.</w:t>
            </w:r>
          </w:p>
        </w:tc>
        <w:tc>
          <w:tcPr>
            <w:tcW w:w="1470" w:type="dxa"/>
            <w:vAlign w:val="center"/>
          </w:tcPr>
          <w:p w14:paraId="2960412A">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807" w:type="dxa"/>
            <w:vAlign w:val="center"/>
          </w:tcPr>
          <w:p w14:paraId="14952941">
            <w:pPr>
              <w:keepNext w:val="0"/>
              <w:keepLines w:val="0"/>
              <w:widowControl/>
              <w:suppressLineNumbers w:val="0"/>
              <w:jc w:val="center"/>
              <w:textAlignment w:val="center"/>
              <w:rPr>
                <w:rFonts w:hint="default"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国产</w:t>
            </w:r>
          </w:p>
        </w:tc>
        <w:tc>
          <w:tcPr>
            <w:tcW w:w="862" w:type="dxa"/>
            <w:shd w:val="clear" w:color="auto" w:fill="auto"/>
            <w:vAlign w:val="center"/>
          </w:tcPr>
          <w:p w14:paraId="242EC529">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护理部</w:t>
            </w:r>
          </w:p>
        </w:tc>
        <w:tc>
          <w:tcPr>
            <w:tcW w:w="986" w:type="dxa"/>
            <w:vAlign w:val="center"/>
          </w:tcPr>
          <w:p w14:paraId="12BA471A">
            <w:pPr>
              <w:widowControl/>
              <w:jc w:val="center"/>
              <w:textAlignment w:val="center"/>
              <w:rPr>
                <w:rFonts w:hint="eastAsia" w:eastAsia="宋体"/>
                <w:color w:val="000000"/>
                <w:sz w:val="21"/>
                <w:szCs w:val="21"/>
                <w:lang w:eastAsia="zh-CN"/>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2AD5BF79">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否</w:t>
            </w:r>
          </w:p>
        </w:tc>
      </w:tr>
      <w:tr w14:paraId="5699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15C89014">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1281" w:type="dxa"/>
            <w:shd w:val="clear" w:color="auto" w:fill="auto"/>
            <w:noWrap/>
            <w:vAlign w:val="center"/>
          </w:tcPr>
          <w:p w14:paraId="49B6005B">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ZCB2026-HC32-182-B</w:t>
            </w:r>
          </w:p>
        </w:tc>
        <w:tc>
          <w:tcPr>
            <w:tcW w:w="1620" w:type="dxa"/>
            <w:shd w:val="clear" w:color="auto" w:fill="auto"/>
            <w:vAlign w:val="center"/>
          </w:tcPr>
          <w:p w14:paraId="6D3B391D">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医用检查手套（橡胶）</w:t>
            </w:r>
            <w:r>
              <w:rPr>
                <w:rFonts w:hint="eastAsia" w:eastAsia="宋体"/>
                <w:color w:val="000000"/>
                <w:sz w:val="22"/>
                <w:lang w:val="en-US" w:eastAsia="zh-CN"/>
              </w:rPr>
              <w:t>B包</w:t>
            </w:r>
          </w:p>
        </w:tc>
        <w:tc>
          <w:tcPr>
            <w:tcW w:w="2688" w:type="dxa"/>
            <w:vAlign w:val="center"/>
          </w:tcPr>
          <w:p w14:paraId="0009294A">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无粉，非无菌提供，一次性使用。用于戴在医生手上或手指上对患者病情进行检查或触检.</w:t>
            </w:r>
          </w:p>
        </w:tc>
        <w:tc>
          <w:tcPr>
            <w:tcW w:w="1470" w:type="dxa"/>
            <w:vAlign w:val="center"/>
          </w:tcPr>
          <w:p w14:paraId="39A06FD3">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0.225</w:t>
            </w:r>
          </w:p>
        </w:tc>
        <w:tc>
          <w:tcPr>
            <w:tcW w:w="807" w:type="dxa"/>
            <w:vAlign w:val="center"/>
          </w:tcPr>
          <w:p w14:paraId="38867FF4">
            <w:pPr>
              <w:keepNext w:val="0"/>
              <w:keepLines w:val="0"/>
              <w:widowControl/>
              <w:suppressLineNumbers w:val="0"/>
              <w:jc w:val="center"/>
              <w:textAlignment w:val="center"/>
              <w:rPr>
                <w:rFonts w:hint="default"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国产</w:t>
            </w:r>
          </w:p>
        </w:tc>
        <w:tc>
          <w:tcPr>
            <w:tcW w:w="862" w:type="dxa"/>
            <w:shd w:val="clear" w:color="auto" w:fill="auto"/>
            <w:vAlign w:val="center"/>
          </w:tcPr>
          <w:p w14:paraId="508C16BA">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护理部</w:t>
            </w:r>
          </w:p>
        </w:tc>
        <w:tc>
          <w:tcPr>
            <w:tcW w:w="986" w:type="dxa"/>
            <w:shd w:val="clear" w:color="auto" w:fill="auto"/>
            <w:vAlign w:val="center"/>
          </w:tcPr>
          <w:p w14:paraId="4C4BEDC0">
            <w:pPr>
              <w:widowControl/>
              <w:jc w:val="center"/>
              <w:textAlignment w:val="center"/>
              <w:rPr>
                <w:rFonts w:hint="eastAsia" w:eastAsia="宋体"/>
                <w:color w:val="000000"/>
                <w:sz w:val="21"/>
                <w:szCs w:val="21"/>
                <w:lang w:val="en-US" w:eastAsia="zh-CN"/>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6698D531">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否</w:t>
            </w:r>
          </w:p>
        </w:tc>
      </w:tr>
      <w:tr w14:paraId="7318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7F4A2607">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281" w:type="dxa"/>
            <w:shd w:val="clear" w:color="auto" w:fill="auto"/>
            <w:noWrap/>
            <w:vAlign w:val="center"/>
          </w:tcPr>
          <w:p w14:paraId="153BFF61">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ZCB2026-HC32-183</w:t>
            </w:r>
          </w:p>
        </w:tc>
        <w:tc>
          <w:tcPr>
            <w:tcW w:w="1620" w:type="dxa"/>
            <w:shd w:val="clear" w:color="auto" w:fill="auto"/>
            <w:vAlign w:val="center"/>
          </w:tcPr>
          <w:p w14:paraId="49F7AE63">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穿刺针</w:t>
            </w:r>
          </w:p>
        </w:tc>
        <w:tc>
          <w:tcPr>
            <w:tcW w:w="2688" w:type="dxa"/>
            <w:vAlign w:val="center"/>
          </w:tcPr>
          <w:p w14:paraId="6FC30797">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用于经皮对胆管及胆囊的穿刺和造影。</w:t>
            </w:r>
          </w:p>
        </w:tc>
        <w:tc>
          <w:tcPr>
            <w:tcW w:w="1470" w:type="dxa"/>
            <w:vAlign w:val="center"/>
          </w:tcPr>
          <w:p w14:paraId="0FE82FC2">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110-400</w:t>
            </w:r>
          </w:p>
        </w:tc>
        <w:tc>
          <w:tcPr>
            <w:tcW w:w="807" w:type="dxa"/>
            <w:vAlign w:val="center"/>
          </w:tcPr>
          <w:p w14:paraId="2A923D46">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175FBDEC">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肾脏内科 </w:t>
            </w:r>
          </w:p>
        </w:tc>
        <w:tc>
          <w:tcPr>
            <w:tcW w:w="986" w:type="dxa"/>
            <w:shd w:val="clear" w:color="auto" w:fill="auto"/>
            <w:vAlign w:val="center"/>
          </w:tcPr>
          <w:p w14:paraId="7128F141">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088D77E0">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是</w:t>
            </w:r>
          </w:p>
        </w:tc>
      </w:tr>
      <w:tr w14:paraId="780E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EF3865D">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1281" w:type="dxa"/>
            <w:shd w:val="clear" w:color="auto" w:fill="auto"/>
            <w:noWrap/>
            <w:vAlign w:val="center"/>
          </w:tcPr>
          <w:p w14:paraId="2B4060FC">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ZCB2026-HC32-184</w:t>
            </w:r>
          </w:p>
        </w:tc>
        <w:tc>
          <w:tcPr>
            <w:tcW w:w="1620" w:type="dxa"/>
            <w:shd w:val="clear" w:color="auto" w:fill="auto"/>
            <w:vAlign w:val="center"/>
          </w:tcPr>
          <w:p w14:paraId="6E73C9A3">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透析人工血管</w:t>
            </w:r>
          </w:p>
        </w:tc>
        <w:tc>
          <w:tcPr>
            <w:tcW w:w="2688" w:type="dxa"/>
            <w:vAlign w:val="center"/>
          </w:tcPr>
          <w:p w14:paraId="5BADCC91">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用于通过置换血管或建立血管旁路治疗血管闭塞性疾病或动脉瘤，置换损伤血管，建立血液透析通路或其他血管手术。</w:t>
            </w:r>
          </w:p>
        </w:tc>
        <w:tc>
          <w:tcPr>
            <w:tcW w:w="1470" w:type="dxa"/>
            <w:vAlign w:val="center"/>
          </w:tcPr>
          <w:p w14:paraId="112BA237">
            <w:pPr>
              <w:widowControl/>
              <w:jc w:val="center"/>
              <w:textAlignment w:val="center"/>
              <w:rPr>
                <w:rFonts w:hint="default" w:eastAsia="宋体"/>
                <w:color w:val="000000"/>
                <w:sz w:val="21"/>
                <w:szCs w:val="21"/>
                <w:lang w:val="en-US" w:eastAsia="zh-CN"/>
              </w:rPr>
            </w:pPr>
            <w:r>
              <w:rPr>
                <w:rFonts w:hint="eastAsia" w:eastAsia="宋体"/>
                <w:color w:val="000000"/>
                <w:sz w:val="21"/>
                <w:szCs w:val="21"/>
                <w:lang w:eastAsia="zh-CN"/>
              </w:rPr>
              <w:t>6770.6</w:t>
            </w:r>
            <w:r>
              <w:rPr>
                <w:rFonts w:hint="eastAsia" w:eastAsia="宋体"/>
                <w:color w:val="000000"/>
                <w:sz w:val="21"/>
                <w:szCs w:val="21"/>
                <w:lang w:val="en-US" w:eastAsia="zh-CN"/>
              </w:rPr>
              <w:t>-28900</w:t>
            </w:r>
          </w:p>
        </w:tc>
        <w:tc>
          <w:tcPr>
            <w:tcW w:w="807" w:type="dxa"/>
            <w:vAlign w:val="center"/>
          </w:tcPr>
          <w:p w14:paraId="26DD3439">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0B21CF33">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肾脏内科 </w:t>
            </w:r>
          </w:p>
        </w:tc>
        <w:tc>
          <w:tcPr>
            <w:tcW w:w="986" w:type="dxa"/>
            <w:shd w:val="clear" w:color="auto" w:fill="auto"/>
            <w:vAlign w:val="center"/>
          </w:tcPr>
          <w:p w14:paraId="240CFB50">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54018E17">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是</w:t>
            </w:r>
          </w:p>
        </w:tc>
      </w:tr>
      <w:tr w14:paraId="5A51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A265A59">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281" w:type="dxa"/>
            <w:shd w:val="clear" w:color="auto" w:fill="auto"/>
            <w:noWrap/>
            <w:vAlign w:val="center"/>
          </w:tcPr>
          <w:p w14:paraId="75EB4B31">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ZCB2026-HC32-185</w:t>
            </w:r>
          </w:p>
        </w:tc>
        <w:tc>
          <w:tcPr>
            <w:tcW w:w="1620" w:type="dxa"/>
            <w:shd w:val="clear" w:color="auto" w:fill="auto"/>
            <w:vAlign w:val="center"/>
          </w:tcPr>
          <w:p w14:paraId="6764CF88">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半永久中心静脉导管及附件</w:t>
            </w:r>
          </w:p>
        </w:tc>
        <w:tc>
          <w:tcPr>
            <w:tcW w:w="2688" w:type="dxa"/>
            <w:vAlign w:val="center"/>
          </w:tcPr>
          <w:p w14:paraId="0447E90E">
            <w:pPr>
              <w:keepNext w:val="0"/>
              <w:keepLines w:val="0"/>
              <w:widowControl/>
              <w:suppressLineNumbers w:val="0"/>
              <w:jc w:val="left"/>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用于血液透析建立血管通路</w:t>
            </w:r>
          </w:p>
        </w:tc>
        <w:tc>
          <w:tcPr>
            <w:tcW w:w="1470" w:type="dxa"/>
            <w:vAlign w:val="center"/>
          </w:tcPr>
          <w:p w14:paraId="396B5A1B">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0-6000</w:t>
            </w:r>
          </w:p>
        </w:tc>
        <w:tc>
          <w:tcPr>
            <w:tcW w:w="807" w:type="dxa"/>
            <w:vAlign w:val="center"/>
          </w:tcPr>
          <w:p w14:paraId="581F2A2E">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396ADE2B">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肾脏内科 </w:t>
            </w:r>
          </w:p>
        </w:tc>
        <w:tc>
          <w:tcPr>
            <w:tcW w:w="986" w:type="dxa"/>
            <w:shd w:val="clear" w:color="auto" w:fill="auto"/>
            <w:vAlign w:val="center"/>
          </w:tcPr>
          <w:p w14:paraId="03A44351">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78EF41F4">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是</w:t>
            </w:r>
          </w:p>
        </w:tc>
      </w:tr>
      <w:tr w14:paraId="52AF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1C8A8D7C">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281" w:type="dxa"/>
            <w:shd w:val="clear" w:color="auto" w:fill="auto"/>
            <w:noWrap/>
            <w:vAlign w:val="center"/>
          </w:tcPr>
          <w:p w14:paraId="7E69CE66">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ZCB2026-HC32-186</w:t>
            </w:r>
          </w:p>
        </w:tc>
        <w:tc>
          <w:tcPr>
            <w:tcW w:w="1620" w:type="dxa"/>
            <w:shd w:val="clear" w:color="auto" w:fill="auto"/>
            <w:vAlign w:val="center"/>
          </w:tcPr>
          <w:p w14:paraId="6732F182">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摆药机用包药纸</w:t>
            </w:r>
          </w:p>
        </w:tc>
        <w:tc>
          <w:tcPr>
            <w:tcW w:w="2688" w:type="dxa"/>
            <w:vAlign w:val="center"/>
          </w:tcPr>
          <w:p w14:paraId="301C688E">
            <w:pPr>
              <w:keepNext w:val="0"/>
              <w:keepLines w:val="0"/>
              <w:widowControl/>
              <w:suppressLineNumbers w:val="0"/>
              <w:jc w:val="left"/>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与日本汤山摆药用自动分包机配套使用。</w:t>
            </w:r>
          </w:p>
        </w:tc>
        <w:tc>
          <w:tcPr>
            <w:tcW w:w="1470" w:type="dxa"/>
            <w:vAlign w:val="center"/>
          </w:tcPr>
          <w:p w14:paraId="1586E7FE">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807" w:type="dxa"/>
            <w:vAlign w:val="center"/>
          </w:tcPr>
          <w:p w14:paraId="5DE4CD53">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42D64753">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药学部</w:t>
            </w:r>
          </w:p>
        </w:tc>
        <w:tc>
          <w:tcPr>
            <w:tcW w:w="986" w:type="dxa"/>
            <w:shd w:val="clear" w:color="auto" w:fill="auto"/>
            <w:vAlign w:val="center"/>
          </w:tcPr>
          <w:p w14:paraId="6BC594E7">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535D802E">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否</w:t>
            </w:r>
          </w:p>
        </w:tc>
      </w:tr>
    </w:tbl>
    <w:p w14:paraId="2516DF6C">
      <w:pPr>
        <w:pStyle w:val="43"/>
        <w:widowControl/>
        <w:adjustRightInd w:val="0"/>
        <w:snapToGrid w:val="0"/>
        <w:spacing w:line="360" w:lineRule="auto"/>
        <w:ind w:firstLine="241" w:firstLineChars="100"/>
        <w:rPr>
          <w:rFonts w:hint="eastAsia" w:ascii="宋体" w:hAnsi="宋体" w:eastAsia="宋体" w:cs="宋体"/>
          <w:b/>
          <w:sz w:val="24"/>
          <w:szCs w:val="24"/>
        </w:rPr>
      </w:pPr>
      <w:bookmarkStart w:id="30" w:name="_GoBack"/>
      <w:bookmarkEnd w:id="30"/>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w:t>
            </w:r>
            <w:r>
              <w:rPr>
                <w:rFonts w:hint="eastAsia" w:ascii="宋体" w:hAnsi="宋体" w:eastAsia="宋体" w:cs="宋体"/>
                <w:sz w:val="24"/>
                <w:lang w:val="en-US" w:eastAsia="zh-CN"/>
              </w:rPr>
              <w:t>25</w:t>
            </w:r>
            <w:r>
              <w:rPr>
                <w:rFonts w:hint="eastAsia" w:ascii="宋体" w:hAnsi="宋体" w:eastAsia="宋体" w:cs="宋体"/>
                <w:sz w:val="24"/>
              </w:rPr>
              <w:t>年</w:t>
            </w:r>
            <w:r>
              <w:rPr>
                <w:rFonts w:hint="eastAsia" w:ascii="宋体" w:hAnsi="宋体" w:eastAsia="宋体" w:cs="宋体"/>
                <w:sz w:val="24"/>
                <w:lang w:val="en-US" w:eastAsia="zh-CN"/>
              </w:rPr>
              <w:t>5</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4"/>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5"/>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5"/>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5"/>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5"/>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2"/>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6"/>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6"/>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7"/>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7"/>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7"/>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7679"/>
      <w:bookmarkStart w:id="12" w:name="_Toc100052408"/>
      <w:bookmarkStart w:id="13" w:name="_Toc73521674"/>
      <w:bookmarkStart w:id="14" w:name="_Toc73521586"/>
      <w:bookmarkStart w:id="15" w:name="_Toc73518157"/>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17680"/>
      <w:bookmarkStart w:id="17" w:name="_Toc73521675"/>
      <w:bookmarkStart w:id="18" w:name="_Toc73521587"/>
      <w:bookmarkStart w:id="19" w:name="_Toc100052409"/>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100052410"/>
      <w:bookmarkStart w:id="22" w:name="_Toc73518160"/>
      <w:bookmarkStart w:id="23" w:name="_Toc73517682"/>
      <w:bookmarkStart w:id="24" w:name="_Toc73521589"/>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75745504">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DB157FE-C67A-4455-B0FC-6C68641D0A4E}"/>
  </w:font>
  <w:font w:name="黑体">
    <w:panose1 w:val="02010609060101010101"/>
    <w:charset w:val="86"/>
    <w:family w:val="auto"/>
    <w:pitch w:val="default"/>
    <w:sig w:usb0="800002BF" w:usb1="38CF7CFA" w:usb2="00000016" w:usb3="00000000" w:csb0="00040001" w:csb1="00000000"/>
    <w:embedRegular r:id="rId2" w:fontKey="{3BAF3E60-3EA8-4C76-9F19-B15D7A1DA6C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FB22C8A-41D1-4BA5-A521-BBCCD24C8791}"/>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EB3F763A-AB69-43D0-97F6-26D2716DDFCB}"/>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A6C4A24E-258B-4D1B-BE55-0452AAA7ADB5}"/>
  </w:font>
  <w:font w:name="华文中宋">
    <w:panose1 w:val="02010600040101010101"/>
    <w:charset w:val="86"/>
    <w:family w:val="auto"/>
    <w:pitch w:val="default"/>
    <w:sig w:usb0="00000287" w:usb1="080F0000" w:usb2="00000000" w:usb3="00000000" w:csb0="0004009F" w:csb1="DFD70000"/>
    <w:embedRegular r:id="rId6" w:fontKey="{27683E6C-8514-4D15-B1E0-D0E1A8320FA6}"/>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604D2606-EB6F-439E-AA76-2CBC9C1FDEC9}"/>
  </w:font>
  <w:font w:name="Arial Unicode MS">
    <w:panose1 w:val="020B0604020202020204"/>
    <w:charset w:val="86"/>
    <w:family w:val="swiss"/>
    <w:pitch w:val="default"/>
    <w:sig w:usb0="FFFFFFFF" w:usb1="E9FFFFFF" w:usb2="0000003F" w:usb3="00000000" w:csb0="603F01FF" w:csb1="FFFF0000"/>
    <w:embedRegular r:id="rId8" w:fontKey="{AEFFA139-3DBD-4FBF-9EC0-A39A13C91F7A}"/>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7B4D1632-AD3E-4385-A69B-1B9E53722B02}"/>
  </w:font>
  <w:font w:name="方正小标宋_GBK">
    <w:panose1 w:val="02000000000000000000"/>
    <w:charset w:val="86"/>
    <w:family w:val="script"/>
    <w:pitch w:val="default"/>
    <w:sig w:usb0="A00002BF" w:usb1="38CF7CFA" w:usb2="00082016" w:usb3="00000000" w:csb0="00040001" w:csb1="00000000"/>
    <w:embedRegular r:id="rId10" w:fontKey="{2B485798-1F3B-4C2B-9192-B5F6259A4F96}"/>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2BF6775"/>
    <w:multiLevelType w:val="singleLevel"/>
    <w:tmpl w:val="72BF6775"/>
    <w:lvl w:ilvl="0" w:tentative="0">
      <w:start w:val="1"/>
      <w:numFmt w:val="decimal"/>
      <w:lvlText w:val="%1)"/>
      <w:lvlJc w:val="left"/>
      <w:pPr>
        <w:ind w:left="425" w:hanging="425"/>
      </w:pPr>
      <w:rPr>
        <w:rFonts w:hint="default"/>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2"/>
  </w:num>
  <w:num w:numId="8">
    <w:abstractNumId w:val="21"/>
  </w:num>
  <w:num w:numId="9">
    <w:abstractNumId w:val="2"/>
  </w:num>
  <w:num w:numId="10">
    <w:abstractNumId w:val="16"/>
  </w:num>
  <w:num w:numId="11">
    <w:abstractNumId w:val="10"/>
  </w:num>
  <w:num w:numId="12">
    <w:abstractNumId w:val="9"/>
  </w:num>
  <w:num w:numId="13">
    <w:abstractNumId w:val="28"/>
  </w:num>
  <w:num w:numId="14">
    <w:abstractNumId w:val="15"/>
  </w:num>
  <w:num w:numId="15">
    <w:abstractNumId w:val="27"/>
  </w:num>
  <w:num w:numId="16">
    <w:abstractNumId w:val="24"/>
  </w:num>
  <w:num w:numId="17">
    <w:abstractNumId w:val="19"/>
  </w:num>
  <w:num w:numId="18">
    <w:abstractNumId w:val="20"/>
  </w:num>
  <w:num w:numId="19">
    <w:abstractNumId w:val="13"/>
  </w:num>
  <w:num w:numId="20">
    <w:abstractNumId w:val="18"/>
  </w:num>
  <w:num w:numId="21">
    <w:abstractNumId w:val="4"/>
  </w:num>
  <w:num w:numId="22">
    <w:abstractNumId w:val="25"/>
  </w:num>
  <w:num w:numId="23">
    <w:abstractNumId w:val="7"/>
  </w:num>
  <w:num w:numId="24">
    <w:abstractNumId w:val="5"/>
  </w:num>
  <w:num w:numId="25">
    <w:abstractNumId w:val="17"/>
  </w:num>
  <w:num w:numId="26">
    <w:abstractNumId w:val="1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716D43"/>
    <w:rsid w:val="03BD1657"/>
    <w:rsid w:val="03F67097"/>
    <w:rsid w:val="04C609C8"/>
    <w:rsid w:val="04CE3D21"/>
    <w:rsid w:val="04E35A1E"/>
    <w:rsid w:val="050944F3"/>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3D4F"/>
    <w:rsid w:val="0BE95409"/>
    <w:rsid w:val="0C4D7C21"/>
    <w:rsid w:val="0C70073F"/>
    <w:rsid w:val="0C9B1CCF"/>
    <w:rsid w:val="0CB1143F"/>
    <w:rsid w:val="0CCE2622"/>
    <w:rsid w:val="0E085C48"/>
    <w:rsid w:val="0E1034F8"/>
    <w:rsid w:val="0EBB3AA4"/>
    <w:rsid w:val="0FAD08ED"/>
    <w:rsid w:val="0FCE2E27"/>
    <w:rsid w:val="100D0676"/>
    <w:rsid w:val="10114FA7"/>
    <w:rsid w:val="10A23C41"/>
    <w:rsid w:val="10C27CB2"/>
    <w:rsid w:val="10F15960"/>
    <w:rsid w:val="113373E5"/>
    <w:rsid w:val="11432541"/>
    <w:rsid w:val="12B1205F"/>
    <w:rsid w:val="12B64DD7"/>
    <w:rsid w:val="13381A7D"/>
    <w:rsid w:val="13B44A8A"/>
    <w:rsid w:val="13F77A1A"/>
    <w:rsid w:val="14175BB0"/>
    <w:rsid w:val="147902B3"/>
    <w:rsid w:val="148A7D85"/>
    <w:rsid w:val="14922FE9"/>
    <w:rsid w:val="14AE7232"/>
    <w:rsid w:val="14EE3866"/>
    <w:rsid w:val="150C1BA5"/>
    <w:rsid w:val="15180BA4"/>
    <w:rsid w:val="153A6B71"/>
    <w:rsid w:val="15420113"/>
    <w:rsid w:val="15DC43E5"/>
    <w:rsid w:val="161003EE"/>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49E5BD9"/>
    <w:rsid w:val="24B05A43"/>
    <w:rsid w:val="24EE26FA"/>
    <w:rsid w:val="24FA69A0"/>
    <w:rsid w:val="25292B82"/>
    <w:rsid w:val="25335A76"/>
    <w:rsid w:val="257965BE"/>
    <w:rsid w:val="25897742"/>
    <w:rsid w:val="25DC0BEB"/>
    <w:rsid w:val="26013AFE"/>
    <w:rsid w:val="266F0A28"/>
    <w:rsid w:val="2677791D"/>
    <w:rsid w:val="268A42C5"/>
    <w:rsid w:val="26BE6F37"/>
    <w:rsid w:val="26F9251C"/>
    <w:rsid w:val="27AB0837"/>
    <w:rsid w:val="27BF157B"/>
    <w:rsid w:val="27DE59CC"/>
    <w:rsid w:val="281B3EE1"/>
    <w:rsid w:val="281C077C"/>
    <w:rsid w:val="28BB6273"/>
    <w:rsid w:val="2955346A"/>
    <w:rsid w:val="29B33674"/>
    <w:rsid w:val="2A2242DE"/>
    <w:rsid w:val="2A252603"/>
    <w:rsid w:val="2A29419B"/>
    <w:rsid w:val="2A7D4161"/>
    <w:rsid w:val="2B1E396A"/>
    <w:rsid w:val="2BBE4A09"/>
    <w:rsid w:val="2CED6B8B"/>
    <w:rsid w:val="2D2325AC"/>
    <w:rsid w:val="2D81021F"/>
    <w:rsid w:val="2DF5037E"/>
    <w:rsid w:val="2EAF3C05"/>
    <w:rsid w:val="2EBE628C"/>
    <w:rsid w:val="2EC151A8"/>
    <w:rsid w:val="2F017169"/>
    <w:rsid w:val="2F667C62"/>
    <w:rsid w:val="2FA22E86"/>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7F13523"/>
    <w:rsid w:val="38273E27"/>
    <w:rsid w:val="386550F4"/>
    <w:rsid w:val="388146CF"/>
    <w:rsid w:val="38AA4085"/>
    <w:rsid w:val="38C004AE"/>
    <w:rsid w:val="399D0437"/>
    <w:rsid w:val="3A257964"/>
    <w:rsid w:val="3A4A0C98"/>
    <w:rsid w:val="3A736BBC"/>
    <w:rsid w:val="3AA52CC3"/>
    <w:rsid w:val="3AB504FA"/>
    <w:rsid w:val="3B5F6973"/>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9346E"/>
    <w:rsid w:val="40CF687B"/>
    <w:rsid w:val="411F5AFC"/>
    <w:rsid w:val="41204B7C"/>
    <w:rsid w:val="416D6A0E"/>
    <w:rsid w:val="417D1DC2"/>
    <w:rsid w:val="41B11ADD"/>
    <w:rsid w:val="433341D2"/>
    <w:rsid w:val="44687A85"/>
    <w:rsid w:val="446B68BB"/>
    <w:rsid w:val="44E42F3B"/>
    <w:rsid w:val="450D15FC"/>
    <w:rsid w:val="452D1052"/>
    <w:rsid w:val="456B1659"/>
    <w:rsid w:val="45C06792"/>
    <w:rsid w:val="45D43FEC"/>
    <w:rsid w:val="45EF15C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A06D7E"/>
    <w:rsid w:val="4BDF11B3"/>
    <w:rsid w:val="4CBB3066"/>
    <w:rsid w:val="4CBE2591"/>
    <w:rsid w:val="4CBE5242"/>
    <w:rsid w:val="4CD51A8F"/>
    <w:rsid w:val="4CEB6A0D"/>
    <w:rsid w:val="4D473FEB"/>
    <w:rsid w:val="4D481350"/>
    <w:rsid w:val="4DBA7F6B"/>
    <w:rsid w:val="4E310299"/>
    <w:rsid w:val="4E3E74CF"/>
    <w:rsid w:val="4E4F6905"/>
    <w:rsid w:val="4E805282"/>
    <w:rsid w:val="4EF852D8"/>
    <w:rsid w:val="4F012557"/>
    <w:rsid w:val="4F3955E3"/>
    <w:rsid w:val="4FDF1192"/>
    <w:rsid w:val="50453910"/>
    <w:rsid w:val="505226DD"/>
    <w:rsid w:val="50637FC5"/>
    <w:rsid w:val="50802732"/>
    <w:rsid w:val="5080549C"/>
    <w:rsid w:val="50BC39B4"/>
    <w:rsid w:val="50C56D57"/>
    <w:rsid w:val="51316A2D"/>
    <w:rsid w:val="522B3C43"/>
    <w:rsid w:val="52770955"/>
    <w:rsid w:val="52EB37B7"/>
    <w:rsid w:val="53281FE3"/>
    <w:rsid w:val="532D1418"/>
    <w:rsid w:val="5359798D"/>
    <w:rsid w:val="53607807"/>
    <w:rsid w:val="53844041"/>
    <w:rsid w:val="53A16DA2"/>
    <w:rsid w:val="553627A8"/>
    <w:rsid w:val="55631BDD"/>
    <w:rsid w:val="5577489C"/>
    <w:rsid w:val="55B83E50"/>
    <w:rsid w:val="55BA07E5"/>
    <w:rsid w:val="55E90150"/>
    <w:rsid w:val="560659FC"/>
    <w:rsid w:val="56584D0B"/>
    <w:rsid w:val="56C65201"/>
    <w:rsid w:val="57177BE7"/>
    <w:rsid w:val="573E4B0A"/>
    <w:rsid w:val="577E46FF"/>
    <w:rsid w:val="577E687E"/>
    <w:rsid w:val="57E119D2"/>
    <w:rsid w:val="57ED67F5"/>
    <w:rsid w:val="588D13BE"/>
    <w:rsid w:val="58E118C8"/>
    <w:rsid w:val="592E63F2"/>
    <w:rsid w:val="59462FFB"/>
    <w:rsid w:val="59AB76A3"/>
    <w:rsid w:val="59F6057D"/>
    <w:rsid w:val="5A292701"/>
    <w:rsid w:val="5A71707D"/>
    <w:rsid w:val="5AC3366B"/>
    <w:rsid w:val="5AC80ADC"/>
    <w:rsid w:val="5AFB10E6"/>
    <w:rsid w:val="5B082569"/>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3D62FF5"/>
    <w:rsid w:val="64D91F61"/>
    <w:rsid w:val="651915C4"/>
    <w:rsid w:val="65354B83"/>
    <w:rsid w:val="659B2AC9"/>
    <w:rsid w:val="65F00D0C"/>
    <w:rsid w:val="660A4DD7"/>
    <w:rsid w:val="665713E0"/>
    <w:rsid w:val="66C33EDD"/>
    <w:rsid w:val="67714DB8"/>
    <w:rsid w:val="67787E6E"/>
    <w:rsid w:val="677E3D99"/>
    <w:rsid w:val="67BA3663"/>
    <w:rsid w:val="682503E0"/>
    <w:rsid w:val="696B473F"/>
    <w:rsid w:val="69F6673E"/>
    <w:rsid w:val="6A480FCB"/>
    <w:rsid w:val="6B121168"/>
    <w:rsid w:val="6B4240BA"/>
    <w:rsid w:val="6B99622E"/>
    <w:rsid w:val="6BCF7654"/>
    <w:rsid w:val="6C1F1AD0"/>
    <w:rsid w:val="6C3111FA"/>
    <w:rsid w:val="6CB911E2"/>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845204"/>
    <w:rsid w:val="79940985"/>
    <w:rsid w:val="79A40361"/>
    <w:rsid w:val="79DE04A6"/>
    <w:rsid w:val="79E629C5"/>
    <w:rsid w:val="7A5031D6"/>
    <w:rsid w:val="7A5B35CF"/>
    <w:rsid w:val="7A6056B2"/>
    <w:rsid w:val="7A993117"/>
    <w:rsid w:val="7A9D4552"/>
    <w:rsid w:val="7AE91F79"/>
    <w:rsid w:val="7B373030"/>
    <w:rsid w:val="7BF37F79"/>
    <w:rsid w:val="7CA36E25"/>
    <w:rsid w:val="7CD30F7E"/>
    <w:rsid w:val="7D9628D3"/>
    <w:rsid w:val="7E5337D1"/>
    <w:rsid w:val="7E927E43"/>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12467</Words>
  <Characters>13196</Characters>
  <Lines>30</Lines>
  <Paragraphs>69</Paragraphs>
  <TotalTime>0</TotalTime>
  <ScaleCrop>false</ScaleCrop>
  <LinksUpToDate>false</LinksUpToDate>
  <CharactersWithSpaces>13301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2026-06-26T07:46:16Z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