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eastAsia="宋体"/>
          <w:szCs w:val="21"/>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1"/>
        <w:spacing w:line="360" w:lineRule="auto"/>
        <w:ind w:firstLine="422" w:firstLineChars="132"/>
        <w:jc w:val="center"/>
        <w:rPr>
          <w:rFonts w:ascii="仿宋_GB2312" w:eastAsia="仿宋_GB2312"/>
          <w:b/>
          <w:sz w:val="32"/>
        </w:rPr>
      </w:pPr>
    </w:p>
    <w:tbl>
      <w:tblPr>
        <w:tblStyle w:val="29"/>
        <w:tblW w:w="5780" w:type="pct"/>
        <w:tblInd w:w="-1090" w:type="dxa"/>
        <w:tblLayout w:type="autofit"/>
        <w:tblCellMar>
          <w:top w:w="0" w:type="dxa"/>
          <w:left w:w="108" w:type="dxa"/>
          <w:bottom w:w="0" w:type="dxa"/>
          <w:right w:w="108" w:type="dxa"/>
        </w:tblCellMar>
      </w:tblPr>
      <w:tblGrid>
        <w:gridCol w:w="688"/>
        <w:gridCol w:w="2709"/>
        <w:gridCol w:w="4257"/>
        <w:gridCol w:w="2584"/>
      </w:tblGrid>
      <w:tr w14:paraId="20121B5C">
        <w:tblPrEx>
          <w:tblCellMar>
            <w:top w:w="0" w:type="dxa"/>
            <w:left w:w="108" w:type="dxa"/>
            <w:bottom w:w="0" w:type="dxa"/>
            <w:right w:w="108" w:type="dxa"/>
          </w:tblCellMar>
        </w:tblPrEx>
        <w:trPr>
          <w:trHeight w:val="90"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793A8B58">
            <w:pPr>
              <w:jc w:val="center"/>
              <w:rPr>
                <w:rFonts w:hint="eastAsia" w:eastAsia="宋体"/>
                <w:b/>
                <w:color w:val="000000"/>
                <w:sz w:val="30"/>
                <w:szCs w:val="30"/>
                <w:lang w:eastAsia="zh-CN"/>
              </w:rPr>
            </w:pPr>
            <w:r>
              <w:rPr>
                <w:rFonts w:hint="eastAsia" w:eastAsia="宋体"/>
                <w:b/>
                <w:color w:val="000000"/>
                <w:sz w:val="30"/>
                <w:szCs w:val="30"/>
              </w:rPr>
              <w:t>202</w:t>
            </w:r>
            <w:r>
              <w:rPr>
                <w:rFonts w:hint="eastAsia" w:eastAsia="宋体"/>
                <w:b/>
                <w:color w:val="000000"/>
                <w:sz w:val="30"/>
                <w:szCs w:val="30"/>
                <w:lang w:val="en-US" w:eastAsia="zh-CN"/>
              </w:rPr>
              <w:t>6</w:t>
            </w:r>
            <w:r>
              <w:rPr>
                <w:rFonts w:hint="eastAsia" w:eastAsia="宋体"/>
                <w:b/>
                <w:color w:val="000000"/>
                <w:sz w:val="30"/>
                <w:szCs w:val="30"/>
              </w:rPr>
              <w:t>年</w:t>
            </w:r>
            <w:r>
              <w:rPr>
                <w:rFonts w:hint="eastAsia" w:eastAsia="宋体"/>
                <w:b/>
                <w:color w:val="000000"/>
                <w:sz w:val="30"/>
                <w:szCs w:val="30"/>
                <w:lang w:eastAsia="zh-CN"/>
              </w:rPr>
              <w:t>第28期</w:t>
            </w:r>
            <w:r>
              <w:rPr>
                <w:rFonts w:hint="eastAsia" w:eastAsia="宋体"/>
                <w:b/>
                <w:color w:val="000000"/>
                <w:sz w:val="30"/>
                <w:szCs w:val="30"/>
              </w:rPr>
              <w:t>医用耗材</w:t>
            </w:r>
          </w:p>
        </w:tc>
      </w:tr>
      <w:tr w14:paraId="3C3781CA">
        <w:tblPrEx>
          <w:tblCellMar>
            <w:top w:w="0" w:type="dxa"/>
            <w:left w:w="108" w:type="dxa"/>
            <w:bottom w:w="0" w:type="dxa"/>
            <w:right w:w="108" w:type="dxa"/>
          </w:tblCellMar>
        </w:tblPrEx>
        <w:trPr>
          <w:trHeight w:val="452" w:hRule="atLeast"/>
        </w:trPr>
        <w:tc>
          <w:tcPr>
            <w:tcW w:w="336" w:type="pct"/>
            <w:tcBorders>
              <w:top w:val="single" w:color="auto" w:sz="4" w:space="0"/>
              <w:left w:val="single" w:color="auto" w:sz="4" w:space="0"/>
              <w:bottom w:val="single" w:color="auto" w:sz="4" w:space="0"/>
              <w:right w:val="single" w:color="auto" w:sz="4" w:space="0"/>
            </w:tcBorders>
            <w:shd w:val="clear" w:color="auto" w:fill="auto"/>
            <w:vAlign w:val="center"/>
          </w:tcPr>
          <w:p w14:paraId="5D366F0F">
            <w:pPr>
              <w:jc w:val="center"/>
              <w:rPr>
                <w:rFonts w:hint="eastAsia" w:eastAsia="宋体"/>
                <w:color w:val="000000"/>
                <w:sz w:val="22"/>
              </w:rPr>
            </w:pPr>
            <w:r>
              <w:rPr>
                <w:rFonts w:hint="eastAsia" w:eastAsia="宋体"/>
                <w:color w:val="000000"/>
                <w:sz w:val="22"/>
              </w:rPr>
              <w:t>序号</w:t>
            </w:r>
          </w:p>
        </w:tc>
        <w:tc>
          <w:tcPr>
            <w:tcW w:w="1323" w:type="pct"/>
            <w:tcBorders>
              <w:top w:val="single" w:color="auto" w:sz="4" w:space="0"/>
              <w:left w:val="nil"/>
              <w:bottom w:val="single" w:color="auto" w:sz="4" w:space="0"/>
              <w:right w:val="single" w:color="auto" w:sz="4" w:space="0"/>
            </w:tcBorders>
            <w:shd w:val="clear" w:color="auto" w:fill="auto"/>
            <w:vAlign w:val="center"/>
          </w:tcPr>
          <w:p w14:paraId="2AEA123F">
            <w:pPr>
              <w:jc w:val="center"/>
              <w:rPr>
                <w:rFonts w:hint="eastAsia" w:eastAsia="宋体"/>
                <w:color w:val="000000"/>
                <w:sz w:val="22"/>
              </w:rPr>
            </w:pPr>
            <w:r>
              <w:rPr>
                <w:rFonts w:hint="eastAsia" w:eastAsia="宋体"/>
                <w:color w:val="000000"/>
                <w:sz w:val="22"/>
              </w:rPr>
              <w:t>项目编号</w:t>
            </w:r>
          </w:p>
        </w:tc>
        <w:tc>
          <w:tcPr>
            <w:tcW w:w="2079" w:type="pct"/>
            <w:tcBorders>
              <w:top w:val="single" w:color="auto" w:sz="4" w:space="0"/>
              <w:left w:val="nil"/>
              <w:bottom w:val="single" w:color="auto" w:sz="4" w:space="0"/>
              <w:right w:val="single" w:color="auto" w:sz="4" w:space="0"/>
            </w:tcBorders>
            <w:shd w:val="clear" w:color="auto" w:fill="auto"/>
            <w:vAlign w:val="center"/>
          </w:tcPr>
          <w:p w14:paraId="75ED03F9">
            <w:pPr>
              <w:jc w:val="center"/>
              <w:rPr>
                <w:rFonts w:hint="eastAsia" w:eastAsia="宋体"/>
                <w:color w:val="000000"/>
                <w:sz w:val="22"/>
              </w:rPr>
            </w:pPr>
            <w:r>
              <w:rPr>
                <w:rFonts w:hint="eastAsia" w:eastAsia="宋体"/>
                <w:color w:val="000000"/>
                <w:sz w:val="22"/>
              </w:rPr>
              <w:t>项目名称</w:t>
            </w:r>
          </w:p>
        </w:tc>
        <w:tc>
          <w:tcPr>
            <w:tcW w:w="1261" w:type="pct"/>
            <w:tcBorders>
              <w:top w:val="single" w:color="auto" w:sz="4" w:space="0"/>
              <w:left w:val="nil"/>
              <w:bottom w:val="single" w:color="auto" w:sz="4" w:space="0"/>
              <w:right w:val="single" w:color="auto" w:sz="4" w:space="0"/>
            </w:tcBorders>
            <w:shd w:val="clear" w:color="auto" w:fill="auto"/>
            <w:vAlign w:val="center"/>
          </w:tcPr>
          <w:p w14:paraId="6B98B7A1">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使用科室</w:t>
            </w:r>
          </w:p>
        </w:tc>
      </w:tr>
      <w:tr w14:paraId="663D8EF0">
        <w:tblPrEx>
          <w:tblCellMar>
            <w:top w:w="0" w:type="dxa"/>
            <w:left w:w="108" w:type="dxa"/>
            <w:bottom w:w="0" w:type="dxa"/>
            <w:right w:w="108" w:type="dxa"/>
          </w:tblCellMar>
        </w:tblPrEx>
        <w:trPr>
          <w:trHeight w:val="521" w:hRule="atLeast"/>
        </w:trPr>
        <w:tc>
          <w:tcPr>
            <w:tcW w:w="336" w:type="pct"/>
            <w:tcBorders>
              <w:top w:val="single" w:color="auto" w:sz="4" w:space="0"/>
              <w:left w:val="single" w:color="auto" w:sz="4" w:space="0"/>
              <w:bottom w:val="single" w:color="auto" w:sz="4" w:space="0"/>
              <w:right w:val="single" w:color="auto" w:sz="4" w:space="0"/>
            </w:tcBorders>
            <w:shd w:val="clear" w:color="auto" w:fill="auto"/>
            <w:vAlign w:val="center"/>
          </w:tcPr>
          <w:p w14:paraId="3509D7F5">
            <w:pPr>
              <w:jc w:val="center"/>
              <w:rPr>
                <w:rFonts w:hint="eastAsia" w:eastAsia="宋体"/>
                <w:color w:val="000000"/>
                <w:sz w:val="22"/>
              </w:rPr>
            </w:pPr>
            <w:r>
              <w:rPr>
                <w:rFonts w:hint="eastAsia" w:eastAsia="宋体"/>
                <w:color w:val="000000"/>
                <w:sz w:val="22"/>
              </w:rPr>
              <w:t>1</w:t>
            </w:r>
          </w:p>
        </w:tc>
        <w:tc>
          <w:tcPr>
            <w:tcW w:w="2709" w:type="dxa"/>
            <w:tcBorders>
              <w:top w:val="single" w:color="auto" w:sz="4" w:space="0"/>
              <w:left w:val="nil"/>
              <w:bottom w:val="single" w:color="auto" w:sz="4" w:space="0"/>
              <w:right w:val="single" w:color="auto" w:sz="4" w:space="0"/>
            </w:tcBorders>
            <w:shd w:val="clear" w:color="auto" w:fill="auto"/>
            <w:vAlign w:val="center"/>
          </w:tcPr>
          <w:p w14:paraId="4A26AC75">
            <w:pPr>
              <w:jc w:val="center"/>
              <w:rPr>
                <w:rFonts w:hint="default" w:eastAsia="宋体"/>
                <w:color w:val="000000"/>
                <w:sz w:val="22"/>
                <w:lang w:val="en-US" w:eastAsia="zh-CN"/>
              </w:rPr>
            </w:pPr>
            <w:r>
              <w:rPr>
                <w:rFonts w:hint="eastAsia" w:eastAsia="宋体"/>
                <w:color w:val="000000"/>
                <w:sz w:val="22"/>
                <w:lang w:val="en-US" w:eastAsia="zh-CN"/>
              </w:rPr>
              <w:t>ZCB2026-HC28-167</w:t>
            </w:r>
          </w:p>
        </w:tc>
        <w:tc>
          <w:tcPr>
            <w:tcW w:w="4257" w:type="dxa"/>
            <w:tcBorders>
              <w:top w:val="single" w:color="auto" w:sz="4" w:space="0"/>
              <w:left w:val="nil"/>
              <w:bottom w:val="single" w:color="auto" w:sz="4" w:space="0"/>
              <w:right w:val="single" w:color="auto" w:sz="4" w:space="0"/>
            </w:tcBorders>
            <w:shd w:val="clear" w:color="auto" w:fill="auto"/>
            <w:vAlign w:val="center"/>
          </w:tcPr>
          <w:p w14:paraId="51A1B16F">
            <w:pPr>
              <w:jc w:val="center"/>
              <w:rPr>
                <w:rFonts w:hint="eastAsia" w:eastAsia="宋体"/>
                <w:color w:val="000000"/>
                <w:sz w:val="22"/>
                <w:lang w:val="en-US" w:eastAsia="zh-CN"/>
              </w:rPr>
            </w:pPr>
            <w:r>
              <w:rPr>
                <w:rFonts w:hint="eastAsia" w:eastAsia="宋体"/>
                <w:color w:val="000000"/>
                <w:sz w:val="22"/>
                <w:lang w:val="en-US" w:eastAsia="zh-CN"/>
              </w:rPr>
              <w:t>植入式骶神经刺激器及套件</w:t>
            </w:r>
          </w:p>
        </w:tc>
        <w:tc>
          <w:tcPr>
            <w:tcW w:w="2584" w:type="dxa"/>
            <w:tcBorders>
              <w:top w:val="single" w:color="auto" w:sz="4" w:space="0"/>
              <w:left w:val="nil"/>
              <w:bottom w:val="single" w:color="auto" w:sz="4" w:space="0"/>
              <w:right w:val="single" w:color="auto" w:sz="4" w:space="0"/>
            </w:tcBorders>
            <w:shd w:val="clear" w:color="auto" w:fill="auto"/>
            <w:vAlign w:val="center"/>
          </w:tcPr>
          <w:p w14:paraId="7629D61A">
            <w:pPr>
              <w:jc w:val="center"/>
              <w:rPr>
                <w:rFonts w:hint="eastAsia" w:eastAsia="宋体"/>
                <w:color w:val="000000"/>
                <w:sz w:val="22"/>
                <w:lang w:val="en-US" w:eastAsia="zh-CN"/>
              </w:rPr>
            </w:pPr>
            <w:r>
              <w:rPr>
                <w:rFonts w:hint="eastAsia" w:eastAsia="宋体"/>
                <w:color w:val="000000"/>
                <w:sz w:val="22"/>
                <w:lang w:val="en-US" w:eastAsia="zh-CN"/>
              </w:rPr>
              <w:t>泌尿外科</w:t>
            </w:r>
          </w:p>
        </w:tc>
      </w:tr>
      <w:tr w14:paraId="76B6B453">
        <w:tblPrEx>
          <w:tblCellMar>
            <w:top w:w="0" w:type="dxa"/>
            <w:left w:w="108" w:type="dxa"/>
            <w:bottom w:w="0" w:type="dxa"/>
            <w:right w:w="108" w:type="dxa"/>
          </w:tblCellMar>
        </w:tblPrEx>
        <w:trPr>
          <w:trHeight w:val="460" w:hRule="atLeast"/>
        </w:trPr>
        <w:tc>
          <w:tcPr>
            <w:tcW w:w="336" w:type="pct"/>
            <w:tcBorders>
              <w:top w:val="single" w:color="auto" w:sz="4" w:space="0"/>
              <w:left w:val="single" w:color="auto" w:sz="4" w:space="0"/>
              <w:bottom w:val="single" w:color="auto" w:sz="4" w:space="0"/>
              <w:right w:val="single" w:color="auto" w:sz="4" w:space="0"/>
            </w:tcBorders>
            <w:shd w:val="clear" w:color="auto" w:fill="auto"/>
            <w:vAlign w:val="center"/>
          </w:tcPr>
          <w:p w14:paraId="5866EFFC">
            <w:pPr>
              <w:jc w:val="center"/>
              <w:rPr>
                <w:rFonts w:hint="eastAsia" w:eastAsia="宋体"/>
                <w:color w:val="000000"/>
                <w:sz w:val="22"/>
              </w:rPr>
            </w:pPr>
            <w:r>
              <w:rPr>
                <w:rFonts w:hint="eastAsia" w:eastAsia="宋体"/>
                <w:color w:val="000000"/>
                <w:sz w:val="22"/>
              </w:rPr>
              <w:t>2</w:t>
            </w:r>
          </w:p>
        </w:tc>
        <w:tc>
          <w:tcPr>
            <w:tcW w:w="2709" w:type="dxa"/>
            <w:tcBorders>
              <w:top w:val="single" w:color="auto" w:sz="4" w:space="0"/>
              <w:left w:val="nil"/>
              <w:bottom w:val="single" w:color="auto" w:sz="4" w:space="0"/>
              <w:right w:val="single" w:color="auto" w:sz="4" w:space="0"/>
            </w:tcBorders>
            <w:shd w:val="clear" w:color="auto" w:fill="auto"/>
            <w:vAlign w:val="center"/>
          </w:tcPr>
          <w:p w14:paraId="4D88D586">
            <w:pPr>
              <w:jc w:val="center"/>
              <w:rPr>
                <w:rFonts w:hint="default" w:eastAsia="宋体"/>
                <w:color w:val="000000"/>
                <w:sz w:val="22"/>
                <w:lang w:val="en-US" w:eastAsia="zh-CN"/>
              </w:rPr>
            </w:pPr>
            <w:r>
              <w:rPr>
                <w:rFonts w:hint="eastAsia" w:eastAsia="宋体"/>
                <w:color w:val="000000"/>
                <w:sz w:val="22"/>
                <w:lang w:val="en-US" w:eastAsia="zh-CN"/>
              </w:rPr>
              <w:t>ZCB2026-HC28-168</w:t>
            </w:r>
          </w:p>
        </w:tc>
        <w:tc>
          <w:tcPr>
            <w:tcW w:w="4257" w:type="dxa"/>
            <w:tcBorders>
              <w:top w:val="single" w:color="auto" w:sz="4" w:space="0"/>
              <w:left w:val="nil"/>
              <w:bottom w:val="single" w:color="auto" w:sz="4" w:space="0"/>
              <w:right w:val="single" w:color="auto" w:sz="4" w:space="0"/>
            </w:tcBorders>
            <w:shd w:val="clear" w:color="auto" w:fill="auto"/>
            <w:vAlign w:val="center"/>
          </w:tcPr>
          <w:p w14:paraId="6AF87F5C">
            <w:pPr>
              <w:jc w:val="center"/>
              <w:rPr>
                <w:rFonts w:hint="eastAsia" w:eastAsia="宋体"/>
                <w:color w:val="000000"/>
                <w:sz w:val="22"/>
                <w:lang w:val="en-US" w:eastAsia="zh-CN"/>
              </w:rPr>
            </w:pPr>
            <w:r>
              <w:rPr>
                <w:rFonts w:hint="eastAsia" w:eastAsia="宋体"/>
                <w:color w:val="000000"/>
                <w:sz w:val="22"/>
                <w:lang w:val="en-US" w:eastAsia="zh-CN"/>
              </w:rPr>
              <w:t>一次性神经阻滞穿刺套件</w:t>
            </w:r>
          </w:p>
        </w:tc>
        <w:tc>
          <w:tcPr>
            <w:tcW w:w="2584" w:type="dxa"/>
            <w:tcBorders>
              <w:top w:val="single" w:color="auto" w:sz="4" w:space="0"/>
              <w:left w:val="nil"/>
              <w:bottom w:val="single" w:color="auto" w:sz="4" w:space="0"/>
              <w:right w:val="single" w:color="auto" w:sz="4" w:space="0"/>
            </w:tcBorders>
            <w:shd w:val="clear" w:color="auto" w:fill="auto"/>
            <w:vAlign w:val="center"/>
          </w:tcPr>
          <w:p w14:paraId="298A59AF">
            <w:pPr>
              <w:jc w:val="center"/>
              <w:rPr>
                <w:rFonts w:hint="eastAsia" w:eastAsia="宋体"/>
                <w:color w:val="000000"/>
                <w:sz w:val="22"/>
                <w:lang w:val="en-US" w:eastAsia="zh-CN"/>
              </w:rPr>
            </w:pPr>
            <w:r>
              <w:rPr>
                <w:rFonts w:hint="eastAsia" w:eastAsia="宋体"/>
                <w:color w:val="000000"/>
                <w:sz w:val="22"/>
                <w:lang w:val="en-US" w:eastAsia="zh-CN"/>
              </w:rPr>
              <w:t>麻醉科</w:t>
            </w:r>
          </w:p>
        </w:tc>
      </w:tr>
    </w:tbl>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w:t>
      </w:r>
      <w:r>
        <w:rPr>
          <w:rFonts w:hint="eastAsia" w:ascii="黑体" w:hAnsi="黑体" w:eastAsia="黑体" w:cs="黑体"/>
          <w:sz w:val="30"/>
          <w:szCs w:val="30"/>
          <w:lang w:val="en-US" w:eastAsia="zh-CN"/>
        </w:rPr>
        <w:t>6</w:t>
      </w:r>
      <w:r>
        <w:rPr>
          <w:rFonts w:hint="eastAsia" w:ascii="黑体" w:hAnsi="黑体" w:eastAsia="黑体" w:cs="黑体"/>
          <w:sz w:val="30"/>
          <w:szCs w:val="30"/>
        </w:rPr>
        <w:t>年</w:t>
      </w:r>
      <w:r>
        <w:rPr>
          <w:rFonts w:hint="eastAsia" w:ascii="黑体" w:hAnsi="黑体" w:eastAsia="黑体" w:cs="黑体"/>
          <w:sz w:val="30"/>
          <w:szCs w:val="30"/>
          <w:lang w:val="en-US" w:eastAsia="zh-CN"/>
        </w:rPr>
        <w:t>6</w:t>
      </w:r>
      <w:r>
        <w:rPr>
          <w:rFonts w:hint="eastAsia" w:ascii="黑体" w:hAnsi="黑体" w:eastAsia="黑体" w:cs="黑体"/>
          <w:sz w:val="30"/>
          <w:szCs w:val="30"/>
        </w:rPr>
        <w:t>月</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方正小标宋简体" w:hAnsi="方正小标宋简体" w:eastAsia="方正小标宋简体" w:cs="方正小标宋简体"/>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sz w:val="44"/>
          <w:szCs w:val="44"/>
          <w:lang w:eastAsia="zh-CN"/>
        </w:rPr>
        <w:t>2026年第28期医用耗材</w:t>
      </w:r>
      <w:r>
        <w:rPr>
          <w:rFonts w:hint="eastAsia" w:ascii="方正小标宋简体" w:hAnsi="方正小标宋简体" w:eastAsia="方正小标宋简体" w:cs="方正小标宋简体"/>
          <w:sz w:val="44"/>
          <w:szCs w:val="44"/>
        </w:rPr>
        <w:t>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hint="eastAsia" w:ascii="Tahoma" w:hAnsi="Tahoma" w:cs="宋体" w:eastAsiaTheme="minorEastAsia"/>
          <w:kern w:val="0"/>
          <w:szCs w:val="21"/>
          <w:lang w:eastAsia="zh-CN"/>
        </w:rPr>
      </w:pPr>
      <w:r>
        <w:rPr>
          <w:rFonts w:ascii="Tahoma" w:hAnsi="Tahoma" w:cs="宋体"/>
          <w:kern w:val="0"/>
          <w:szCs w:val="21"/>
        </w:rPr>
        <w:t>1.</w:t>
      </w:r>
      <w:r>
        <w:rPr>
          <w:rFonts w:hint="eastAsia" w:ascii="Tahoma" w:hAnsi="Tahoma" w:cs="宋体"/>
          <w:kern w:val="0"/>
          <w:szCs w:val="21"/>
        </w:rPr>
        <w:t>项目名称：</w:t>
      </w:r>
      <w:r>
        <w:rPr>
          <w:rFonts w:hint="eastAsia" w:ascii="Tahoma" w:hAnsi="Tahoma" w:cs="宋体"/>
          <w:kern w:val="0"/>
          <w:szCs w:val="21"/>
          <w:lang w:eastAsia="zh-CN"/>
        </w:rPr>
        <w:t>2026年第28期医用耗材</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w:t>
      </w:r>
      <w:r>
        <w:rPr>
          <w:rFonts w:hint="eastAsia" w:ascii="Tahoma" w:hAnsi="Tahoma" w:cs="宋体"/>
          <w:b/>
          <w:bCs/>
          <w:kern w:val="0"/>
          <w:szCs w:val="21"/>
          <w:lang w:eastAsia="zh-CN"/>
        </w:rPr>
        <w:t>（</w:t>
      </w:r>
      <w:r>
        <w:rPr>
          <w:rFonts w:hint="eastAsia" w:ascii="Tahoma" w:hAnsi="Tahoma" w:cs="宋体"/>
          <w:b/>
          <w:bCs/>
          <w:kern w:val="0"/>
          <w:szCs w:val="21"/>
        </w:rPr>
        <w:t>复印件加盖公章，并标明与原件相符字样</w:t>
      </w:r>
      <w:r>
        <w:rPr>
          <w:rFonts w:hint="eastAsia" w:ascii="Tahoma" w:hAnsi="Tahoma" w:cs="宋体"/>
          <w:b/>
          <w:bCs/>
          <w:kern w:val="0"/>
          <w:szCs w:val="21"/>
          <w:lang w:eastAsia="zh-CN"/>
        </w:rPr>
        <w:t>）</w:t>
      </w:r>
    </w:p>
    <w:p w14:paraId="0312A7A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采购文件要求执行深圳市阳光平台线上采购的项目，供应商必须提供阳光平台产品代码及截图，否则不予接受报名。</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p w14:paraId="67C3E9EE">
      <w:pPr>
        <w:numPr>
          <w:ilvl w:val="0"/>
          <w:numId w:val="5"/>
        </w:numPr>
        <w:spacing w:line="420" w:lineRule="exact"/>
        <w:jc w:val="left"/>
        <w:rPr>
          <w:rFonts w:hint="eastAsia" w:ascii="Tahoma" w:hAnsi="Tahoma" w:cs="宋体"/>
          <w:kern w:val="0"/>
          <w:szCs w:val="21"/>
        </w:rPr>
      </w:pPr>
      <w:r>
        <w:rPr>
          <w:rFonts w:hint="eastAsia" w:ascii="Tahoma" w:hAnsi="Tahoma" w:cs="宋体"/>
          <w:kern w:val="0"/>
          <w:szCs w:val="21"/>
          <w:lang w:val="en-US" w:eastAsia="zh-CN"/>
        </w:rPr>
        <w:t>纳入医疗器械管理的产品：</w:t>
      </w:r>
    </w:p>
    <w:p w14:paraId="242FDC07">
      <w:pPr>
        <w:numPr>
          <w:ilvl w:val="0"/>
          <w:numId w:val="0"/>
        </w:num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1.</w:t>
      </w:r>
      <w:r>
        <w:rPr>
          <w:rFonts w:hint="eastAsia" w:ascii="Tahoma" w:hAnsi="Tahoma" w:cs="宋体"/>
          <w:kern w:val="0"/>
          <w:szCs w:val="21"/>
        </w:rPr>
        <w:t>若投标人为所投产品的生产企业，提供生产企业《营业执照》、《医疗器械生产企业许可证》/医疗器械生产备案凭证；</w:t>
      </w:r>
    </w:p>
    <w:p w14:paraId="710A5E1E">
      <w:pPr>
        <w:numPr>
          <w:ilvl w:val="0"/>
          <w:numId w:val="0"/>
        </w:numPr>
        <w:spacing w:line="420" w:lineRule="exact"/>
        <w:ind w:firstLine="420" w:firstLineChars="200"/>
        <w:jc w:val="left"/>
        <w:rPr>
          <w:rFonts w:hint="eastAsia" w:eastAsiaTheme="minorEastAsia"/>
          <w:color w:val="000000"/>
          <w:lang w:eastAsia="zh-CN"/>
        </w:rPr>
      </w:pPr>
      <w:r>
        <w:rPr>
          <w:rFonts w:hint="eastAsia" w:ascii="Tahoma" w:hAnsi="Tahoma" w:cs="宋体"/>
          <w:kern w:val="0"/>
          <w:szCs w:val="21"/>
          <w:lang w:val="en-US" w:eastAsia="zh-CN"/>
        </w:rPr>
        <w:t>2.</w:t>
      </w: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总局证明页：</w:t>
      </w:r>
      <w:r>
        <w:fldChar w:fldCharType="begin"/>
      </w:r>
      <w:r>
        <w:instrText xml:space="preserve"> HYPERLINK "https://www.nmpa.gov.cn" </w:instrText>
      </w:r>
      <w:r>
        <w:fldChar w:fldCharType="separate"/>
      </w:r>
      <w:r>
        <w:rPr>
          <w:rStyle w:val="34"/>
          <w:rFonts w:hint="eastAsia" w:ascii="Tahoma" w:hAnsi="Tahoma" w:cs="宋体"/>
          <w:kern w:val="0"/>
          <w:szCs w:val="21"/>
        </w:rPr>
        <w:t>https</w:t>
      </w:r>
      <w:r>
        <w:rPr>
          <w:rStyle w:val="34"/>
          <w:rFonts w:hint="eastAsia" w:ascii="Tahoma" w:hAnsi="Tahoma" w:cs="宋体"/>
          <w:kern w:val="0"/>
          <w:szCs w:val="21"/>
          <w:lang w:eastAsia="zh-CN"/>
        </w:rPr>
        <w:t>：</w:t>
      </w:r>
      <w:r>
        <w:rPr>
          <w:rStyle w:val="34"/>
          <w:rFonts w:hint="eastAsia" w:ascii="Tahoma" w:hAnsi="Tahoma" w:cs="宋体"/>
          <w:kern w:val="0"/>
          <w:szCs w:val="21"/>
        </w:rPr>
        <w:t>//www.nmpa.gov.cn</w:t>
      </w:r>
      <w:r>
        <w:rPr>
          <w:rStyle w:val="34"/>
          <w:rFonts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r>
        <w:rPr>
          <w:rFonts w:hint="eastAsia"/>
          <w:b/>
          <w:bCs/>
          <w:color w:val="000000"/>
          <w:highlight w:val="yellow"/>
          <w:lang w:eastAsia="zh-CN"/>
        </w:rPr>
        <w:t>。</w:t>
      </w:r>
    </w:p>
    <w:p w14:paraId="0457C3AB">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w:t>
      </w:r>
      <w:r>
        <w:rPr>
          <w:rFonts w:hint="eastAsia" w:ascii="Tahoma" w:hAnsi="Tahoma" w:cs="宋体"/>
          <w:kern w:val="0"/>
          <w:szCs w:val="21"/>
          <w:lang w:eastAsia="zh-CN"/>
        </w:rPr>
        <w:t>，</w:t>
      </w:r>
      <w:r>
        <w:rPr>
          <w:rFonts w:hint="eastAsia" w:ascii="Tahoma" w:hAnsi="Tahoma" w:cs="宋体"/>
          <w:kern w:val="0"/>
          <w:szCs w:val="21"/>
          <w:lang w:val="en-US" w:eastAsia="zh-CN"/>
        </w:rPr>
        <w:t>投标人</w:t>
      </w:r>
      <w:r>
        <w:rPr>
          <w:rFonts w:hint="eastAsia" w:ascii="Tahoma" w:hAnsi="Tahoma" w:cs="宋体"/>
          <w:kern w:val="0"/>
          <w:szCs w:val="21"/>
        </w:rPr>
        <w:t>须</w:t>
      </w:r>
      <w:r>
        <w:rPr>
          <w:rFonts w:hint="eastAsia" w:ascii="Tahoma" w:hAnsi="Tahoma" w:cs="宋体"/>
          <w:kern w:val="0"/>
          <w:szCs w:val="21"/>
          <w:lang w:val="en-US" w:eastAsia="zh-CN"/>
        </w:rPr>
        <w:t>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r>
        <w:rPr>
          <w:rFonts w:hint="eastAsia" w:ascii="Tahoma" w:hAnsi="Tahoma" w:cs="宋体"/>
          <w:kern w:val="0"/>
          <w:szCs w:val="21"/>
          <w:highlight w:val="yellow"/>
          <w:lang w:eastAsia="zh-CN"/>
        </w:rPr>
        <w:t>。</w:t>
      </w:r>
    </w:p>
    <w:p w14:paraId="5D65507B">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r>
        <w:rPr>
          <w:rFonts w:hint="eastAsia"/>
          <w:color w:val="000000"/>
          <w:lang w:eastAsia="zh-CN"/>
        </w:rPr>
        <w:t>。</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ascii="Tahoma" w:hAnsi="Tahoma" w:cs="宋体"/>
          <w:color w:val="000000"/>
          <w:kern w:val="0"/>
          <w:szCs w:val="21"/>
          <w:lang w:eastAsia="zh-CN"/>
        </w:rPr>
        <w:t>。</w:t>
      </w:r>
    </w:p>
    <w:p w14:paraId="1FF50CE2">
      <w:pPr>
        <w:numPr>
          <w:ilvl w:val="0"/>
          <w:numId w:val="5"/>
        </w:numPr>
        <w:spacing w:line="420" w:lineRule="exact"/>
        <w:jc w:val="left"/>
        <w:rPr>
          <w:color w:val="000000"/>
          <w:highlight w:val="yellow"/>
        </w:rPr>
      </w:pPr>
      <w:r>
        <w:rPr>
          <w:rFonts w:hint="eastAsia"/>
          <w:color w:val="000000"/>
          <w:highlight w:val="yellow"/>
          <w:lang w:val="en-US" w:eastAsia="zh-CN"/>
        </w:rPr>
        <w:t>投标人未被列入中大八院失信黑名单供应商。</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lang w:eastAsia="zh-CN"/>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5"/>
        </w:numPr>
        <w:spacing w:line="420" w:lineRule="exact"/>
        <w:jc w:val="left"/>
        <w:rPr>
          <w:highlight w:val="yellow"/>
        </w:rPr>
      </w:pP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67088595">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7C77F498">
      <w:pPr>
        <w:numPr>
          <w:ilvl w:val="0"/>
          <w:numId w:val="4"/>
        </w:numPr>
        <w:spacing w:line="420" w:lineRule="exact"/>
        <w:jc w:val="left"/>
        <w:rPr>
          <w:rFonts w:ascii="Tahoma" w:hAnsi="Tahoma" w:cs="宋体"/>
          <w:kern w:val="0"/>
          <w:szCs w:val="21"/>
        </w:rPr>
      </w:pPr>
      <w:r>
        <w:rPr>
          <w:rFonts w:hint="eastAsia" w:ascii="Tahoma" w:hAnsi="Tahoma" w:cs="宋体"/>
          <w:b/>
          <w:bCs/>
          <w:kern w:val="0"/>
          <w:szCs w:val="21"/>
        </w:rPr>
        <w:t>其它要求</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18A5D4E">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报名时间：202</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年</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19</w:t>
      </w:r>
      <w:r>
        <w:rPr>
          <w:rFonts w:hint="eastAsia" w:ascii="Times New Roman" w:hAnsi="Times New Roman" w:cs="Times New Roman"/>
          <w:color w:val="000000"/>
          <w:szCs w:val="21"/>
          <w:highlight w:val="yellow"/>
          <w:lang w:val="en-US" w:eastAsia="zh-CN"/>
        </w:rPr>
        <w:t>日至202</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年</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26</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17：</w:t>
      </w:r>
      <w:r>
        <w:rPr>
          <w:rFonts w:hint="eastAsia" w:ascii="Times New Roman" w:hAnsi="Times New Roman" w:cs="Times New Roman"/>
          <w:color w:val="000000"/>
          <w:szCs w:val="21"/>
          <w:highlight w:val="yellow"/>
          <w:lang w:val="en-US" w:eastAsia="zh-CN"/>
        </w:rPr>
        <w:t>00</w:t>
      </w:r>
    </w:p>
    <w:p w14:paraId="1EFD4CD5">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rPr>
          <w:rFonts w:hint="eastAsia"/>
          <w:color w:val="000000"/>
          <w:szCs w:val="21"/>
          <w:highlight w:val="none"/>
        </w:rPr>
        <w:t>zdbycgbxy@163.com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4081F3CA">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6</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7AE452D">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F3A1240">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28F92D">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w:t>
      </w:r>
      <w:r>
        <w:rPr>
          <w:rFonts w:hint="eastAsia"/>
          <w:szCs w:val="21"/>
          <w:lang w:val="en-US" w:eastAsia="zh-CN"/>
        </w:rPr>
        <w:t>6</w:t>
      </w:r>
      <w:r>
        <w:rPr>
          <w:rFonts w:hint="eastAsia"/>
          <w:szCs w:val="21"/>
          <w:lang w:eastAsia="zh-CN"/>
        </w:rPr>
        <w:t>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kern w:val="0"/>
          <w:szCs w:val="21"/>
          <w:highlight w:val="none"/>
        </w:rPr>
        <w:t>【</w:t>
      </w:r>
      <w:r>
        <w:rPr>
          <w:rFonts w:hint="eastAsia" w:ascii="Tahoma" w:hAnsi="Tahoma" w:cs="宋体"/>
          <w:kern w:val="0"/>
          <w:szCs w:val="21"/>
          <w:highlight w:val="none"/>
          <w:lang w:val="en-US" w:eastAsia="zh-CN"/>
        </w:rPr>
        <w:t>发送后等通知。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3ADE5CB7">
      <w:pPr>
        <w:adjustRightInd w:val="0"/>
        <w:snapToGrid w:val="0"/>
        <w:spacing w:line="440" w:lineRule="atLeast"/>
        <w:ind w:firstLine="420" w:firstLineChars="200"/>
        <w:rPr>
          <w:rFonts w:hint="eastAsia" w:ascii="Tahoma" w:hAnsi="Tahoma" w:cs="宋体"/>
          <w:kern w:val="0"/>
          <w:szCs w:val="21"/>
          <w:highlight w:val="none"/>
        </w:rPr>
      </w:pPr>
      <w:r>
        <w:rPr>
          <w:rFonts w:hint="eastAsia" w:eastAsia="宋体"/>
          <w:color w:val="000000"/>
          <w:szCs w:val="21"/>
        </w:rPr>
        <w:t>由招采办完成资质预审，预审通过后</w:t>
      </w:r>
      <w:r>
        <w:rPr>
          <w:rFonts w:hint="eastAsia" w:eastAsia="宋体"/>
          <w:color w:val="000000"/>
          <w:szCs w:val="21"/>
          <w:lang w:eastAsia="zh-CN"/>
        </w:rPr>
        <w:t>，</w:t>
      </w:r>
      <w:r>
        <w:rPr>
          <w:rFonts w:hint="eastAsia"/>
          <w:color w:val="000000"/>
          <w:szCs w:val="21"/>
        </w:rPr>
        <w:t>将</w:t>
      </w:r>
      <w:r>
        <w:rPr>
          <w:rFonts w:hint="eastAsia"/>
          <w:b/>
          <w:bCs/>
          <w:color w:val="000000"/>
          <w:szCs w:val="21"/>
        </w:rPr>
        <w:t>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w:t>
      </w:r>
      <w:r>
        <w:rPr>
          <w:rFonts w:hint="eastAsia"/>
          <w:b/>
          <w:bCs w:val="0"/>
          <w:szCs w:val="21"/>
          <w:lang w:val="en-US" w:eastAsia="zh-CN"/>
        </w:rPr>
        <w:t>6</w:t>
      </w:r>
      <w:r>
        <w:rPr>
          <w:rFonts w:hint="eastAsia"/>
          <w:b/>
          <w:bCs w:val="0"/>
          <w:szCs w:val="21"/>
          <w:lang w:eastAsia="zh-CN"/>
        </w:rPr>
        <w:t>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color w:val="000000"/>
          <w:szCs w:val="21"/>
        </w:rPr>
        <w:t>提交至行政楼</w:t>
      </w:r>
      <w:r>
        <w:rPr>
          <w:rFonts w:hint="eastAsia"/>
          <w:color w:val="000000"/>
          <w:szCs w:val="21"/>
          <w:lang w:val="en-US" w:eastAsia="zh-CN"/>
        </w:rPr>
        <w:t>312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b/>
          <w:bCs/>
          <w:color w:val="000000"/>
          <w:szCs w:val="21"/>
          <w:highlight w:val="yellow"/>
          <w:lang w:eastAsia="zh-CN"/>
        </w:rPr>
        <w:t>【</w:t>
      </w:r>
      <w:r>
        <w:rPr>
          <w:rFonts w:hint="eastAsia"/>
          <w:b/>
          <w:bCs/>
          <w:color w:val="000000"/>
          <w:szCs w:val="21"/>
          <w:highlight w:val="yellow"/>
          <w:lang w:val="en-US" w:eastAsia="zh-CN"/>
        </w:rPr>
        <w:t>未收到通知无需先行递交纸质资料</w:t>
      </w:r>
      <w:r>
        <w:rPr>
          <w:rFonts w:hint="eastAsia"/>
          <w:b/>
          <w:bCs/>
          <w:color w:val="000000"/>
          <w:szCs w:val="21"/>
          <w:highlight w:val="yellow"/>
          <w:lang w:eastAsia="zh-CN"/>
        </w:rPr>
        <w:t>】【</w:t>
      </w:r>
      <w:r>
        <w:rPr>
          <w:rFonts w:hint="eastAsia"/>
          <w:b/>
          <w:bCs/>
          <w:color w:val="000000"/>
          <w:szCs w:val="21"/>
          <w:highlight w:val="yellow"/>
          <w:lang w:val="en-US" w:eastAsia="zh-CN"/>
        </w:rPr>
        <w:t>纸质资料的递交时间不受报名时间截止的限制</w:t>
      </w:r>
      <w:r>
        <w:rPr>
          <w:rFonts w:hint="eastAsia"/>
          <w:b/>
          <w:bCs/>
          <w:color w:val="000000"/>
          <w:szCs w:val="21"/>
          <w:highlight w:val="yellow"/>
          <w:lang w:eastAsia="zh-CN"/>
        </w:rPr>
        <w:t>】</w:t>
      </w:r>
    </w:p>
    <w:p w14:paraId="34AE7CB7">
      <w:pPr>
        <w:adjustRightInd w:val="0"/>
        <w:snapToGrid w:val="0"/>
        <w:spacing w:line="440" w:lineRule="atLeast"/>
        <w:rPr>
          <w:rFonts w:ascii="宋体" w:hAnsi="宋体" w:cs="宋体"/>
          <w:b/>
          <w:color w:val="000000"/>
          <w:szCs w:val="21"/>
        </w:rPr>
      </w:pPr>
      <w:r>
        <w:rPr>
          <w:rFonts w:hint="eastAsia" w:ascii="宋体" w:hAnsi="宋体" w:cs="宋体"/>
          <w:b/>
          <w:color w:val="000000"/>
          <w:szCs w:val="21"/>
        </w:rPr>
        <w:t>备注：本</w:t>
      </w:r>
      <w:r>
        <w:rPr>
          <w:rFonts w:hint="eastAsia" w:ascii="宋体" w:hAnsi="宋体" w:cs="宋体"/>
          <w:b/>
          <w:color w:val="000000"/>
          <w:szCs w:val="21"/>
          <w:lang w:val="en-US" w:eastAsia="zh-CN"/>
        </w:rPr>
        <w:t>批项目</w:t>
      </w:r>
      <w:r>
        <w:rPr>
          <w:rFonts w:hint="eastAsia" w:ascii="宋体" w:hAnsi="宋体" w:cs="宋体"/>
          <w:b/>
          <w:color w:val="000000"/>
          <w:szCs w:val="21"/>
        </w:rPr>
        <w:t>共</w:t>
      </w:r>
      <w:r>
        <w:rPr>
          <w:rFonts w:hint="eastAsia" w:ascii="宋体" w:hAnsi="宋体" w:cs="宋体"/>
          <w:b/>
          <w:color w:val="000000"/>
          <w:szCs w:val="21"/>
          <w:lang w:val="en-US" w:eastAsia="zh-CN"/>
        </w:rPr>
        <w:t>2</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w:t>
      </w:r>
      <w:r>
        <w:rPr>
          <w:rFonts w:hint="eastAsia"/>
        </w:rPr>
        <w:t>。投标文件（具体格式见第五章投标文件）请在开标当天带至开标现场，投标文件需密封且封面需加盖公章。</w:t>
      </w:r>
    </w:p>
    <w:p w14:paraId="32E33BF0">
      <w:pPr>
        <w:adjustRightInd w:val="0"/>
        <w:snapToGrid w:val="0"/>
        <w:spacing w:line="440" w:lineRule="atLeast"/>
        <w:ind w:left="420" w:leftChars="200" w:firstLine="422" w:firstLineChars="200"/>
        <w:rPr>
          <w:rFonts w:ascii="宋体" w:hAnsi="宋体" w:eastAsia="宋体" w:cs="宋体"/>
          <w:color w:val="000000"/>
          <w:sz w:val="20"/>
          <w:szCs w:val="20"/>
          <w:u w:val="single"/>
        </w:rPr>
      </w:pPr>
      <w:r>
        <w:rPr>
          <w:rFonts w:hint="eastAsia" w:ascii="Tahoma" w:hAnsi="Tahoma" w:cs="宋体"/>
          <w:b/>
          <w:bCs/>
          <w:kern w:val="0"/>
          <w:szCs w:val="21"/>
        </w:rPr>
        <w:t>开标时间和地点：</w:t>
      </w:r>
      <w:r>
        <w:rPr>
          <w:rFonts w:hint="eastAsia" w:ascii="Tahoma" w:hAnsi="Tahoma" w:cs="宋体"/>
          <w:b/>
          <w:bCs/>
          <w:kern w:val="0"/>
          <w:szCs w:val="21"/>
          <w:lang w:val="en-US" w:eastAsia="zh-CN"/>
        </w:rPr>
        <w:t>2026年7月3日14点30分</w:t>
      </w:r>
      <w:r>
        <w:rPr>
          <w:rFonts w:hint="eastAsia" w:ascii="Tahoma" w:hAnsi="Tahoma" w:cs="宋体"/>
          <w:b/>
          <w:bCs/>
          <w:kern w:val="0"/>
          <w:szCs w:val="21"/>
          <w:u w:val="single"/>
          <w:lang w:val="en-US" w:eastAsia="zh-CN"/>
        </w:rPr>
        <w:t>，</w:t>
      </w:r>
      <w:r>
        <w:rPr>
          <w:rFonts w:hint="eastAsia" w:ascii="Tahoma" w:hAnsi="Tahoma" w:cs="宋体"/>
          <w:b/>
          <w:bCs/>
          <w:kern w:val="0"/>
          <w:szCs w:val="21"/>
          <w:u w:val="single"/>
        </w:rPr>
        <w:t>福田区福华路92号福星北小区中山大学附属第八医院</w:t>
      </w:r>
      <w:r>
        <w:rPr>
          <w:rFonts w:hint="eastAsia" w:ascii="Tahoma" w:hAnsi="Tahoma" w:cs="宋体"/>
          <w:b/>
          <w:bCs/>
          <w:kern w:val="0"/>
          <w:szCs w:val="21"/>
          <w:u w:val="single"/>
          <w:lang w:eastAsia="zh-CN"/>
        </w:rPr>
        <w:t>（</w:t>
      </w:r>
      <w:r>
        <w:rPr>
          <w:rFonts w:hint="eastAsia" w:ascii="Tahoma" w:hAnsi="Tahoma" w:cs="宋体"/>
          <w:b/>
          <w:bCs/>
          <w:kern w:val="0"/>
          <w:szCs w:val="21"/>
          <w:u w:val="single"/>
        </w:rPr>
        <w:t>深圳福田</w:t>
      </w:r>
      <w:r>
        <w:rPr>
          <w:rFonts w:hint="eastAsia" w:ascii="Tahoma" w:hAnsi="Tahoma" w:cs="宋体"/>
          <w:b/>
          <w:bCs/>
          <w:kern w:val="0"/>
          <w:szCs w:val="21"/>
          <w:u w:val="single"/>
          <w:lang w:eastAsia="zh-CN"/>
        </w:rPr>
        <w:t>）</w:t>
      </w:r>
      <w:r>
        <w:rPr>
          <w:rFonts w:hint="eastAsia" w:ascii="Tahoma" w:hAnsi="Tahoma" w:cs="宋体"/>
          <w:b/>
          <w:bCs/>
          <w:kern w:val="0"/>
          <w:szCs w:val="21"/>
          <w:u w:val="single"/>
        </w:rPr>
        <w:t>行政楼</w:t>
      </w:r>
      <w:r>
        <w:rPr>
          <w:rFonts w:hint="eastAsia" w:ascii="Tahoma" w:hAnsi="Tahoma" w:cs="宋体"/>
          <w:b/>
          <w:bCs/>
          <w:kern w:val="0"/>
          <w:szCs w:val="21"/>
          <w:u w:val="single"/>
          <w:lang w:val="en-US" w:eastAsia="zh-CN"/>
        </w:rPr>
        <w:t>3</w:t>
      </w:r>
      <w:r>
        <w:rPr>
          <w:rFonts w:hint="eastAsia" w:ascii="Tahoma" w:hAnsi="Tahoma" w:cs="宋体"/>
          <w:b/>
          <w:bCs/>
          <w:kern w:val="0"/>
          <w:szCs w:val="21"/>
          <w:u w:val="single"/>
        </w:rPr>
        <w:t>07会议室</w:t>
      </w:r>
    </w:p>
    <w:p w14:paraId="5F0E5E35">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065CA995">
      <w:pPr>
        <w:adjustRightInd w:val="0"/>
        <w:snapToGrid w:val="0"/>
        <w:spacing w:line="440" w:lineRule="atLeast"/>
        <w:ind w:firstLine="420" w:firstLineChars="200"/>
        <w:rPr>
          <w:color w:val="FF0000"/>
          <w:szCs w:val="21"/>
        </w:rPr>
      </w:pPr>
      <w:r>
        <w:rPr>
          <w:rFonts w:hint="eastAsia"/>
          <w:color w:val="FF0000"/>
          <w:szCs w:val="21"/>
        </w:rPr>
        <w:t>1</w:t>
      </w:r>
      <w:r>
        <w:rPr>
          <w:rFonts w:hint="eastAsia"/>
          <w:color w:val="FF0000"/>
          <w:szCs w:val="21"/>
          <w:lang w:eastAsia="zh-CN"/>
        </w:rPr>
        <w:t>、</w:t>
      </w:r>
      <w:r>
        <w:rPr>
          <w:rFonts w:hint="eastAsia"/>
          <w:color w:val="FF0000"/>
          <w:szCs w:val="21"/>
        </w:rPr>
        <w:t>纸质资料：投标文件（1正2副）于开标当天带至开标现场。</w:t>
      </w:r>
    </w:p>
    <w:p w14:paraId="42B56728">
      <w:pPr>
        <w:pStyle w:val="43"/>
        <w:adjustRightInd w:val="0"/>
        <w:snapToGrid w:val="0"/>
        <w:spacing w:line="440" w:lineRule="atLeast"/>
      </w:pPr>
      <w:r>
        <w:rPr>
          <w:rFonts w:hint="eastAsia"/>
          <w:color w:val="FF0000"/>
          <w:szCs w:val="21"/>
        </w:rPr>
        <w:t>2、电子资料：投标文件PDF盖章扫描件</w:t>
      </w:r>
      <w:r>
        <w:rPr>
          <w:rFonts w:hint="eastAsia"/>
          <w:color w:val="FF0000"/>
          <w:szCs w:val="21"/>
          <w:lang w:eastAsia="zh-CN"/>
        </w:rPr>
        <w:t>、</w:t>
      </w:r>
      <w:r>
        <w:rPr>
          <w:rFonts w:hint="eastAsia"/>
          <w:color w:val="FF0000"/>
          <w:szCs w:val="21"/>
          <w:lang w:val="en-US" w:eastAsia="zh-CN"/>
        </w:rPr>
        <w:t>附件2</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092F4CA6">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w:t>
      </w:r>
      <w:r>
        <w:rPr>
          <w:rFonts w:hint="eastAsia"/>
          <w:lang w:eastAsia="zh-CN"/>
        </w:rPr>
        <w:t>（</w:t>
      </w:r>
      <w:r>
        <w:rPr>
          <w:rFonts w:hint="eastAsia"/>
        </w:rPr>
        <w:t>深圳福田</w:t>
      </w:r>
      <w:r>
        <w:rPr>
          <w:rFonts w:hint="eastAsia"/>
          <w:lang w:eastAsia="zh-CN"/>
        </w:rPr>
        <w:t>）</w:t>
      </w:r>
      <w:r>
        <w:rPr>
          <w:rFonts w:hint="eastAsia"/>
        </w:rPr>
        <w:t>行政楼3</w:t>
      </w:r>
      <w:r>
        <w:rPr>
          <w:rFonts w:hint="eastAsia"/>
          <w:lang w:val="en-US" w:eastAsia="zh-CN"/>
        </w:rPr>
        <w:t>12</w:t>
      </w:r>
    </w:p>
    <w:p w14:paraId="73EF0148">
      <w:pPr>
        <w:adjustRightInd w:val="0"/>
        <w:snapToGrid w:val="0"/>
        <w:spacing w:line="420" w:lineRule="exact"/>
        <w:ind w:left="420"/>
        <w:jc w:val="left"/>
        <w:rPr>
          <w:rFonts w:eastAsia="宋体"/>
        </w:rPr>
      </w:pPr>
      <w:r>
        <w:rPr>
          <w:rFonts w:hint="eastAsia"/>
        </w:rPr>
        <w:t>（三）联系人及联系电话：</w:t>
      </w:r>
      <w:r>
        <w:rPr>
          <w:rFonts w:hint="eastAsia" w:ascii="Tahoma" w:hAnsi="Tahoma" w:cs="宋体"/>
          <w:kern w:val="0"/>
          <w:szCs w:val="21"/>
          <w:lang w:val="en-US" w:eastAsia="zh-CN"/>
        </w:rPr>
        <w:t>熊</w:t>
      </w:r>
      <w:r>
        <w:rPr>
          <w:rFonts w:hint="eastAsia" w:ascii="Tahoma" w:hAnsi="Tahoma" w:cs="宋体"/>
          <w:kern w:val="0"/>
          <w:szCs w:val="21"/>
        </w:rPr>
        <w:t>老师23608005</w:t>
      </w:r>
    </w:p>
    <w:p w14:paraId="55CBEECD">
      <w:pPr>
        <w:pStyle w:val="70"/>
        <w:ind w:firstLine="4216" w:firstLineChars="1400"/>
        <w:jc w:val="both"/>
        <w:rPr>
          <w:rFonts w:hint="eastAsia"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2"/>
        <w:gridCol w:w="693"/>
        <w:gridCol w:w="577"/>
        <w:gridCol w:w="1096"/>
        <w:gridCol w:w="1050"/>
        <w:gridCol w:w="4315"/>
        <w:gridCol w:w="646"/>
        <w:gridCol w:w="934"/>
        <w:gridCol w:w="577"/>
        <w:gridCol w:w="635"/>
      </w:tblGrid>
      <w:tr w14:paraId="16467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612" w:type="dxa"/>
            <w:vAlign w:val="center"/>
          </w:tcPr>
          <w:p w14:paraId="3CA3E3DF">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693" w:type="dxa"/>
            <w:vAlign w:val="center"/>
          </w:tcPr>
          <w:p w14:paraId="44F0C7EC">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577" w:type="dxa"/>
            <w:vAlign w:val="center"/>
          </w:tcPr>
          <w:p w14:paraId="273D15AA">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1096" w:type="dxa"/>
            <w:vAlign w:val="center"/>
          </w:tcPr>
          <w:p w14:paraId="673769AF">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货物名称（参考）</w:t>
            </w:r>
          </w:p>
        </w:tc>
        <w:tc>
          <w:tcPr>
            <w:tcW w:w="1050" w:type="dxa"/>
            <w:vAlign w:val="center"/>
          </w:tcPr>
          <w:p w14:paraId="6064EB2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rPr>
              <w:t>单价限价</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★同类耗材不得超过</w:t>
            </w:r>
            <w:r>
              <w:rPr>
                <w:rFonts w:hint="eastAsia" w:asciiTheme="majorEastAsia" w:hAnsiTheme="majorEastAsia" w:eastAsiaTheme="majorEastAsia" w:cstheme="majorEastAsia"/>
                <w:kern w:val="0"/>
                <w:sz w:val="20"/>
                <w:szCs w:val="20"/>
                <w:lang w:val="en-US" w:eastAsia="zh-CN"/>
              </w:rPr>
              <w:t>限价</w:t>
            </w:r>
            <w:r>
              <w:rPr>
                <w:rFonts w:hint="eastAsia" w:asciiTheme="majorEastAsia" w:hAnsiTheme="majorEastAsia" w:eastAsiaTheme="majorEastAsia" w:cstheme="majorEastAsia"/>
                <w:kern w:val="0"/>
                <w:sz w:val="20"/>
                <w:szCs w:val="20"/>
                <w:lang w:eastAsia="zh-CN"/>
              </w:rPr>
              <w:t>）</w:t>
            </w:r>
          </w:p>
        </w:tc>
        <w:tc>
          <w:tcPr>
            <w:tcW w:w="4315" w:type="dxa"/>
            <w:vAlign w:val="center"/>
          </w:tcPr>
          <w:p w14:paraId="60335EDE">
            <w:pPr>
              <w:widowControl/>
              <w:jc w:val="center"/>
              <w:rPr>
                <w:rFonts w:hint="eastAsia" w:asciiTheme="majorEastAsia" w:hAnsiTheme="majorEastAsia" w:eastAsiaTheme="majorEastAsia" w:cstheme="majorEastAsia"/>
                <w:kern w:val="0"/>
                <w:sz w:val="20"/>
                <w:szCs w:val="20"/>
                <w:lang w:eastAsia="zh-CN"/>
              </w:rPr>
            </w:pPr>
            <w:r>
              <w:rPr>
                <w:rFonts w:hint="eastAsia" w:asciiTheme="majorEastAsia" w:hAnsiTheme="majorEastAsia" w:eastAsiaTheme="majorEastAsia" w:cstheme="majorEastAsia"/>
                <w:kern w:val="0"/>
                <w:sz w:val="20"/>
                <w:szCs w:val="20"/>
              </w:rPr>
              <w:t>技术要求</w:t>
            </w:r>
          </w:p>
        </w:tc>
        <w:tc>
          <w:tcPr>
            <w:tcW w:w="646" w:type="dxa"/>
            <w:vAlign w:val="center"/>
          </w:tcPr>
          <w:p w14:paraId="129B096D">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934" w:type="dxa"/>
            <w:vAlign w:val="center"/>
          </w:tcPr>
          <w:p w14:paraId="58B2E749">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577" w:type="dxa"/>
            <w:vAlign w:val="center"/>
          </w:tcPr>
          <w:p w14:paraId="23C9C523">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635" w:type="dxa"/>
            <w:vAlign w:val="center"/>
          </w:tcPr>
          <w:p w14:paraId="790DC06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样品要求</w:t>
            </w:r>
          </w:p>
        </w:tc>
      </w:tr>
      <w:tr w14:paraId="6435A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612" w:type="dxa"/>
            <w:vMerge w:val="restart"/>
            <w:vAlign w:val="center"/>
          </w:tcPr>
          <w:p w14:paraId="688DD5AE">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1</w:t>
            </w:r>
          </w:p>
        </w:tc>
        <w:tc>
          <w:tcPr>
            <w:tcW w:w="693" w:type="dxa"/>
            <w:vMerge w:val="restart"/>
            <w:shd w:val="clear" w:color="auto" w:fill="auto"/>
            <w:vAlign w:val="center"/>
          </w:tcPr>
          <w:p w14:paraId="13A287CF">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ZCB2026-HC28-167</w:t>
            </w:r>
          </w:p>
        </w:tc>
        <w:tc>
          <w:tcPr>
            <w:tcW w:w="577" w:type="dxa"/>
            <w:vMerge w:val="restart"/>
            <w:shd w:val="clear" w:color="auto" w:fill="auto"/>
            <w:vAlign w:val="center"/>
          </w:tcPr>
          <w:p w14:paraId="096BE92B">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植入式骶神经刺激器及套件</w:t>
            </w:r>
          </w:p>
        </w:tc>
        <w:tc>
          <w:tcPr>
            <w:tcW w:w="1096" w:type="dxa"/>
            <w:shd w:val="clear" w:color="auto" w:fill="auto"/>
            <w:vAlign w:val="center"/>
          </w:tcPr>
          <w:p w14:paraId="528CCB13">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体外神经刺激器</w:t>
            </w:r>
          </w:p>
        </w:tc>
        <w:tc>
          <w:tcPr>
            <w:tcW w:w="1050" w:type="dxa"/>
            <w:shd w:val="clear" w:color="auto" w:fill="auto"/>
            <w:vAlign w:val="center"/>
          </w:tcPr>
          <w:p w14:paraId="0EC71AA2">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6600</w:t>
            </w:r>
          </w:p>
        </w:tc>
        <w:tc>
          <w:tcPr>
            <w:tcW w:w="4315" w:type="dxa"/>
            <w:vMerge w:val="restart"/>
            <w:shd w:val="clear" w:color="auto" w:fill="auto"/>
            <w:vAlign w:val="center"/>
          </w:tcPr>
          <w:p w14:paraId="1E7BCC51">
            <w:pPr>
              <w:widowControl/>
              <w:jc w:val="both"/>
              <w:rPr>
                <w:rFonts w:hint="default" w:asciiTheme="majorEastAsia" w:hAnsiTheme="majorEastAsia" w:eastAsiaTheme="majorEastAsia" w:cstheme="majorEastAsia"/>
                <w:b/>
                <w:bCs/>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b/>
                <w:bCs/>
                <w:i w:val="0"/>
                <w:iCs w:val="0"/>
                <w:color w:val="000000"/>
                <w:kern w:val="0"/>
                <w:sz w:val="20"/>
                <w:szCs w:val="20"/>
                <w:highlight w:val="none"/>
                <w:u w:val="none"/>
                <w:lang w:val="en-US" w:eastAsia="zh-CN" w:bidi="ar"/>
              </w:rPr>
              <w:t>一、 植入式骶神经刺激器</w:t>
            </w:r>
          </w:p>
          <w:p w14:paraId="387089C1">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1、使用范围‌：用于骶神经电刺激，</w:t>
            </w:r>
          </w:p>
          <w:p w14:paraId="3D58CB99">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2、‌关键配置要求‌：需与植入式骶神经刺激电极配合使用。</w:t>
            </w:r>
          </w:p>
          <w:p w14:paraId="4563CADD">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3、‌材质‌：外罩为钛，电源为锂氟化碳-银钒氧化物混合材质。‌</w:t>
            </w:r>
          </w:p>
          <w:p w14:paraId="4D37E67A">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b/>
                <w:bCs/>
                <w:i w:val="0"/>
                <w:iCs w:val="0"/>
                <w:color w:val="000000"/>
                <w:kern w:val="0"/>
                <w:sz w:val="20"/>
                <w:szCs w:val="20"/>
                <w:highlight w:val="none"/>
                <w:u w:val="none"/>
                <w:lang w:val="en-US" w:eastAsia="zh-CN" w:bidi="ar"/>
              </w:rPr>
              <w:t>二、 植入式骶神经刺激电极</w:t>
            </w: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w:t>
            </w:r>
          </w:p>
          <w:p w14:paraId="39769FB6">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1、使用范围‌：与植入式/体外骶神经刺激器配套使用，用于骶神经电刺激，治疗尿潴留、膀胱过度活动症及慢性大便失禁。</w:t>
            </w:r>
          </w:p>
          <w:p w14:paraId="1FAC622A">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2、‌关键配置要求‌：需与兼容的同品牌骶神经神经刺激器或体外神经刺激器联合使用。</w:t>
            </w:r>
          </w:p>
          <w:p w14:paraId="17B8BF32">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3、‌‌材质‌：电极导线主体-聚氨酯及钽织物</w:t>
            </w:r>
          </w:p>
          <w:p w14:paraId="40DAB783">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4、‌产品有效期‌：≥24个月。‌</w:t>
            </w:r>
          </w:p>
          <w:p w14:paraId="6A49C7DD">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b/>
                <w:bCs/>
                <w:i w:val="0"/>
                <w:iCs w:val="0"/>
                <w:color w:val="000000"/>
                <w:kern w:val="0"/>
                <w:sz w:val="20"/>
                <w:szCs w:val="20"/>
                <w:highlight w:val="none"/>
                <w:u w:val="none"/>
                <w:lang w:val="en-US" w:eastAsia="zh-CN" w:bidi="ar"/>
              </w:rPr>
              <w:t>三、 经皮延长线</w:t>
            </w: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w:t>
            </w:r>
          </w:p>
          <w:p w14:paraId="5D6D1889">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1、使用范围‌：与植入式/体外骶神经刺激器配套使用，用于骶神经电刺激，治疗尿潴留、膀胱过度活动症及慢性大便失禁。</w:t>
            </w:r>
          </w:p>
          <w:p w14:paraId="5318C6B1">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2、‌关键配置要求‌：需与兼容的同品牌的骶神经刺激电极和体外神经刺激器配合使用。</w:t>
            </w:r>
          </w:p>
          <w:p w14:paraId="0B142225">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3、‌材质‌：连接器和应力释放装置，硅橡胶。</w:t>
            </w:r>
          </w:p>
          <w:p w14:paraId="63DB8C59">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4、‌产品有效期‌：≥24个月。‌</w:t>
            </w:r>
          </w:p>
          <w:p w14:paraId="1B2F2D3E">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b/>
                <w:bCs/>
                <w:i w:val="0"/>
                <w:iCs w:val="0"/>
                <w:color w:val="000000"/>
                <w:kern w:val="0"/>
                <w:sz w:val="20"/>
                <w:szCs w:val="20"/>
                <w:highlight w:val="none"/>
                <w:u w:val="none"/>
                <w:lang w:val="en-US" w:eastAsia="zh-CN" w:bidi="ar"/>
              </w:rPr>
              <w:t>四、 患者程控仪</w:t>
            </w: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w:t>
            </w:r>
          </w:p>
          <w:p w14:paraId="0F5696AC">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1、使用范围‌：用来打开或关闭神经刺激器，以及用来调整刺激。</w:t>
            </w:r>
          </w:p>
          <w:p w14:paraId="29E90325">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2、‌‌关键配置要求‌：需与同品牌神经刺激器配合使用。</w:t>
            </w:r>
          </w:p>
          <w:p w14:paraId="6517723B">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3、‌‌电源‌：充电锂电池。‌</w:t>
            </w:r>
          </w:p>
          <w:p w14:paraId="3609B105">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b/>
                <w:bCs/>
                <w:i w:val="0"/>
                <w:iCs w:val="0"/>
                <w:color w:val="000000"/>
                <w:kern w:val="0"/>
                <w:sz w:val="20"/>
                <w:szCs w:val="20"/>
                <w:highlight w:val="none"/>
                <w:u w:val="none"/>
                <w:lang w:val="en-US" w:eastAsia="zh-CN" w:bidi="ar"/>
              </w:rPr>
              <w:t>五、 体外神经刺激器</w:t>
            </w: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w:t>
            </w:r>
          </w:p>
          <w:p w14:paraId="3763E440">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1.使用范围‌：该神经刺激器是神经刺激系统的组成部件之一，用于在电极导线放置或试验刺激效果期间评估神经刺激系统的功效。</w:t>
            </w:r>
          </w:p>
          <w:p w14:paraId="511F6914">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2.‌关键配置要求‌：需与体外神经刺激器程控仪配合使用。</w:t>
            </w:r>
          </w:p>
          <w:p w14:paraId="66039286">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3.‌材质要求‌：外壳材质为聚碳酸酯/ABS混合塑料树脂。</w:t>
            </w:r>
          </w:p>
        </w:tc>
        <w:tc>
          <w:tcPr>
            <w:tcW w:w="646" w:type="dxa"/>
            <w:vMerge w:val="restart"/>
            <w:shd w:val="clear" w:color="auto" w:fill="auto"/>
            <w:vAlign w:val="center"/>
          </w:tcPr>
          <w:p w14:paraId="3BE2CFEE">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kern w:val="0"/>
                <w:sz w:val="20"/>
                <w:szCs w:val="20"/>
                <w:lang w:val="en-US" w:eastAsia="zh-CN"/>
              </w:rPr>
              <w:t>允许进口</w:t>
            </w:r>
          </w:p>
        </w:tc>
        <w:tc>
          <w:tcPr>
            <w:tcW w:w="934" w:type="dxa"/>
            <w:vMerge w:val="restart"/>
            <w:vAlign w:val="center"/>
          </w:tcPr>
          <w:p w14:paraId="71EBE22C">
            <w:pPr>
              <w:widowControl/>
              <w:ind w:firstLine="200" w:firstLineChars="100"/>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是</w:t>
            </w:r>
          </w:p>
        </w:tc>
        <w:tc>
          <w:tcPr>
            <w:tcW w:w="577" w:type="dxa"/>
            <w:vMerge w:val="restart"/>
            <w:shd w:val="clear" w:color="auto" w:fill="auto"/>
            <w:vAlign w:val="center"/>
          </w:tcPr>
          <w:p w14:paraId="5A9FBA2F">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泌尿外科</w:t>
            </w:r>
          </w:p>
        </w:tc>
        <w:tc>
          <w:tcPr>
            <w:tcW w:w="635" w:type="dxa"/>
            <w:vMerge w:val="restart"/>
            <w:vAlign w:val="center"/>
          </w:tcPr>
          <w:p w14:paraId="7738669A">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开标时请携带所投产品的样品，此样品为综合评分的一部分</w:t>
            </w:r>
          </w:p>
        </w:tc>
      </w:tr>
      <w:tr w14:paraId="1BA69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612" w:type="dxa"/>
            <w:vMerge w:val="continue"/>
            <w:vAlign w:val="center"/>
          </w:tcPr>
          <w:p w14:paraId="3287737A">
            <w:pPr>
              <w:widowControl/>
              <w:jc w:val="center"/>
            </w:pPr>
          </w:p>
        </w:tc>
        <w:tc>
          <w:tcPr>
            <w:tcW w:w="693" w:type="dxa"/>
            <w:vMerge w:val="continue"/>
            <w:shd w:val="clear" w:color="auto" w:fill="auto"/>
            <w:vAlign w:val="center"/>
          </w:tcPr>
          <w:p w14:paraId="6B4FF06E">
            <w:pPr>
              <w:widowControl/>
              <w:jc w:val="center"/>
            </w:pPr>
          </w:p>
        </w:tc>
        <w:tc>
          <w:tcPr>
            <w:tcW w:w="577" w:type="dxa"/>
            <w:vMerge w:val="continue"/>
            <w:shd w:val="clear" w:color="auto" w:fill="auto"/>
            <w:vAlign w:val="center"/>
          </w:tcPr>
          <w:p w14:paraId="51D50416">
            <w:pPr>
              <w:widowControl/>
              <w:jc w:val="center"/>
            </w:pPr>
          </w:p>
        </w:tc>
        <w:tc>
          <w:tcPr>
            <w:tcW w:w="1096" w:type="dxa"/>
            <w:shd w:val="clear" w:color="auto" w:fill="auto"/>
            <w:vAlign w:val="center"/>
          </w:tcPr>
          <w:p w14:paraId="02BE6C19">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植入式骶神经刺激器</w:t>
            </w:r>
          </w:p>
        </w:tc>
        <w:tc>
          <w:tcPr>
            <w:tcW w:w="1050" w:type="dxa"/>
            <w:shd w:val="clear" w:color="auto" w:fill="auto"/>
            <w:vAlign w:val="center"/>
          </w:tcPr>
          <w:p w14:paraId="60235E99">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128500</w:t>
            </w:r>
          </w:p>
        </w:tc>
        <w:tc>
          <w:tcPr>
            <w:tcW w:w="4315" w:type="dxa"/>
            <w:vMerge w:val="continue"/>
            <w:shd w:val="clear" w:color="auto" w:fill="auto"/>
            <w:vAlign w:val="center"/>
          </w:tcPr>
          <w:p w14:paraId="6D3A64E3">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p>
        </w:tc>
        <w:tc>
          <w:tcPr>
            <w:tcW w:w="646" w:type="dxa"/>
            <w:vMerge w:val="continue"/>
            <w:shd w:val="clear" w:color="auto" w:fill="auto"/>
            <w:vAlign w:val="center"/>
          </w:tcPr>
          <w:p w14:paraId="66A33ED9">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p>
        </w:tc>
        <w:tc>
          <w:tcPr>
            <w:tcW w:w="934" w:type="dxa"/>
            <w:vMerge w:val="continue"/>
            <w:vAlign w:val="center"/>
          </w:tcPr>
          <w:p w14:paraId="2836754D">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p>
        </w:tc>
        <w:tc>
          <w:tcPr>
            <w:tcW w:w="577" w:type="dxa"/>
            <w:vMerge w:val="continue"/>
            <w:shd w:val="clear" w:color="auto" w:fill="auto"/>
            <w:vAlign w:val="center"/>
          </w:tcPr>
          <w:p w14:paraId="648C7506">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p>
        </w:tc>
        <w:tc>
          <w:tcPr>
            <w:tcW w:w="635" w:type="dxa"/>
            <w:vMerge w:val="continue"/>
            <w:vAlign w:val="center"/>
          </w:tcPr>
          <w:p w14:paraId="54CA5188">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p>
        </w:tc>
      </w:tr>
      <w:tr w14:paraId="4CE4A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612" w:type="dxa"/>
            <w:vMerge w:val="continue"/>
            <w:vAlign w:val="center"/>
          </w:tcPr>
          <w:p w14:paraId="63F084B9">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p>
        </w:tc>
        <w:tc>
          <w:tcPr>
            <w:tcW w:w="693" w:type="dxa"/>
            <w:vMerge w:val="continue"/>
            <w:shd w:val="clear" w:color="auto" w:fill="auto"/>
            <w:vAlign w:val="center"/>
          </w:tcPr>
          <w:p w14:paraId="5546DBE7">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p>
        </w:tc>
        <w:tc>
          <w:tcPr>
            <w:tcW w:w="577" w:type="dxa"/>
            <w:vMerge w:val="continue"/>
            <w:shd w:val="clear" w:color="auto" w:fill="auto"/>
            <w:vAlign w:val="center"/>
          </w:tcPr>
          <w:p w14:paraId="3EA821D0">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p>
        </w:tc>
        <w:tc>
          <w:tcPr>
            <w:tcW w:w="1096" w:type="dxa"/>
            <w:shd w:val="clear" w:color="auto" w:fill="auto"/>
            <w:vAlign w:val="center"/>
          </w:tcPr>
          <w:p w14:paraId="013389E9">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植入式骶神经刺激电极</w:t>
            </w:r>
          </w:p>
        </w:tc>
        <w:tc>
          <w:tcPr>
            <w:tcW w:w="1050" w:type="dxa"/>
            <w:shd w:val="clear" w:color="auto" w:fill="auto"/>
            <w:vAlign w:val="center"/>
          </w:tcPr>
          <w:p w14:paraId="1308C92B">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30000</w:t>
            </w:r>
          </w:p>
        </w:tc>
        <w:tc>
          <w:tcPr>
            <w:tcW w:w="4315" w:type="dxa"/>
            <w:vMerge w:val="continue"/>
            <w:shd w:val="clear" w:color="auto" w:fill="auto"/>
            <w:vAlign w:val="center"/>
          </w:tcPr>
          <w:p w14:paraId="1D0AAD87">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p>
        </w:tc>
        <w:tc>
          <w:tcPr>
            <w:tcW w:w="646" w:type="dxa"/>
            <w:vMerge w:val="continue"/>
            <w:shd w:val="clear" w:color="auto" w:fill="auto"/>
            <w:vAlign w:val="center"/>
          </w:tcPr>
          <w:p w14:paraId="686AC284">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p>
        </w:tc>
        <w:tc>
          <w:tcPr>
            <w:tcW w:w="934" w:type="dxa"/>
            <w:vMerge w:val="continue"/>
            <w:vAlign w:val="center"/>
          </w:tcPr>
          <w:p w14:paraId="688EAED8">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p>
        </w:tc>
        <w:tc>
          <w:tcPr>
            <w:tcW w:w="577" w:type="dxa"/>
            <w:vMerge w:val="continue"/>
            <w:shd w:val="clear" w:color="auto" w:fill="auto"/>
            <w:vAlign w:val="center"/>
          </w:tcPr>
          <w:p w14:paraId="7E2DD381">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p>
        </w:tc>
        <w:tc>
          <w:tcPr>
            <w:tcW w:w="635" w:type="dxa"/>
            <w:vMerge w:val="continue"/>
            <w:vAlign w:val="center"/>
          </w:tcPr>
          <w:p w14:paraId="3B93E84A">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p>
        </w:tc>
      </w:tr>
      <w:tr w14:paraId="18E67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612" w:type="dxa"/>
            <w:vMerge w:val="continue"/>
            <w:vAlign w:val="center"/>
          </w:tcPr>
          <w:p w14:paraId="75094889">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p>
        </w:tc>
        <w:tc>
          <w:tcPr>
            <w:tcW w:w="693" w:type="dxa"/>
            <w:vMerge w:val="continue"/>
            <w:shd w:val="clear" w:color="auto" w:fill="auto"/>
            <w:vAlign w:val="center"/>
          </w:tcPr>
          <w:p w14:paraId="7BD8769A">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p>
        </w:tc>
        <w:tc>
          <w:tcPr>
            <w:tcW w:w="577" w:type="dxa"/>
            <w:vMerge w:val="continue"/>
            <w:shd w:val="clear" w:color="auto" w:fill="auto"/>
            <w:vAlign w:val="center"/>
          </w:tcPr>
          <w:p w14:paraId="0FDB8EF0">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p>
        </w:tc>
        <w:tc>
          <w:tcPr>
            <w:tcW w:w="1096" w:type="dxa"/>
            <w:shd w:val="clear" w:color="auto" w:fill="auto"/>
            <w:vAlign w:val="center"/>
          </w:tcPr>
          <w:p w14:paraId="5CA37E17">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骶神经刺激经皮延伸导线</w:t>
            </w:r>
          </w:p>
        </w:tc>
        <w:tc>
          <w:tcPr>
            <w:tcW w:w="1050" w:type="dxa"/>
            <w:shd w:val="clear" w:color="auto" w:fill="auto"/>
            <w:vAlign w:val="center"/>
          </w:tcPr>
          <w:p w14:paraId="7E326B90">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7500</w:t>
            </w:r>
          </w:p>
        </w:tc>
        <w:tc>
          <w:tcPr>
            <w:tcW w:w="4315" w:type="dxa"/>
            <w:vMerge w:val="continue"/>
            <w:shd w:val="clear" w:color="auto" w:fill="auto"/>
            <w:vAlign w:val="center"/>
          </w:tcPr>
          <w:p w14:paraId="4FD79793">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p>
        </w:tc>
        <w:tc>
          <w:tcPr>
            <w:tcW w:w="646" w:type="dxa"/>
            <w:vMerge w:val="continue"/>
            <w:shd w:val="clear" w:color="auto" w:fill="auto"/>
            <w:vAlign w:val="center"/>
          </w:tcPr>
          <w:p w14:paraId="0885DA03">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p>
        </w:tc>
        <w:tc>
          <w:tcPr>
            <w:tcW w:w="934" w:type="dxa"/>
            <w:vMerge w:val="continue"/>
            <w:vAlign w:val="center"/>
          </w:tcPr>
          <w:p w14:paraId="6F2F7208">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p>
        </w:tc>
        <w:tc>
          <w:tcPr>
            <w:tcW w:w="577" w:type="dxa"/>
            <w:vMerge w:val="continue"/>
            <w:shd w:val="clear" w:color="auto" w:fill="auto"/>
            <w:vAlign w:val="center"/>
          </w:tcPr>
          <w:p w14:paraId="16310FE0">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p>
        </w:tc>
        <w:tc>
          <w:tcPr>
            <w:tcW w:w="635" w:type="dxa"/>
            <w:vMerge w:val="continue"/>
            <w:vAlign w:val="center"/>
          </w:tcPr>
          <w:p w14:paraId="593C61EF">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p>
        </w:tc>
      </w:tr>
      <w:tr w14:paraId="1560A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612" w:type="dxa"/>
            <w:vMerge w:val="continue"/>
            <w:vAlign w:val="center"/>
          </w:tcPr>
          <w:p w14:paraId="715704F5">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p>
        </w:tc>
        <w:tc>
          <w:tcPr>
            <w:tcW w:w="693" w:type="dxa"/>
            <w:vMerge w:val="continue"/>
            <w:shd w:val="clear" w:color="auto" w:fill="auto"/>
            <w:vAlign w:val="center"/>
          </w:tcPr>
          <w:p w14:paraId="22A99B02">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p>
        </w:tc>
        <w:tc>
          <w:tcPr>
            <w:tcW w:w="577" w:type="dxa"/>
            <w:vMerge w:val="continue"/>
            <w:shd w:val="clear" w:color="auto" w:fill="auto"/>
            <w:vAlign w:val="center"/>
          </w:tcPr>
          <w:p w14:paraId="744625BD">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p>
        </w:tc>
        <w:tc>
          <w:tcPr>
            <w:tcW w:w="1096" w:type="dxa"/>
            <w:shd w:val="clear" w:color="auto" w:fill="auto"/>
            <w:vAlign w:val="center"/>
          </w:tcPr>
          <w:p w14:paraId="184ABE4B">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骶神经刺激器程控仪</w:t>
            </w:r>
          </w:p>
        </w:tc>
        <w:tc>
          <w:tcPr>
            <w:tcW w:w="1050" w:type="dxa"/>
            <w:shd w:val="clear" w:color="auto" w:fill="auto"/>
            <w:vAlign w:val="center"/>
          </w:tcPr>
          <w:p w14:paraId="3F337326">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18800</w:t>
            </w:r>
          </w:p>
        </w:tc>
        <w:tc>
          <w:tcPr>
            <w:tcW w:w="4315" w:type="dxa"/>
            <w:vMerge w:val="continue"/>
            <w:shd w:val="clear" w:color="auto" w:fill="auto"/>
            <w:vAlign w:val="center"/>
          </w:tcPr>
          <w:p w14:paraId="7C72603F">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p>
        </w:tc>
        <w:tc>
          <w:tcPr>
            <w:tcW w:w="646" w:type="dxa"/>
            <w:vMerge w:val="continue"/>
            <w:shd w:val="clear" w:color="auto" w:fill="auto"/>
            <w:vAlign w:val="center"/>
          </w:tcPr>
          <w:p w14:paraId="0ADB3B2C">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p>
        </w:tc>
        <w:tc>
          <w:tcPr>
            <w:tcW w:w="934" w:type="dxa"/>
            <w:vMerge w:val="continue"/>
            <w:vAlign w:val="center"/>
          </w:tcPr>
          <w:p w14:paraId="71F2CEE7">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p>
        </w:tc>
        <w:tc>
          <w:tcPr>
            <w:tcW w:w="577" w:type="dxa"/>
            <w:vMerge w:val="continue"/>
            <w:shd w:val="clear" w:color="auto" w:fill="auto"/>
            <w:vAlign w:val="center"/>
          </w:tcPr>
          <w:p w14:paraId="00009FD4">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p>
        </w:tc>
        <w:tc>
          <w:tcPr>
            <w:tcW w:w="635" w:type="dxa"/>
            <w:vMerge w:val="continue"/>
            <w:vAlign w:val="center"/>
          </w:tcPr>
          <w:p w14:paraId="08CA0881">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p>
        </w:tc>
      </w:tr>
      <w:tr w14:paraId="1590C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3" w:hRule="atLeast"/>
          <w:jc w:val="center"/>
        </w:trPr>
        <w:tc>
          <w:tcPr>
            <w:tcW w:w="612" w:type="dxa"/>
            <w:vAlign w:val="center"/>
          </w:tcPr>
          <w:p w14:paraId="428731DD">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2</w:t>
            </w:r>
          </w:p>
        </w:tc>
        <w:tc>
          <w:tcPr>
            <w:tcW w:w="693" w:type="dxa"/>
            <w:shd w:val="clear" w:color="auto" w:fill="auto"/>
            <w:vAlign w:val="center"/>
          </w:tcPr>
          <w:p w14:paraId="3991713C">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ZCB2026-HC28-168</w:t>
            </w:r>
          </w:p>
        </w:tc>
        <w:tc>
          <w:tcPr>
            <w:tcW w:w="577" w:type="dxa"/>
            <w:shd w:val="clear" w:color="auto" w:fill="auto"/>
            <w:vAlign w:val="center"/>
          </w:tcPr>
          <w:p w14:paraId="7ECB4870">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一次性神经阻滞穿刺套件</w:t>
            </w:r>
          </w:p>
        </w:tc>
        <w:tc>
          <w:tcPr>
            <w:tcW w:w="1096" w:type="dxa"/>
            <w:shd w:val="clear" w:color="auto" w:fill="auto"/>
            <w:vAlign w:val="center"/>
          </w:tcPr>
          <w:p w14:paraId="68A889E4">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一次性神经阻滞穿刺套件</w:t>
            </w:r>
          </w:p>
        </w:tc>
        <w:tc>
          <w:tcPr>
            <w:tcW w:w="1050" w:type="dxa"/>
            <w:shd w:val="clear" w:color="auto" w:fill="auto"/>
            <w:vAlign w:val="center"/>
          </w:tcPr>
          <w:p w14:paraId="068EEA1C">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260</w:t>
            </w:r>
          </w:p>
        </w:tc>
        <w:tc>
          <w:tcPr>
            <w:tcW w:w="4315" w:type="dxa"/>
            <w:shd w:val="clear" w:color="auto" w:fill="auto"/>
            <w:vAlign w:val="center"/>
          </w:tcPr>
          <w:p w14:paraId="4D4EEEB3">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1. 适用范围：适用于神经阻滞麻醉患者，用于超声引导或区域阻滞麻醉操作。</w:t>
            </w:r>
          </w:p>
          <w:p w14:paraId="5F2E87B5">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2. 产品结构：套件应包含以下主要部件：神经阻滞穿刺针、连接管、超声探头套、洞巾、海绵刷。</w:t>
            </w:r>
          </w:p>
          <w:p w14:paraId="79A316F4">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3. 材质与显影要求：穿刺针需具备通体显影性能，在超声或X线等影像引导下清晰可辨，确保穿刺路径可视化。</w:t>
            </w:r>
          </w:p>
          <w:p w14:paraId="7CD341A2">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4. 规格尺寸：需提供完整的规格型号，穿刺针长度与直径应覆盖临床常用范围，建议包含但不限于以下规格：</w:t>
            </w:r>
          </w:p>
          <w:p w14:paraId="5966D019">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穿刺针长度：50mm、80mm、100mm、120mm 等</w:t>
            </w:r>
          </w:p>
          <w:p w14:paraId="04D4D06B">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穿刺针直径：22G、21G、20G、18G 等</w:t>
            </w:r>
          </w:p>
          <w:p w14:paraId="17BE1232">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连接管长度：不小于 80cm，方便操作</w:t>
            </w:r>
          </w:p>
          <w:p w14:paraId="1B161806">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5. 配套设备要求</w:t>
            </w:r>
          </w:p>
          <w:p w14:paraId="28E0D9EB">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无需配套有源设备，但需适配临床常用超声探头使用（超声探头套应适用于主流品牌超声探头尺寸）。</w:t>
            </w:r>
          </w:p>
          <w:p w14:paraId="70700594">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6. 效期要求：产品有效期应在2年以上。</w:t>
            </w:r>
          </w:p>
          <w:p w14:paraId="2CAA61B9">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7. 消毒灭菌要求：产品应为一次性使用，经有效灭菌方式处理（如环氧乙烷灭菌），包装上应有无菌标识，确保拆开即用。</w:t>
            </w:r>
          </w:p>
        </w:tc>
        <w:tc>
          <w:tcPr>
            <w:tcW w:w="646" w:type="dxa"/>
            <w:shd w:val="clear" w:color="auto" w:fill="auto"/>
            <w:vAlign w:val="center"/>
          </w:tcPr>
          <w:p w14:paraId="310C434C">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kern w:val="0"/>
                <w:sz w:val="20"/>
                <w:szCs w:val="20"/>
              </w:rPr>
              <w:t>国产</w:t>
            </w:r>
          </w:p>
        </w:tc>
        <w:tc>
          <w:tcPr>
            <w:tcW w:w="934" w:type="dxa"/>
            <w:vAlign w:val="center"/>
          </w:tcPr>
          <w:p w14:paraId="332D94D0">
            <w:pPr>
              <w:widowControl/>
              <w:ind w:firstLine="200" w:firstLineChars="100"/>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是</w:t>
            </w:r>
          </w:p>
        </w:tc>
        <w:tc>
          <w:tcPr>
            <w:tcW w:w="577" w:type="dxa"/>
            <w:shd w:val="clear" w:color="auto" w:fill="auto"/>
            <w:vAlign w:val="center"/>
          </w:tcPr>
          <w:p w14:paraId="55AC57E6">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麻醉科</w:t>
            </w:r>
          </w:p>
        </w:tc>
        <w:tc>
          <w:tcPr>
            <w:tcW w:w="635" w:type="dxa"/>
            <w:vAlign w:val="center"/>
          </w:tcPr>
          <w:p w14:paraId="1ADF74B5">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开标时请携带所投产品的样品，此样品为综合评分的一部分</w:t>
            </w:r>
          </w:p>
        </w:tc>
      </w:tr>
    </w:tbl>
    <w:p w14:paraId="12D6DF54">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szCs w:val="21"/>
          <w:highlight w:val="yellow"/>
          <w:lang w:eastAsia="zh-CN"/>
        </w:rPr>
        <w:t>：</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w:t>
      </w:r>
      <w:r>
        <w:rPr>
          <w:rFonts w:hint="eastAsia"/>
          <w:szCs w:val="21"/>
          <w:highlight w:val="yellow"/>
          <w:lang w:val="en-US" w:eastAsia="zh-CN"/>
        </w:rPr>
        <w:t>6</w:t>
      </w:r>
      <w:r>
        <w:rPr>
          <w:rFonts w:hint="eastAsia"/>
          <w:szCs w:val="21"/>
          <w:highlight w:val="yellow"/>
        </w:rPr>
        <w:t>年第</w:t>
      </w:r>
      <w:r>
        <w:rPr>
          <w:rFonts w:hint="eastAsia"/>
          <w:szCs w:val="21"/>
        </w:rPr>
        <w:t>**</w:t>
      </w:r>
      <w:r>
        <w:rPr>
          <w:rFonts w:hint="eastAsia"/>
          <w:szCs w:val="21"/>
          <w:highlight w:val="yellow"/>
        </w:rPr>
        <w:t>期医用耗材投标报名及资格审查文件》（报名时提交）</w:t>
      </w:r>
    </w:p>
    <w:p w14:paraId="52E0C0A2">
      <w:pPr>
        <w:pStyle w:val="36"/>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54BB5B39">
      <w:pPr>
        <w:pStyle w:val="36"/>
        <w:ind w:firstLine="0" w:firstLineChars="0"/>
        <w:rPr>
          <w:rFonts w:hint="eastAsia"/>
          <w:szCs w:val="21"/>
        </w:rPr>
      </w:pPr>
      <w:r>
        <w:rPr>
          <w:rFonts w:hint="eastAsia"/>
          <w:szCs w:val="21"/>
          <w:highlight w:val="yellow"/>
        </w:rPr>
        <w:t>附件3：</w:t>
      </w:r>
      <w:r>
        <w:rPr>
          <w:rFonts w:hint="eastAsia"/>
          <w:szCs w:val="21"/>
        </w:rPr>
        <w:t>项目编号+项目名称+供应商名称《</w:t>
      </w:r>
      <w:r>
        <w:rPr>
          <w:rFonts w:hint="eastAsia"/>
          <w:szCs w:val="21"/>
          <w:highlight w:val="yellow"/>
        </w:rPr>
        <w:t>采购文件</w:t>
      </w:r>
      <w:r>
        <w:rPr>
          <w:rFonts w:hint="eastAsia"/>
          <w:szCs w:val="21"/>
        </w:rPr>
        <w:t>》</w:t>
      </w:r>
    </w:p>
    <w:p w14:paraId="3D7C337B">
      <w:pPr>
        <w:widowControl/>
        <w:wordWrap w:val="0"/>
        <w:spacing w:line="420" w:lineRule="exact"/>
        <w:ind w:left="420" w:leftChars="200" w:right="420"/>
        <w:rPr>
          <w:szCs w:val="21"/>
        </w:rPr>
      </w:pPr>
      <w:r>
        <w:rPr>
          <w:rFonts w:hint="eastAsia"/>
          <w:szCs w:val="21"/>
        </w:rPr>
        <w:t>备注：</w:t>
      </w:r>
    </w:p>
    <w:p w14:paraId="55CE61D6">
      <w:pPr>
        <w:pStyle w:val="36"/>
        <w:ind w:firstLine="420"/>
        <w:rPr>
          <w:szCs w:val="21"/>
        </w:rPr>
      </w:pPr>
      <w:r>
        <w:rPr>
          <w:rFonts w:hint="eastAsia"/>
          <w:szCs w:val="21"/>
        </w:rPr>
        <w:t>1.</w:t>
      </w:r>
      <w:r>
        <w:rPr>
          <w:rFonts w:hint="eastAsia"/>
          <w:szCs w:val="21"/>
          <w:lang w:val="en-US" w:eastAsia="zh-CN"/>
        </w:rPr>
        <w:t>附件1里面的</w:t>
      </w:r>
      <w:r>
        <w:rPr>
          <w:rFonts w:hint="eastAsia"/>
          <w:szCs w:val="21"/>
        </w:rPr>
        <w:t>《</w:t>
      </w:r>
      <w:r>
        <w:rPr>
          <w:rFonts w:hint="eastAsia"/>
          <w:szCs w:val="21"/>
          <w:lang w:eastAsia="zh-CN"/>
        </w:rPr>
        <w:t>202</w:t>
      </w:r>
      <w:r>
        <w:rPr>
          <w:rFonts w:hint="eastAsia"/>
          <w:szCs w:val="21"/>
          <w:lang w:val="en-US" w:eastAsia="zh-CN"/>
        </w:rPr>
        <w:t>6</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312EE0D8">
      <w:pPr>
        <w:widowControl/>
        <w:wordWrap w:val="0"/>
        <w:spacing w:line="420" w:lineRule="exact"/>
        <w:ind w:right="420" w:firstLine="420" w:firstLineChars="200"/>
        <w:rPr>
          <w:szCs w:val="21"/>
        </w:rPr>
      </w:pPr>
    </w:p>
    <w:p w14:paraId="7627F1E7">
      <w:pPr>
        <w:widowControl/>
        <w:wordWrap w:val="0"/>
        <w:spacing w:line="420" w:lineRule="exact"/>
        <w:ind w:right="420"/>
        <w:jc w:val="right"/>
        <w:rPr>
          <w:rFonts w:ascii="Tahoma" w:hAnsi="Tahoma" w:cs="Tahoma"/>
          <w:kern w:val="0"/>
          <w:szCs w:val="21"/>
        </w:rPr>
      </w:pPr>
      <w:r>
        <w:rPr>
          <w:rFonts w:hint="eastAsia"/>
          <w:szCs w:val="21"/>
        </w:rPr>
        <w:t>中山大学附属第八医院（深圳福田）</w:t>
      </w:r>
    </w:p>
    <w:p w14:paraId="339DA11A">
      <w:pPr>
        <w:widowControl/>
        <w:wordWrap w:val="0"/>
        <w:spacing w:before="100" w:beforeAutospacing="1" w:after="100" w:afterAutospacing="1" w:line="0" w:lineRule="atLeast"/>
        <w:ind w:right="420" w:firstLine="329"/>
        <w:jc w:val="right"/>
        <w:rPr>
          <w:rFonts w:hint="default" w:ascii="方正小标宋简体" w:hAnsi="方正小标宋简体" w:eastAsia="方正小标宋简体" w:cs="方正小标宋简体"/>
          <w:b/>
          <w:bCs/>
          <w:sz w:val="32"/>
          <w:lang w:val="en-US" w:eastAsia="zh-CN"/>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w:t>
      </w:r>
      <w:r>
        <w:rPr>
          <w:rFonts w:hint="eastAsia" w:ascii="Tahoma" w:hAnsi="Tahoma" w:cs="Tahoma"/>
          <w:color w:val="FF0000"/>
          <w:kern w:val="0"/>
          <w:szCs w:val="21"/>
          <w:lang w:val="en-US" w:eastAsia="zh-CN"/>
        </w:rPr>
        <w:t>6</w:t>
      </w:r>
      <w:r>
        <w:rPr>
          <w:rFonts w:hint="eastAsia" w:ascii="Tahoma" w:hAnsi="Tahoma" w:cs="Tahoma"/>
          <w:color w:val="FF0000"/>
          <w:kern w:val="0"/>
          <w:szCs w:val="21"/>
          <w:lang w:eastAsia="zh-CN"/>
        </w:rPr>
        <w:t>年</w:t>
      </w:r>
      <w:r>
        <w:rPr>
          <w:rFonts w:hint="eastAsia" w:ascii="Tahoma" w:hAnsi="Tahoma" w:cs="Tahoma"/>
          <w:color w:val="FF0000"/>
          <w:kern w:val="0"/>
          <w:szCs w:val="21"/>
          <w:lang w:val="en-US" w:eastAsia="zh-CN"/>
        </w:rPr>
        <w:t>6月18日</w:t>
      </w:r>
    </w:p>
    <w:p w14:paraId="296B0C00">
      <w:pPr>
        <w:pStyle w:val="25"/>
        <w:adjustRightInd w:val="0"/>
        <w:snapToGrid w:val="0"/>
        <w:spacing w:line="360" w:lineRule="auto"/>
        <w:ind w:firstLine="2881"/>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583DAB82">
      <w:pPr>
        <w:pStyle w:val="43"/>
        <w:widowControl/>
        <w:adjustRightInd w:val="0"/>
        <w:snapToGrid w:val="0"/>
        <w:spacing w:line="360" w:lineRule="auto"/>
        <w:rPr>
          <w:rFonts w:hint="eastAsia" w:ascii="宋体" w:hAnsi="宋体" w:eastAsia="宋体" w:cs="宋体"/>
          <w:color w:val="000000" w:themeColor="text1"/>
          <w:kern w:val="0"/>
          <w:sz w:val="24"/>
          <w:highlight w:val="none"/>
          <w:lang w:eastAsia="zh-CN"/>
          <w14:textFill>
            <w14:solidFill>
              <w14:schemeClr w14:val="tx1"/>
            </w14:solidFill>
          </w14:textFill>
        </w:rPr>
      </w:pPr>
      <w:bookmarkStart w:id="2" w:name="_Toc61271840"/>
      <w:r>
        <w:rPr>
          <w:rFonts w:hint="eastAsia" w:ascii="宋体" w:hAnsi="宋体" w:eastAsia="宋体" w:cs="宋体"/>
          <w:color w:val="000000" w:themeColor="text1"/>
          <w:kern w:val="0"/>
          <w:sz w:val="24"/>
          <w:highlight w:val="none"/>
          <w14:textFill>
            <w14:solidFill>
              <w14:schemeClr w14:val="tx1"/>
            </w14:solidFill>
          </w14:textFill>
        </w:rPr>
        <w:t>根据</w:t>
      </w:r>
      <w:r>
        <w:rPr>
          <w:rFonts w:hint="eastAsia" w:ascii="宋体" w:hAnsi="宋体" w:eastAsia="宋体" w:cs="宋体"/>
          <w:color w:val="000000" w:themeColor="text1"/>
          <w:kern w:val="0"/>
          <w:sz w:val="24"/>
          <w:highlight w:val="none"/>
          <w:lang w:val="en-US" w:eastAsia="zh-CN"/>
          <w14:textFill>
            <w14:solidFill>
              <w14:schemeClr w14:val="tx1"/>
            </w14:solidFill>
          </w14:textFill>
        </w:rPr>
        <w:t>党办通〔2026〕33号（</w:t>
      </w:r>
      <w:r>
        <w:rPr>
          <w:rFonts w:hint="eastAsia" w:ascii="宋体" w:hAnsi="宋体" w:eastAsia="宋体" w:cs="宋体"/>
          <w:color w:val="000000" w:themeColor="text1"/>
          <w:kern w:val="0"/>
          <w:sz w:val="24"/>
          <w:highlight w:val="none"/>
          <w14:textFill>
            <w14:solidFill>
              <w14:schemeClr w14:val="tx1"/>
            </w14:solidFill>
          </w14:textFill>
        </w:rPr>
        <w:t>202</w:t>
      </w:r>
      <w:r>
        <w:rPr>
          <w:rFonts w:hint="eastAsia" w:ascii="宋体" w:hAnsi="宋体" w:eastAsia="宋体" w:cs="宋体"/>
          <w:color w:val="000000" w:themeColor="text1"/>
          <w:kern w:val="0"/>
          <w:sz w:val="24"/>
          <w:highlight w:val="none"/>
          <w:lang w:val="en-US" w:eastAsia="zh-CN"/>
          <w14:textFill>
            <w14:solidFill>
              <w14:schemeClr w14:val="tx1"/>
            </w14:solidFill>
          </w14:textFill>
        </w:rPr>
        <w:t>5</w:t>
      </w:r>
      <w:r>
        <w:rPr>
          <w:rFonts w:hint="eastAsia" w:ascii="宋体" w:hAnsi="宋体" w:eastAsia="宋体" w:cs="宋体"/>
          <w:color w:val="000000" w:themeColor="text1"/>
          <w:kern w:val="0"/>
          <w:sz w:val="24"/>
          <w:highlight w:val="none"/>
          <w14:textFill>
            <w14:solidFill>
              <w14:schemeClr w14:val="tx1"/>
            </w14:solidFill>
          </w14:textFill>
        </w:rPr>
        <w:t>年第</w:t>
      </w:r>
      <w:r>
        <w:rPr>
          <w:rFonts w:hint="eastAsia" w:ascii="宋体" w:hAnsi="宋体" w:eastAsia="宋体" w:cs="宋体"/>
          <w:color w:val="000000" w:themeColor="text1"/>
          <w:kern w:val="0"/>
          <w:sz w:val="24"/>
          <w:highlight w:val="none"/>
          <w:lang w:val="en-US" w:eastAsia="zh-CN"/>
          <w14:textFill>
            <w14:solidFill>
              <w14:schemeClr w14:val="tx1"/>
            </w14:solidFill>
          </w14:textFill>
        </w:rPr>
        <w:t>二</w:t>
      </w:r>
      <w:r>
        <w:rPr>
          <w:rFonts w:hint="eastAsia" w:ascii="宋体" w:hAnsi="宋体" w:eastAsia="宋体" w:cs="宋体"/>
          <w:color w:val="000000" w:themeColor="text1"/>
          <w:kern w:val="0"/>
          <w:sz w:val="24"/>
          <w:highlight w:val="none"/>
          <w14:textFill>
            <w14:solidFill>
              <w14:schemeClr w14:val="tx1"/>
            </w14:solidFill>
          </w14:textFill>
        </w:rPr>
        <w:t>次医用耗材管理委员会审议结果</w:t>
      </w:r>
      <w:r>
        <w:rPr>
          <w:rFonts w:hint="eastAsia" w:ascii="宋体" w:hAnsi="宋体" w:eastAsia="宋体" w:cs="宋体"/>
          <w:color w:val="000000" w:themeColor="text1"/>
          <w:kern w:val="0"/>
          <w:sz w:val="24"/>
          <w:highlight w:val="none"/>
          <w:lang w:val="en-US" w:eastAsia="zh-CN"/>
          <w14:textFill>
            <w14:solidFill>
              <w14:schemeClr w14:val="tx1"/>
            </w14:solidFill>
          </w14:textFill>
        </w:rPr>
        <w:t>）的</w:t>
      </w:r>
      <w:r>
        <w:rPr>
          <w:rFonts w:hint="eastAsia" w:ascii="宋体" w:hAnsi="宋体" w:eastAsia="宋体" w:cs="宋体"/>
          <w:color w:val="000000" w:themeColor="text1"/>
          <w:kern w:val="0"/>
          <w:sz w:val="24"/>
          <w:highlight w:val="none"/>
          <w14:textFill>
            <w14:solidFill>
              <w14:schemeClr w14:val="tx1"/>
            </w14:solidFill>
          </w14:textFill>
        </w:rPr>
        <w:t>决议，</w:t>
      </w:r>
      <w:r>
        <w:rPr>
          <w:rFonts w:hint="eastAsia" w:ascii="宋体" w:hAnsi="宋体" w:eastAsia="宋体" w:cs="宋体"/>
          <w:color w:val="000000" w:themeColor="text1"/>
          <w:kern w:val="0"/>
          <w:sz w:val="24"/>
          <w:highlight w:val="none"/>
          <w:lang w:val="en-US" w:eastAsia="zh-CN"/>
          <w14:textFill>
            <w14:solidFill>
              <w14:schemeClr w14:val="tx1"/>
            </w14:solidFill>
          </w14:textFill>
        </w:rPr>
        <w:t>对新准入的项目进行采购</w:t>
      </w:r>
      <w:r>
        <w:rPr>
          <w:rFonts w:hint="eastAsia" w:ascii="宋体" w:hAnsi="宋体" w:eastAsia="宋体" w:cs="宋体"/>
          <w:color w:val="000000" w:themeColor="text1"/>
          <w:kern w:val="0"/>
          <w:sz w:val="24"/>
          <w:highlight w:val="none"/>
          <w14:textFill>
            <w14:solidFill>
              <w14:schemeClr w14:val="tx1"/>
            </w14:solidFill>
          </w14:textFill>
        </w:rPr>
        <w:t>。</w:t>
      </w:r>
    </w:p>
    <w:p w14:paraId="41F4DAAF">
      <w:pPr>
        <w:pStyle w:val="43"/>
        <w:widowControl/>
        <w:numPr>
          <w:ilvl w:val="0"/>
          <w:numId w:val="7"/>
        </w:numPr>
        <w:adjustRightInd w:val="0"/>
        <w:snapToGrid w:val="0"/>
        <w:spacing w:line="360" w:lineRule="auto"/>
        <w:ind w:left="0" w:leftChars="0" w:firstLine="420" w:firstLineChars="0"/>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2"/>
      <w:r>
        <w:rPr>
          <w:rFonts w:hint="eastAsia" w:ascii="宋体" w:hAnsi="宋体" w:eastAsia="宋体" w:cs="宋体"/>
          <w:b/>
          <w:bCs/>
          <w:sz w:val="24"/>
          <w:szCs w:val="24"/>
        </w:rPr>
        <w:t>参数</w:t>
      </w:r>
    </w:p>
    <w:tbl>
      <w:tblPr>
        <w:tblStyle w:val="29"/>
        <w:tblW w:w="111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3"/>
        <w:gridCol w:w="681"/>
        <w:gridCol w:w="808"/>
        <w:gridCol w:w="1096"/>
        <w:gridCol w:w="1050"/>
        <w:gridCol w:w="4315"/>
        <w:gridCol w:w="646"/>
        <w:gridCol w:w="934"/>
        <w:gridCol w:w="577"/>
        <w:gridCol w:w="635"/>
      </w:tblGrid>
      <w:tr w14:paraId="1636B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393" w:type="dxa"/>
            <w:vAlign w:val="center"/>
          </w:tcPr>
          <w:p w14:paraId="0C205656">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681" w:type="dxa"/>
            <w:vAlign w:val="center"/>
          </w:tcPr>
          <w:p w14:paraId="5FF83147">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808" w:type="dxa"/>
            <w:vAlign w:val="center"/>
          </w:tcPr>
          <w:p w14:paraId="5A0C1244">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1096" w:type="dxa"/>
            <w:vAlign w:val="center"/>
          </w:tcPr>
          <w:p w14:paraId="4721F461">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货物名称（参考）</w:t>
            </w:r>
          </w:p>
        </w:tc>
        <w:tc>
          <w:tcPr>
            <w:tcW w:w="1050" w:type="dxa"/>
            <w:vAlign w:val="center"/>
          </w:tcPr>
          <w:p w14:paraId="4C74332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rPr>
              <w:t>单价限价</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★同类耗材不得超过</w:t>
            </w:r>
            <w:r>
              <w:rPr>
                <w:rFonts w:hint="eastAsia" w:asciiTheme="majorEastAsia" w:hAnsiTheme="majorEastAsia" w:eastAsiaTheme="majorEastAsia" w:cstheme="majorEastAsia"/>
                <w:kern w:val="0"/>
                <w:sz w:val="20"/>
                <w:szCs w:val="20"/>
                <w:lang w:val="en-US" w:eastAsia="zh-CN"/>
              </w:rPr>
              <w:t>限价</w:t>
            </w:r>
            <w:r>
              <w:rPr>
                <w:rFonts w:hint="eastAsia" w:asciiTheme="majorEastAsia" w:hAnsiTheme="majorEastAsia" w:eastAsiaTheme="majorEastAsia" w:cstheme="majorEastAsia"/>
                <w:kern w:val="0"/>
                <w:sz w:val="20"/>
                <w:szCs w:val="20"/>
                <w:lang w:eastAsia="zh-CN"/>
              </w:rPr>
              <w:t>）</w:t>
            </w:r>
          </w:p>
        </w:tc>
        <w:tc>
          <w:tcPr>
            <w:tcW w:w="4315" w:type="dxa"/>
            <w:vAlign w:val="center"/>
          </w:tcPr>
          <w:p w14:paraId="300DB6AC">
            <w:pPr>
              <w:widowControl/>
              <w:jc w:val="center"/>
              <w:rPr>
                <w:rFonts w:hint="eastAsia" w:asciiTheme="majorEastAsia" w:hAnsiTheme="majorEastAsia" w:eastAsiaTheme="majorEastAsia" w:cstheme="majorEastAsia"/>
                <w:kern w:val="0"/>
                <w:sz w:val="20"/>
                <w:szCs w:val="20"/>
                <w:lang w:eastAsia="zh-CN"/>
              </w:rPr>
            </w:pPr>
            <w:r>
              <w:rPr>
                <w:rFonts w:hint="eastAsia" w:asciiTheme="majorEastAsia" w:hAnsiTheme="majorEastAsia" w:eastAsiaTheme="majorEastAsia" w:cstheme="majorEastAsia"/>
                <w:kern w:val="0"/>
                <w:sz w:val="20"/>
                <w:szCs w:val="20"/>
              </w:rPr>
              <w:t>技术要求</w:t>
            </w:r>
          </w:p>
        </w:tc>
        <w:tc>
          <w:tcPr>
            <w:tcW w:w="646" w:type="dxa"/>
            <w:vAlign w:val="center"/>
          </w:tcPr>
          <w:p w14:paraId="402000DB">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934" w:type="dxa"/>
            <w:vAlign w:val="center"/>
          </w:tcPr>
          <w:p w14:paraId="602558F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577" w:type="dxa"/>
            <w:vAlign w:val="center"/>
          </w:tcPr>
          <w:p w14:paraId="7C959D5C">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635" w:type="dxa"/>
            <w:vAlign w:val="center"/>
          </w:tcPr>
          <w:p w14:paraId="7F27BC6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样品要求</w:t>
            </w:r>
          </w:p>
        </w:tc>
      </w:tr>
      <w:tr w14:paraId="6B596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393" w:type="dxa"/>
            <w:vMerge w:val="restart"/>
            <w:vAlign w:val="center"/>
          </w:tcPr>
          <w:p w14:paraId="673C8FE9">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1</w:t>
            </w:r>
          </w:p>
        </w:tc>
        <w:tc>
          <w:tcPr>
            <w:tcW w:w="681" w:type="dxa"/>
            <w:vMerge w:val="restart"/>
            <w:shd w:val="clear" w:color="auto" w:fill="auto"/>
            <w:vAlign w:val="center"/>
          </w:tcPr>
          <w:p w14:paraId="16A5981F">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ZCB2026-HC28-167</w:t>
            </w:r>
          </w:p>
        </w:tc>
        <w:tc>
          <w:tcPr>
            <w:tcW w:w="808" w:type="dxa"/>
            <w:vMerge w:val="restart"/>
            <w:shd w:val="clear" w:color="auto" w:fill="auto"/>
            <w:vAlign w:val="center"/>
          </w:tcPr>
          <w:p w14:paraId="5B213002">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植入式骶神经刺激器及套件</w:t>
            </w:r>
          </w:p>
        </w:tc>
        <w:tc>
          <w:tcPr>
            <w:tcW w:w="1096" w:type="dxa"/>
            <w:shd w:val="clear" w:color="auto" w:fill="auto"/>
            <w:vAlign w:val="center"/>
          </w:tcPr>
          <w:p w14:paraId="32CCC427">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体外神经刺激器</w:t>
            </w:r>
          </w:p>
        </w:tc>
        <w:tc>
          <w:tcPr>
            <w:tcW w:w="1050" w:type="dxa"/>
            <w:shd w:val="clear" w:color="auto" w:fill="auto"/>
            <w:vAlign w:val="center"/>
          </w:tcPr>
          <w:p w14:paraId="55D97A58">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6600</w:t>
            </w:r>
          </w:p>
        </w:tc>
        <w:tc>
          <w:tcPr>
            <w:tcW w:w="4315" w:type="dxa"/>
            <w:vMerge w:val="restart"/>
            <w:shd w:val="clear" w:color="auto" w:fill="auto"/>
            <w:vAlign w:val="center"/>
          </w:tcPr>
          <w:p w14:paraId="64851893">
            <w:pPr>
              <w:widowControl/>
              <w:jc w:val="both"/>
              <w:rPr>
                <w:rFonts w:hint="default" w:asciiTheme="majorEastAsia" w:hAnsiTheme="majorEastAsia" w:eastAsiaTheme="majorEastAsia" w:cstheme="majorEastAsia"/>
                <w:b/>
                <w:bCs/>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b/>
                <w:bCs/>
                <w:i w:val="0"/>
                <w:iCs w:val="0"/>
                <w:color w:val="000000"/>
                <w:kern w:val="0"/>
                <w:sz w:val="20"/>
                <w:szCs w:val="20"/>
                <w:highlight w:val="none"/>
                <w:u w:val="none"/>
                <w:lang w:val="en-US" w:eastAsia="zh-CN" w:bidi="ar"/>
              </w:rPr>
              <w:t>一、 植入式骶神经刺激器</w:t>
            </w:r>
          </w:p>
          <w:p w14:paraId="2D496F87">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1、使用范围‌：用于骶神经电刺激，</w:t>
            </w:r>
          </w:p>
          <w:p w14:paraId="1E45B0F3">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2、‌关键配置要求‌：需与植入式骶神经刺激电极配合使用。</w:t>
            </w:r>
          </w:p>
          <w:p w14:paraId="2ECD5F6A">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3、‌材质‌：外罩为钛，电源为锂氟化碳-银钒氧化物混合材质。‌</w:t>
            </w:r>
          </w:p>
          <w:p w14:paraId="75524B56">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b/>
                <w:bCs/>
                <w:i w:val="0"/>
                <w:iCs w:val="0"/>
                <w:color w:val="000000"/>
                <w:kern w:val="0"/>
                <w:sz w:val="20"/>
                <w:szCs w:val="20"/>
                <w:highlight w:val="none"/>
                <w:u w:val="none"/>
                <w:lang w:val="en-US" w:eastAsia="zh-CN" w:bidi="ar"/>
              </w:rPr>
              <w:t>二、 植入式骶神经刺激电极</w:t>
            </w: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w:t>
            </w:r>
          </w:p>
          <w:p w14:paraId="7BBBB3D9">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1、使用范围‌：与植入式/体外骶神经刺激器配套使用，用于骶神经电刺激，治疗尿潴留、膀胱过度活动症及慢性大便失禁。</w:t>
            </w:r>
          </w:p>
          <w:p w14:paraId="63A9784C">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2、‌关键配置要求‌：需与兼容的同品牌骶神经神经刺激器或体外神经刺激器联合使用。</w:t>
            </w:r>
          </w:p>
          <w:p w14:paraId="45AED2C1">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3、‌‌材质‌：电极导线主体-聚氨酯及钽织物</w:t>
            </w:r>
          </w:p>
          <w:p w14:paraId="081D8751">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4、‌产品有效期‌：≥24个月。‌</w:t>
            </w:r>
          </w:p>
          <w:p w14:paraId="46A9EA81">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b/>
                <w:bCs/>
                <w:i w:val="0"/>
                <w:iCs w:val="0"/>
                <w:color w:val="000000"/>
                <w:kern w:val="0"/>
                <w:sz w:val="20"/>
                <w:szCs w:val="20"/>
                <w:highlight w:val="none"/>
                <w:u w:val="none"/>
                <w:lang w:val="en-US" w:eastAsia="zh-CN" w:bidi="ar"/>
              </w:rPr>
              <w:t>三、 经皮延长线</w:t>
            </w: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w:t>
            </w:r>
          </w:p>
          <w:p w14:paraId="6610E8EA">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1、使用范围‌：与植入式/体外骶神经刺激器配套使用，用于骶神经电刺激，治疗尿潴留、膀胱过度活动症及慢性大便失禁。</w:t>
            </w:r>
          </w:p>
          <w:p w14:paraId="55447BCE">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2、‌关键配置要求‌：需与兼容的同品牌的骶神经刺激电极和体外神经刺激器配合使用。</w:t>
            </w:r>
          </w:p>
          <w:p w14:paraId="73DDFE75">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3、‌材质‌：连接器和应力释放装置，硅橡胶。</w:t>
            </w:r>
          </w:p>
          <w:p w14:paraId="16899E21">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4、‌产品有效期‌：≥24个月。‌</w:t>
            </w:r>
          </w:p>
          <w:p w14:paraId="15343922">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b/>
                <w:bCs/>
                <w:i w:val="0"/>
                <w:iCs w:val="0"/>
                <w:color w:val="000000"/>
                <w:kern w:val="0"/>
                <w:sz w:val="20"/>
                <w:szCs w:val="20"/>
                <w:highlight w:val="none"/>
                <w:u w:val="none"/>
                <w:lang w:val="en-US" w:eastAsia="zh-CN" w:bidi="ar"/>
              </w:rPr>
              <w:t>四、 患者程控仪</w:t>
            </w: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w:t>
            </w:r>
          </w:p>
          <w:p w14:paraId="178D07A3">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1、使用范围‌：用来打开或关闭神经刺激器，以及用来调整刺激。</w:t>
            </w:r>
          </w:p>
          <w:p w14:paraId="135FEC3C">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2、‌‌关键配置要求‌：需与同品牌神经刺激器配合使用。</w:t>
            </w:r>
          </w:p>
          <w:p w14:paraId="5F8760F0">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3、‌‌电源‌：充电锂电池。‌</w:t>
            </w:r>
          </w:p>
          <w:p w14:paraId="47E25AB5">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b/>
                <w:bCs/>
                <w:i w:val="0"/>
                <w:iCs w:val="0"/>
                <w:color w:val="000000"/>
                <w:kern w:val="0"/>
                <w:sz w:val="20"/>
                <w:szCs w:val="20"/>
                <w:highlight w:val="none"/>
                <w:u w:val="none"/>
                <w:lang w:val="en-US" w:eastAsia="zh-CN" w:bidi="ar"/>
              </w:rPr>
              <w:t>五、 体外神经刺激器</w:t>
            </w: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w:t>
            </w:r>
          </w:p>
          <w:p w14:paraId="34438B59">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1.使用范围‌：该神经刺激器是神经刺激系统的组成部件之一，用于在电极导线放置或试验刺激效果期间评估神经刺激系统的功效。</w:t>
            </w:r>
          </w:p>
          <w:p w14:paraId="5BD86C41">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2.‌关键配置要求‌：需与体外神经刺激器程控仪配合使用。</w:t>
            </w:r>
          </w:p>
          <w:p w14:paraId="4FCFE79F">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3.‌材质要求‌：外壳材质为聚碳酸酯/ABS混合塑料树脂。</w:t>
            </w:r>
          </w:p>
        </w:tc>
        <w:tc>
          <w:tcPr>
            <w:tcW w:w="646" w:type="dxa"/>
            <w:vMerge w:val="restart"/>
            <w:shd w:val="clear" w:color="auto" w:fill="auto"/>
            <w:vAlign w:val="center"/>
          </w:tcPr>
          <w:p w14:paraId="2D8C6205">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kern w:val="0"/>
                <w:sz w:val="20"/>
                <w:szCs w:val="20"/>
                <w:lang w:val="en-US" w:eastAsia="zh-CN"/>
              </w:rPr>
              <w:t>允许进口</w:t>
            </w:r>
          </w:p>
        </w:tc>
        <w:tc>
          <w:tcPr>
            <w:tcW w:w="934" w:type="dxa"/>
            <w:vMerge w:val="restart"/>
            <w:vAlign w:val="center"/>
          </w:tcPr>
          <w:p w14:paraId="2AFAC7F8">
            <w:pPr>
              <w:widowControl/>
              <w:ind w:firstLine="200" w:firstLineChars="100"/>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是</w:t>
            </w:r>
          </w:p>
        </w:tc>
        <w:tc>
          <w:tcPr>
            <w:tcW w:w="577" w:type="dxa"/>
            <w:vMerge w:val="restart"/>
            <w:shd w:val="clear" w:color="auto" w:fill="auto"/>
            <w:vAlign w:val="center"/>
          </w:tcPr>
          <w:p w14:paraId="16B2AB39">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泌尿外科</w:t>
            </w:r>
          </w:p>
        </w:tc>
        <w:tc>
          <w:tcPr>
            <w:tcW w:w="635" w:type="dxa"/>
            <w:vMerge w:val="restart"/>
            <w:vAlign w:val="center"/>
          </w:tcPr>
          <w:p w14:paraId="5B21E80C">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开标时请携带所投产品的样品，此样品为综合评分的一部分</w:t>
            </w:r>
          </w:p>
        </w:tc>
      </w:tr>
      <w:tr w14:paraId="30A31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393" w:type="dxa"/>
            <w:vMerge w:val="continue"/>
            <w:vAlign w:val="center"/>
          </w:tcPr>
          <w:p w14:paraId="51941C21">
            <w:pPr>
              <w:widowControl/>
              <w:jc w:val="center"/>
            </w:pPr>
          </w:p>
        </w:tc>
        <w:tc>
          <w:tcPr>
            <w:tcW w:w="681" w:type="dxa"/>
            <w:vMerge w:val="continue"/>
            <w:shd w:val="clear" w:color="auto" w:fill="auto"/>
            <w:vAlign w:val="center"/>
          </w:tcPr>
          <w:p w14:paraId="0A9998C2">
            <w:pPr>
              <w:widowControl/>
              <w:jc w:val="center"/>
            </w:pPr>
          </w:p>
        </w:tc>
        <w:tc>
          <w:tcPr>
            <w:tcW w:w="808" w:type="dxa"/>
            <w:vMerge w:val="continue"/>
            <w:shd w:val="clear" w:color="auto" w:fill="auto"/>
            <w:vAlign w:val="center"/>
          </w:tcPr>
          <w:p w14:paraId="09EAB409">
            <w:pPr>
              <w:widowControl/>
              <w:jc w:val="center"/>
            </w:pPr>
          </w:p>
        </w:tc>
        <w:tc>
          <w:tcPr>
            <w:tcW w:w="1096" w:type="dxa"/>
            <w:shd w:val="clear" w:color="auto" w:fill="auto"/>
            <w:vAlign w:val="center"/>
          </w:tcPr>
          <w:p w14:paraId="0866DFC7">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植入式骶神经刺激器</w:t>
            </w:r>
          </w:p>
        </w:tc>
        <w:tc>
          <w:tcPr>
            <w:tcW w:w="1050" w:type="dxa"/>
            <w:shd w:val="clear" w:color="auto" w:fill="auto"/>
            <w:vAlign w:val="center"/>
          </w:tcPr>
          <w:p w14:paraId="7C724F94">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128500</w:t>
            </w:r>
          </w:p>
        </w:tc>
        <w:tc>
          <w:tcPr>
            <w:tcW w:w="4315" w:type="dxa"/>
            <w:vMerge w:val="continue"/>
            <w:shd w:val="clear" w:color="auto" w:fill="auto"/>
            <w:vAlign w:val="center"/>
          </w:tcPr>
          <w:p w14:paraId="5E659B33">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p>
        </w:tc>
        <w:tc>
          <w:tcPr>
            <w:tcW w:w="646" w:type="dxa"/>
            <w:vMerge w:val="continue"/>
            <w:shd w:val="clear" w:color="auto" w:fill="auto"/>
            <w:vAlign w:val="center"/>
          </w:tcPr>
          <w:p w14:paraId="7BD5D4EA">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p>
        </w:tc>
        <w:tc>
          <w:tcPr>
            <w:tcW w:w="934" w:type="dxa"/>
            <w:vMerge w:val="continue"/>
            <w:vAlign w:val="center"/>
          </w:tcPr>
          <w:p w14:paraId="3023F7DA">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p>
        </w:tc>
        <w:tc>
          <w:tcPr>
            <w:tcW w:w="577" w:type="dxa"/>
            <w:vMerge w:val="continue"/>
            <w:shd w:val="clear" w:color="auto" w:fill="auto"/>
            <w:vAlign w:val="center"/>
          </w:tcPr>
          <w:p w14:paraId="5B99A159">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p>
        </w:tc>
        <w:tc>
          <w:tcPr>
            <w:tcW w:w="635" w:type="dxa"/>
            <w:vMerge w:val="continue"/>
            <w:vAlign w:val="center"/>
          </w:tcPr>
          <w:p w14:paraId="0243545D">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p>
        </w:tc>
      </w:tr>
      <w:tr w14:paraId="6C08E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393" w:type="dxa"/>
            <w:vMerge w:val="continue"/>
            <w:vAlign w:val="center"/>
          </w:tcPr>
          <w:p w14:paraId="664F8C57">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p>
        </w:tc>
        <w:tc>
          <w:tcPr>
            <w:tcW w:w="681" w:type="dxa"/>
            <w:vMerge w:val="continue"/>
            <w:shd w:val="clear" w:color="auto" w:fill="auto"/>
            <w:vAlign w:val="center"/>
          </w:tcPr>
          <w:p w14:paraId="505FD6C7">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p>
        </w:tc>
        <w:tc>
          <w:tcPr>
            <w:tcW w:w="808" w:type="dxa"/>
            <w:vMerge w:val="continue"/>
            <w:shd w:val="clear" w:color="auto" w:fill="auto"/>
            <w:vAlign w:val="center"/>
          </w:tcPr>
          <w:p w14:paraId="3A528A58">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p>
        </w:tc>
        <w:tc>
          <w:tcPr>
            <w:tcW w:w="1096" w:type="dxa"/>
            <w:shd w:val="clear" w:color="auto" w:fill="auto"/>
            <w:vAlign w:val="center"/>
          </w:tcPr>
          <w:p w14:paraId="6C73138E">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植入式骶神经刺激电极</w:t>
            </w:r>
          </w:p>
        </w:tc>
        <w:tc>
          <w:tcPr>
            <w:tcW w:w="1050" w:type="dxa"/>
            <w:shd w:val="clear" w:color="auto" w:fill="auto"/>
            <w:vAlign w:val="center"/>
          </w:tcPr>
          <w:p w14:paraId="314E4EF0">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30000</w:t>
            </w:r>
          </w:p>
        </w:tc>
        <w:tc>
          <w:tcPr>
            <w:tcW w:w="4315" w:type="dxa"/>
            <w:vMerge w:val="continue"/>
            <w:shd w:val="clear" w:color="auto" w:fill="auto"/>
            <w:vAlign w:val="center"/>
          </w:tcPr>
          <w:p w14:paraId="1ED849F3">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p>
        </w:tc>
        <w:tc>
          <w:tcPr>
            <w:tcW w:w="646" w:type="dxa"/>
            <w:vMerge w:val="continue"/>
            <w:shd w:val="clear" w:color="auto" w:fill="auto"/>
            <w:vAlign w:val="center"/>
          </w:tcPr>
          <w:p w14:paraId="413F9F6C">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p>
        </w:tc>
        <w:tc>
          <w:tcPr>
            <w:tcW w:w="934" w:type="dxa"/>
            <w:vMerge w:val="continue"/>
            <w:vAlign w:val="center"/>
          </w:tcPr>
          <w:p w14:paraId="7A007C56">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p>
        </w:tc>
        <w:tc>
          <w:tcPr>
            <w:tcW w:w="577" w:type="dxa"/>
            <w:vMerge w:val="continue"/>
            <w:shd w:val="clear" w:color="auto" w:fill="auto"/>
            <w:vAlign w:val="center"/>
          </w:tcPr>
          <w:p w14:paraId="0EC7AC4C">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p>
        </w:tc>
        <w:tc>
          <w:tcPr>
            <w:tcW w:w="635" w:type="dxa"/>
            <w:vMerge w:val="continue"/>
            <w:vAlign w:val="center"/>
          </w:tcPr>
          <w:p w14:paraId="1DC0F561">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p>
        </w:tc>
      </w:tr>
      <w:tr w14:paraId="366DE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393" w:type="dxa"/>
            <w:vMerge w:val="continue"/>
            <w:vAlign w:val="center"/>
          </w:tcPr>
          <w:p w14:paraId="5592C852">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p>
        </w:tc>
        <w:tc>
          <w:tcPr>
            <w:tcW w:w="681" w:type="dxa"/>
            <w:vMerge w:val="continue"/>
            <w:shd w:val="clear" w:color="auto" w:fill="auto"/>
            <w:vAlign w:val="center"/>
          </w:tcPr>
          <w:p w14:paraId="6F225517">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p>
        </w:tc>
        <w:tc>
          <w:tcPr>
            <w:tcW w:w="808" w:type="dxa"/>
            <w:vMerge w:val="continue"/>
            <w:shd w:val="clear" w:color="auto" w:fill="auto"/>
            <w:vAlign w:val="center"/>
          </w:tcPr>
          <w:p w14:paraId="11FB80DD">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p>
        </w:tc>
        <w:tc>
          <w:tcPr>
            <w:tcW w:w="1096" w:type="dxa"/>
            <w:shd w:val="clear" w:color="auto" w:fill="auto"/>
            <w:vAlign w:val="center"/>
          </w:tcPr>
          <w:p w14:paraId="5CCD6BDE">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骶神经刺激经皮延伸导线</w:t>
            </w:r>
          </w:p>
        </w:tc>
        <w:tc>
          <w:tcPr>
            <w:tcW w:w="1050" w:type="dxa"/>
            <w:shd w:val="clear" w:color="auto" w:fill="auto"/>
            <w:vAlign w:val="center"/>
          </w:tcPr>
          <w:p w14:paraId="1019F5EE">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7500</w:t>
            </w:r>
          </w:p>
        </w:tc>
        <w:tc>
          <w:tcPr>
            <w:tcW w:w="4315" w:type="dxa"/>
            <w:vMerge w:val="continue"/>
            <w:shd w:val="clear" w:color="auto" w:fill="auto"/>
            <w:vAlign w:val="center"/>
          </w:tcPr>
          <w:p w14:paraId="59AA524F">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p>
        </w:tc>
        <w:tc>
          <w:tcPr>
            <w:tcW w:w="646" w:type="dxa"/>
            <w:vMerge w:val="continue"/>
            <w:shd w:val="clear" w:color="auto" w:fill="auto"/>
            <w:vAlign w:val="center"/>
          </w:tcPr>
          <w:p w14:paraId="0DF6B87E">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p>
        </w:tc>
        <w:tc>
          <w:tcPr>
            <w:tcW w:w="934" w:type="dxa"/>
            <w:vMerge w:val="continue"/>
            <w:vAlign w:val="center"/>
          </w:tcPr>
          <w:p w14:paraId="538D3AF1">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p>
        </w:tc>
        <w:tc>
          <w:tcPr>
            <w:tcW w:w="577" w:type="dxa"/>
            <w:vMerge w:val="continue"/>
            <w:shd w:val="clear" w:color="auto" w:fill="auto"/>
            <w:vAlign w:val="center"/>
          </w:tcPr>
          <w:p w14:paraId="3068357C">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p>
        </w:tc>
        <w:tc>
          <w:tcPr>
            <w:tcW w:w="635" w:type="dxa"/>
            <w:vMerge w:val="continue"/>
            <w:vAlign w:val="center"/>
          </w:tcPr>
          <w:p w14:paraId="3C571090">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p>
        </w:tc>
      </w:tr>
      <w:tr w14:paraId="7E5BD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393" w:type="dxa"/>
            <w:vMerge w:val="continue"/>
            <w:vAlign w:val="center"/>
          </w:tcPr>
          <w:p w14:paraId="2E6817B2">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p>
        </w:tc>
        <w:tc>
          <w:tcPr>
            <w:tcW w:w="681" w:type="dxa"/>
            <w:vMerge w:val="continue"/>
            <w:shd w:val="clear" w:color="auto" w:fill="auto"/>
            <w:vAlign w:val="center"/>
          </w:tcPr>
          <w:p w14:paraId="7D8F9D4D">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p>
        </w:tc>
        <w:tc>
          <w:tcPr>
            <w:tcW w:w="808" w:type="dxa"/>
            <w:vMerge w:val="continue"/>
            <w:shd w:val="clear" w:color="auto" w:fill="auto"/>
            <w:vAlign w:val="center"/>
          </w:tcPr>
          <w:p w14:paraId="05E5CF14">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p>
        </w:tc>
        <w:tc>
          <w:tcPr>
            <w:tcW w:w="1096" w:type="dxa"/>
            <w:shd w:val="clear" w:color="auto" w:fill="auto"/>
            <w:vAlign w:val="center"/>
          </w:tcPr>
          <w:p w14:paraId="5E3BCC62">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骶神经刺激器程控仪</w:t>
            </w:r>
          </w:p>
        </w:tc>
        <w:tc>
          <w:tcPr>
            <w:tcW w:w="1050" w:type="dxa"/>
            <w:shd w:val="clear" w:color="auto" w:fill="auto"/>
            <w:vAlign w:val="center"/>
          </w:tcPr>
          <w:p w14:paraId="43E53B5F">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18800</w:t>
            </w:r>
          </w:p>
        </w:tc>
        <w:tc>
          <w:tcPr>
            <w:tcW w:w="4315" w:type="dxa"/>
            <w:vMerge w:val="continue"/>
            <w:shd w:val="clear" w:color="auto" w:fill="auto"/>
            <w:vAlign w:val="center"/>
          </w:tcPr>
          <w:p w14:paraId="7A2FE727">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p>
        </w:tc>
        <w:tc>
          <w:tcPr>
            <w:tcW w:w="646" w:type="dxa"/>
            <w:vMerge w:val="continue"/>
            <w:shd w:val="clear" w:color="auto" w:fill="auto"/>
            <w:vAlign w:val="center"/>
          </w:tcPr>
          <w:p w14:paraId="13E7BB79">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p>
        </w:tc>
        <w:tc>
          <w:tcPr>
            <w:tcW w:w="934" w:type="dxa"/>
            <w:vMerge w:val="continue"/>
            <w:vAlign w:val="center"/>
          </w:tcPr>
          <w:p w14:paraId="2EEC6551">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p>
        </w:tc>
        <w:tc>
          <w:tcPr>
            <w:tcW w:w="577" w:type="dxa"/>
            <w:vMerge w:val="continue"/>
            <w:shd w:val="clear" w:color="auto" w:fill="auto"/>
            <w:vAlign w:val="center"/>
          </w:tcPr>
          <w:p w14:paraId="4817CDF6">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p>
        </w:tc>
        <w:tc>
          <w:tcPr>
            <w:tcW w:w="635" w:type="dxa"/>
            <w:vMerge w:val="continue"/>
            <w:vAlign w:val="center"/>
          </w:tcPr>
          <w:p w14:paraId="7E4A9EAB">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p>
        </w:tc>
      </w:tr>
      <w:tr w14:paraId="6FEF4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3" w:hRule="atLeast"/>
          <w:jc w:val="center"/>
        </w:trPr>
        <w:tc>
          <w:tcPr>
            <w:tcW w:w="393" w:type="dxa"/>
            <w:vAlign w:val="center"/>
          </w:tcPr>
          <w:p w14:paraId="301D671C">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2</w:t>
            </w:r>
          </w:p>
        </w:tc>
        <w:tc>
          <w:tcPr>
            <w:tcW w:w="681" w:type="dxa"/>
            <w:shd w:val="clear" w:color="auto" w:fill="auto"/>
            <w:vAlign w:val="center"/>
          </w:tcPr>
          <w:p w14:paraId="4A972202">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ZCB2026-HC28-168</w:t>
            </w:r>
          </w:p>
        </w:tc>
        <w:tc>
          <w:tcPr>
            <w:tcW w:w="808" w:type="dxa"/>
            <w:shd w:val="clear" w:color="auto" w:fill="auto"/>
            <w:vAlign w:val="center"/>
          </w:tcPr>
          <w:p w14:paraId="2B02BF81">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一次性神经阻滞穿刺套件</w:t>
            </w:r>
          </w:p>
        </w:tc>
        <w:tc>
          <w:tcPr>
            <w:tcW w:w="1096" w:type="dxa"/>
            <w:shd w:val="clear" w:color="auto" w:fill="auto"/>
            <w:vAlign w:val="center"/>
          </w:tcPr>
          <w:p w14:paraId="7C27DC61">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一次性神经阻滞穿刺套件</w:t>
            </w:r>
          </w:p>
        </w:tc>
        <w:tc>
          <w:tcPr>
            <w:tcW w:w="1050" w:type="dxa"/>
            <w:shd w:val="clear" w:color="auto" w:fill="auto"/>
            <w:vAlign w:val="center"/>
          </w:tcPr>
          <w:p w14:paraId="4E449AEB">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260</w:t>
            </w:r>
          </w:p>
        </w:tc>
        <w:tc>
          <w:tcPr>
            <w:tcW w:w="4315" w:type="dxa"/>
            <w:shd w:val="clear" w:color="auto" w:fill="auto"/>
            <w:vAlign w:val="center"/>
          </w:tcPr>
          <w:p w14:paraId="58132207">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1. 适用范围：适用于神经阻滞麻醉患者，用于超声引导或区域阻滞麻醉操作。</w:t>
            </w:r>
          </w:p>
          <w:p w14:paraId="3EB95EF5">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2. 产品结构：套件应包含以下主要部件：神经阻滞穿刺针、连接管、超声探头套、洞巾、海绵刷。</w:t>
            </w:r>
          </w:p>
          <w:p w14:paraId="05FB7FFD">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3. 材质与显影要求：穿刺针需具备通体显影性能，在超声或X线等影像引导下清晰可辨，确保穿刺路径可视化。</w:t>
            </w:r>
          </w:p>
          <w:p w14:paraId="0CE5FDFC">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4. 规格尺寸：需提供完整的规格型号，穿刺针长度与直径应覆盖临床常用范围，建议包含但不限于以下规格：</w:t>
            </w:r>
          </w:p>
          <w:p w14:paraId="62FB4EFA">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穿刺针长度：50mm、80mm、100mm、120mm 等</w:t>
            </w:r>
          </w:p>
          <w:p w14:paraId="6382AB3C">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穿刺针直径：22G、21G、20G、18G 等</w:t>
            </w:r>
          </w:p>
          <w:p w14:paraId="7DF88531">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连接管长度：不小于 80cm，方便操作</w:t>
            </w:r>
          </w:p>
          <w:p w14:paraId="47E80952">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5. 配套设备要求</w:t>
            </w:r>
          </w:p>
          <w:p w14:paraId="72B64775">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无需配套有源设备，但需适配临床常用超声探头使用（超声探头套应适用于主流品牌超声探头尺寸）。</w:t>
            </w:r>
          </w:p>
          <w:p w14:paraId="6DDC9506">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6. 效期要求：产品有效期应在2年以上。</w:t>
            </w:r>
          </w:p>
          <w:p w14:paraId="3DE27EBC">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7. 消毒灭菌要求：产品应为一次性使用，经有效灭菌方式处理（如环氧乙烷灭菌），包装上应有无菌标识，确保拆开即用。</w:t>
            </w:r>
          </w:p>
        </w:tc>
        <w:tc>
          <w:tcPr>
            <w:tcW w:w="646" w:type="dxa"/>
            <w:shd w:val="clear" w:color="auto" w:fill="auto"/>
            <w:vAlign w:val="center"/>
          </w:tcPr>
          <w:p w14:paraId="0964387B">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kern w:val="0"/>
                <w:sz w:val="20"/>
                <w:szCs w:val="20"/>
              </w:rPr>
              <w:t>国产</w:t>
            </w:r>
          </w:p>
        </w:tc>
        <w:tc>
          <w:tcPr>
            <w:tcW w:w="934" w:type="dxa"/>
            <w:vAlign w:val="center"/>
          </w:tcPr>
          <w:p w14:paraId="74C3B595">
            <w:pPr>
              <w:widowControl/>
              <w:ind w:firstLine="200" w:firstLineChars="100"/>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是</w:t>
            </w:r>
          </w:p>
        </w:tc>
        <w:tc>
          <w:tcPr>
            <w:tcW w:w="577" w:type="dxa"/>
            <w:shd w:val="clear" w:color="auto" w:fill="auto"/>
            <w:vAlign w:val="center"/>
          </w:tcPr>
          <w:p w14:paraId="60FC6E97">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麻醉科</w:t>
            </w:r>
          </w:p>
        </w:tc>
        <w:tc>
          <w:tcPr>
            <w:tcW w:w="635" w:type="dxa"/>
            <w:vAlign w:val="center"/>
          </w:tcPr>
          <w:p w14:paraId="2C05C82C">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开标时请携带所投产品的样品，此样品为综合评分的一部分</w:t>
            </w:r>
          </w:p>
        </w:tc>
      </w:tr>
    </w:tbl>
    <w:p w14:paraId="778D263D">
      <w:pPr>
        <w:pStyle w:val="43"/>
        <w:widowControl/>
        <w:adjustRightInd w:val="0"/>
        <w:snapToGrid w:val="0"/>
        <w:spacing w:line="360" w:lineRule="auto"/>
        <w:ind w:firstLine="482"/>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w:t>
      </w:r>
      <w:r>
        <w:rPr>
          <w:rFonts w:hint="eastAsia" w:ascii="宋体" w:hAnsi="宋体" w:eastAsia="宋体" w:cs="宋体"/>
          <w:color w:val="000000"/>
          <w:kern w:val="0"/>
          <w:sz w:val="24"/>
          <w:lang w:eastAsia="zh-CN"/>
        </w:rPr>
        <w:t>，</w:t>
      </w:r>
      <w:r>
        <w:rPr>
          <w:rFonts w:hint="eastAsia" w:ascii="宋体" w:hAnsi="宋体" w:eastAsia="宋体" w:cs="宋体"/>
          <w:color w:val="000000"/>
          <w:kern w:val="0"/>
          <w:sz w:val="24"/>
        </w:rPr>
        <w:t xml:space="preserve"> 如后续发现所投标新产品低于我院本次招标价格，供应商需主动来函降低我院供应价格。</w:t>
      </w:r>
    </w:p>
    <w:p w14:paraId="0A6862C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FD4E8C4">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投标文件（1正2副）密封于开标当天带至开标现场，附件1投标文件电子盖章扫描件PDF版用U盘保存，现场提交拷贝。</w:t>
      </w:r>
    </w:p>
    <w:p w14:paraId="7B10C90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t>
      </w:r>
      <w:r>
        <w:rPr>
          <w:rFonts w:hint="eastAsia" w:ascii="宋体" w:hAnsi="宋体" w:eastAsia="宋体" w:cs="宋体"/>
          <w:color w:val="000000"/>
          <w:kern w:val="0"/>
          <w:sz w:val="24"/>
          <w:lang w:eastAsia="zh-CN"/>
        </w:rPr>
        <w:t>：</w:t>
      </w:r>
      <w:r>
        <w:rPr>
          <w:rFonts w:hint="eastAsia" w:ascii="宋体" w:hAnsi="宋体" w:eastAsia="宋体" w:cs="宋体"/>
          <w:color w:val="000000"/>
          <w:kern w:val="0"/>
          <w:sz w:val="24"/>
        </w:rPr>
        <w:t>//www.creditchina.gov.cn/打印企业基础信息及公共信息部分），无行贿犯罪记录。供货商对提供的投标承诺承担法律责任。</w:t>
      </w:r>
    </w:p>
    <w:p w14:paraId="4EA39F76">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F82ACD1">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1"/>
        </w:numPr>
        <w:spacing w:before="260" w:after="260"/>
        <w:jc w:val="center"/>
        <w:outlineLvl w:val="1"/>
        <w:rPr>
          <w:rFonts w:eastAsia="宋体"/>
          <w:b/>
          <w:bCs/>
          <w:kern w:val="0"/>
          <w:sz w:val="30"/>
          <w:szCs w:val="30"/>
        </w:rPr>
      </w:pPr>
      <w:bookmarkStart w:id="3" w:name="_Toc15209"/>
      <w:bookmarkStart w:id="4" w:name="_Toc57128621"/>
      <w:r>
        <w:rPr>
          <w:rFonts w:eastAsia="宋体"/>
          <w:b/>
          <w:bCs/>
          <w:kern w:val="0"/>
          <w:sz w:val="30"/>
          <w:szCs w:val="30"/>
        </w:rPr>
        <w:t>资格性审查表</w:t>
      </w:r>
      <w:bookmarkEnd w:id="3"/>
      <w:bookmarkEnd w:id="4"/>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684C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FC9E186">
            <w:pPr>
              <w:spacing w:line="420" w:lineRule="exact"/>
              <w:jc w:val="center"/>
              <w:rPr>
                <w:rFonts w:hint="eastAsia" w:ascii="Tahoma" w:hAnsi="Tahoma" w:cs="宋体"/>
                <w:kern w:val="0"/>
                <w:szCs w:val="21"/>
                <w:lang w:val="en-US" w:eastAsia="zh-CN"/>
              </w:rPr>
            </w:pPr>
            <w:r>
              <w:rPr>
                <w:rFonts w:hint="eastAsia" w:ascii="Tahoma" w:hAnsi="Tahoma" w:cs="宋体"/>
                <w:kern w:val="0"/>
                <w:szCs w:val="21"/>
                <w:lang w:val="en-US" w:eastAsia="zh-CN"/>
              </w:rPr>
              <w:t>1</w:t>
            </w:r>
          </w:p>
        </w:tc>
        <w:tc>
          <w:tcPr>
            <w:tcW w:w="8953" w:type="dxa"/>
            <w:vAlign w:val="center"/>
          </w:tcPr>
          <w:p w14:paraId="696E1AE0">
            <w:pPr>
              <w:spacing w:line="420" w:lineRule="exact"/>
              <w:jc w:val="left"/>
              <w:rPr>
                <w:rFonts w:hint="eastAsia" w:ascii="Tahoma" w:hAnsi="Tahoma" w:cs="宋体"/>
                <w:kern w:val="0"/>
                <w:szCs w:val="21"/>
              </w:rPr>
            </w:pPr>
            <w:r>
              <w:rPr>
                <w:rFonts w:hint="eastAsia" w:ascii="Tahoma" w:hAnsi="Tahoma" w:cs="宋体"/>
                <w:kern w:val="0"/>
                <w:szCs w:val="21"/>
                <w:lang w:val="en-US" w:eastAsia="zh-CN"/>
              </w:rPr>
              <w:t>采购文件要求执行深圳市阳光平台线上采购的项目，供应商必须提供阳光平台产品代码及截图，否则不予接受报名。</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F613CA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2</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t>
            </w:r>
            <w:r>
              <w:rPr>
                <w:rFonts w:hint="eastAsia"/>
                <w:color w:val="000000"/>
                <w:lang w:eastAsia="zh-CN"/>
              </w:rPr>
              <w:t>：</w:t>
            </w:r>
            <w:r>
              <w:rPr>
                <w:rFonts w:hint="eastAsia"/>
                <w:color w:val="000000"/>
              </w:rPr>
              <w:t>//www.nmpa.gov.cn；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215DFD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3</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532CB064">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4</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AC80315">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5</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t>
            </w:r>
            <w:r>
              <w:rPr>
                <w:rFonts w:hint="eastAsia"/>
                <w:lang w:eastAsia="zh-CN"/>
              </w:rPr>
              <w:t>：</w:t>
            </w:r>
            <w:r>
              <w:rPr>
                <w:rFonts w:hint="eastAsia"/>
              </w:rPr>
              <w:t>//www.ccgp.gov.cn/search/cr/）、深圳市政府采购监管网（http</w:t>
            </w:r>
            <w:r>
              <w:rPr>
                <w:rFonts w:hint="eastAsia"/>
                <w:lang w:eastAsia="zh-CN"/>
              </w:rPr>
              <w:t>：</w:t>
            </w:r>
            <w:r>
              <w:rPr>
                <w:rFonts w:hint="eastAsia"/>
              </w:rPr>
              <w:t>//zfcg.sz.gov.cn/cgjg/cxda/index.html））</w:t>
            </w:r>
            <w:r>
              <w:rPr>
                <w:rFonts w:hint="eastAsia" w:ascii="Tahoma" w:hAnsi="Tahoma" w:cs="宋体"/>
                <w:color w:val="000000"/>
                <w:kern w:val="0"/>
                <w:szCs w:val="21"/>
              </w:rPr>
              <w:t>。</w:t>
            </w:r>
          </w:p>
        </w:tc>
      </w:tr>
      <w:tr w14:paraId="5C947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0F08BF6B">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6</w:t>
            </w:r>
          </w:p>
        </w:tc>
        <w:tc>
          <w:tcPr>
            <w:tcW w:w="8953" w:type="dxa"/>
            <w:vAlign w:val="center"/>
          </w:tcPr>
          <w:p w14:paraId="0CEA2A17">
            <w:pPr>
              <w:numPr>
                <w:ilvl w:val="0"/>
                <w:numId w:val="0"/>
              </w:numPr>
              <w:spacing w:line="420" w:lineRule="exact"/>
              <w:jc w:val="left"/>
              <w:rPr>
                <w:rFonts w:hint="eastAsia" w:ascii="Tahoma" w:hAnsi="Tahoma" w:cs="宋体"/>
                <w:color w:val="000000"/>
                <w:kern w:val="0"/>
                <w:szCs w:val="21"/>
              </w:rPr>
            </w:pPr>
            <w:r>
              <w:rPr>
                <w:rFonts w:hint="eastAsia"/>
                <w:color w:val="000000"/>
                <w:highlight w:val="yellow"/>
                <w:lang w:val="en-US" w:eastAsia="zh-CN"/>
              </w:rPr>
              <w:t>投标人未被列入中大八院失信黑名单供应商。</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FAFA1D9">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7</w:t>
            </w:r>
          </w:p>
        </w:tc>
        <w:tc>
          <w:tcPr>
            <w:tcW w:w="8953" w:type="dxa"/>
            <w:vAlign w:val="center"/>
          </w:tcPr>
          <w:p w14:paraId="1E203C01">
            <w:pPr>
              <w:autoSpaceDE w:val="0"/>
              <w:autoSpaceDN w:val="0"/>
              <w:adjustRightInd w:val="0"/>
              <w:snapToGrid w:val="0"/>
              <w:jc w:val="left"/>
            </w:pPr>
            <w:r>
              <w:rPr>
                <w:rFonts w:hint="eastAsia" w:eastAsia="宋体"/>
                <w:szCs w:val="21"/>
                <w:highlight w:val="yellow"/>
                <w:lang w:val="en-US" w:eastAsia="zh-CN"/>
              </w:rPr>
              <w:t>提供加盖公章的《供应商基本情况表》（格式详见采购文件），并按照表中要求提供法定代表人、主要经营负责人、项目投标授权代表人、项目负责人、主要技术人员、投标文件编制人员最近一个月的社会保险证明材料（社会保险证明材料中须体现社保缴纳单位和缴纳月份）。</w:t>
            </w:r>
          </w:p>
        </w:tc>
      </w:tr>
      <w:tr w14:paraId="35008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6E4814E">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8</w:t>
            </w:r>
          </w:p>
        </w:tc>
        <w:tc>
          <w:tcPr>
            <w:tcW w:w="8953" w:type="dxa"/>
            <w:vAlign w:val="center"/>
          </w:tcPr>
          <w:p w14:paraId="3D01A0A8">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5F72050B">
            <w:pPr>
              <w:autoSpaceDE w:val="0"/>
              <w:autoSpaceDN w:val="0"/>
              <w:adjustRightInd w:val="0"/>
              <w:snapToGrid w:val="0"/>
              <w:jc w:val="left"/>
              <w:rPr>
                <w:rFonts w:eastAsia="宋体"/>
                <w:szCs w:val="21"/>
                <w:highlight w:val="yellow"/>
              </w:rPr>
            </w:pPr>
            <w:r>
              <w:rPr>
                <w:rFonts w:hint="eastAsia" w:eastAsia="宋体"/>
                <w:szCs w:val="21"/>
                <w:highlight w:val="yellow"/>
              </w:rPr>
              <w:t>（https</w:t>
            </w:r>
            <w:r>
              <w:rPr>
                <w:rFonts w:hint="eastAsia" w:eastAsia="宋体"/>
                <w:szCs w:val="21"/>
                <w:highlight w:val="yellow"/>
                <w:lang w:eastAsia="zh-CN"/>
              </w:rPr>
              <w:t>：</w:t>
            </w:r>
            <w:r>
              <w:rPr>
                <w:rFonts w:hint="eastAsia" w:eastAsia="宋体"/>
                <w:szCs w:val="21"/>
                <w:highlight w:val="yellow"/>
              </w:rPr>
              <w:t>//www.gsxt.gov.cn/index.html）、全国社会组织信用信息公示平台（https</w:t>
            </w:r>
            <w:r>
              <w:rPr>
                <w:rFonts w:hint="eastAsia" w:eastAsia="宋体"/>
                <w:szCs w:val="21"/>
                <w:highlight w:val="yellow"/>
                <w:lang w:eastAsia="zh-CN"/>
              </w:rPr>
              <w:t>：</w:t>
            </w:r>
            <w:r>
              <w:rPr>
                <w:rFonts w:hint="eastAsia" w:eastAsia="宋体"/>
                <w:szCs w:val="21"/>
                <w:highlight w:val="yellow"/>
              </w:rPr>
              <w:t>//xxgs.chinanpo.mca.gov.cn/gsxt/newList）等网站（投标人出具承诺函）</w:t>
            </w:r>
          </w:p>
          <w:p w14:paraId="6B802A19">
            <w:pPr>
              <w:tabs>
                <w:tab w:val="left" w:pos="612"/>
              </w:tabs>
              <w:rPr>
                <w:rFonts w:hint="eastAsia"/>
                <w:highlight w:val="yellow"/>
              </w:rPr>
            </w:pPr>
            <w:r>
              <w:rPr>
                <w:rFonts w:hint="eastAsia"/>
                <w:highlight w:val="yellow"/>
              </w:rPr>
              <w:t>控股关系包括：出资额占有限责任公司资本总额超过百分之五十或者其持有的股份占股份有限公司股本总额超过百分之五十的股东</w:t>
            </w:r>
            <w:r>
              <w:rPr>
                <w:rFonts w:hint="eastAsia"/>
                <w:highlight w:val="yellow"/>
                <w:lang w:eastAsia="zh-CN"/>
              </w:rPr>
              <w:t>；</w:t>
            </w:r>
            <w:r>
              <w:rPr>
                <w:rFonts w:hint="eastAsia"/>
                <w:highlight w:val="yellow"/>
              </w:rPr>
              <w:t>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r w14:paraId="4198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D395391">
            <w:pPr>
              <w:tabs>
                <w:tab w:val="left" w:pos="176"/>
                <w:tab w:val="left" w:pos="612"/>
              </w:tabs>
              <w:ind w:firstLine="210" w:firstLineChars="100"/>
              <w:rPr>
                <w:rFonts w:hint="default"/>
                <w:lang w:val="en-US" w:eastAsia="zh-CN"/>
              </w:rPr>
            </w:pPr>
            <w:r>
              <w:rPr>
                <w:rFonts w:hint="eastAsia"/>
                <w:lang w:val="en-US" w:eastAsia="zh-CN"/>
              </w:rPr>
              <w:t>9</w:t>
            </w:r>
          </w:p>
        </w:tc>
        <w:tc>
          <w:tcPr>
            <w:tcW w:w="8953" w:type="dxa"/>
            <w:vAlign w:val="center"/>
          </w:tcPr>
          <w:p w14:paraId="1F1AF27C">
            <w:pPr>
              <w:numPr>
                <w:ilvl w:val="0"/>
                <w:numId w:val="0"/>
              </w:numPr>
              <w:spacing w:line="420" w:lineRule="exact"/>
              <w:jc w:val="left"/>
              <w:rPr>
                <w:rFonts w:hint="eastAsia"/>
                <w:highlight w:val="yellow"/>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4F716D2C">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w:t>
      </w:r>
      <w:r>
        <w:rPr>
          <w:rFonts w:hint="eastAsia" w:ascii="方正小标宋简体" w:hAnsi="方正小标宋简体" w:eastAsia="方正小标宋简体" w:cs="方正小标宋简体"/>
          <w:bCs/>
          <w:szCs w:val="21"/>
          <w:lang w:eastAsia="zh-CN"/>
        </w:rPr>
        <w:t>，</w:t>
      </w:r>
      <w:r>
        <w:rPr>
          <w:rFonts w:hint="eastAsia" w:ascii="方正小标宋简体" w:hAnsi="方正小标宋简体" w:eastAsia="方正小标宋简体" w:cs="方正小标宋简体"/>
          <w:bCs/>
          <w:szCs w:val="21"/>
        </w:rPr>
        <w:t>对缺漏或不符合项将直接导致无效投标。</w:t>
      </w:r>
    </w:p>
    <w:p w14:paraId="22D9391B">
      <w:pPr>
        <w:spacing w:line="400" w:lineRule="exact"/>
        <w:jc w:val="center"/>
        <w:rPr>
          <w:rFonts w:ascii="方正小标宋简体" w:hAnsi="方正小标宋简体" w:eastAsia="方正小标宋简体" w:cs="方正小标宋简体"/>
          <w:bCs/>
          <w:sz w:val="32"/>
          <w:szCs w:val="32"/>
        </w:rPr>
      </w:pPr>
    </w:p>
    <w:p w14:paraId="37EE2C10">
      <w:pPr>
        <w:numPr>
          <w:ilvl w:val="0"/>
          <w:numId w:val="0"/>
        </w:numPr>
        <w:spacing w:line="400" w:lineRule="exact"/>
        <w:ind w:left="0" w:leftChars="0" w:firstLine="420" w:firstLineChars="0"/>
        <w:jc w:val="center"/>
        <w:rPr>
          <w:rFonts w:eastAsia="宋体"/>
          <w:b/>
          <w:bCs/>
          <w:kern w:val="0"/>
          <w:sz w:val="30"/>
          <w:szCs w:val="30"/>
        </w:rPr>
      </w:pPr>
      <w:r>
        <w:rPr>
          <w:rFonts w:hint="eastAsia" w:ascii="Times New Roman" w:hAnsi="Times New Roman" w:eastAsia="宋体" w:cs="Times New Roman"/>
          <w:b/>
          <w:bCs/>
          <w:kern w:val="0"/>
          <w:sz w:val="30"/>
          <w:szCs w:val="30"/>
          <w:lang w:val="en-US" w:eastAsia="zh-CN" w:bidi="ar-SA"/>
        </w:rPr>
        <w:t>（</w:t>
      </w:r>
      <w:r>
        <w:rPr>
          <w:rFonts w:hint="eastAsia" w:eastAsia="宋体" w:cs="Times New Roman"/>
          <w:b/>
          <w:bCs/>
          <w:kern w:val="0"/>
          <w:sz w:val="30"/>
          <w:szCs w:val="30"/>
          <w:lang w:val="en-US" w:eastAsia="zh-CN" w:bidi="ar-SA"/>
        </w:rPr>
        <w:t>二</w:t>
      </w:r>
      <w:r>
        <w:rPr>
          <w:rFonts w:hint="eastAsia" w:ascii="Times New Roman" w:hAnsi="Times New Roman" w:eastAsia="宋体" w:cs="Times New Roman"/>
          <w:b/>
          <w:bCs/>
          <w:kern w:val="0"/>
          <w:sz w:val="30"/>
          <w:szCs w:val="30"/>
          <w:lang w:val="en-US" w:eastAsia="zh-CN" w:bidi="ar-SA"/>
        </w:rPr>
        <w:t>）</w:t>
      </w: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EBD6783">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bl>
    <w:p w14:paraId="742D4902">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w:t>
      </w:r>
      <w:r>
        <w:rPr>
          <w:rFonts w:hint="eastAsia" w:ascii="方正小标宋简体" w:hAnsi="方正小标宋简体" w:eastAsia="方正小标宋简体" w:cs="方正小标宋简体"/>
          <w:bCs/>
          <w:szCs w:val="21"/>
          <w:lang w:eastAsia="zh-CN"/>
        </w:rPr>
        <w:t>，</w:t>
      </w:r>
      <w:r>
        <w:rPr>
          <w:rFonts w:hint="eastAsia" w:ascii="方正小标宋简体" w:hAnsi="方正小标宋简体" w:eastAsia="方正小标宋简体" w:cs="方正小标宋简体"/>
          <w:bCs/>
          <w:szCs w:val="21"/>
        </w:rPr>
        <w:t>对缺漏或不符合项将直接导致无效投标。</w:t>
      </w:r>
    </w:p>
    <w:p w14:paraId="13C8A79E">
      <w:pPr>
        <w:pStyle w:val="36"/>
        <w:ind w:firstLine="420"/>
      </w:pP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1893B1D">
            <w:pPr>
              <w:spacing w:line="240" w:lineRule="exact"/>
              <w:jc w:val="center"/>
              <w:rPr>
                <w:rFonts w:ascii="黑体" w:hAnsi="黑体" w:eastAsia="黑体"/>
                <w:sz w:val="24"/>
              </w:rPr>
            </w:pPr>
            <w:r>
              <w:rPr>
                <w:rFonts w:hint="eastAsia" w:ascii="黑体" w:hAnsi="黑体" w:eastAsia="黑体"/>
                <w:sz w:val="24"/>
              </w:rPr>
              <w:t>55</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0D5891F3">
            <w:pPr>
              <w:spacing w:line="240" w:lineRule="exact"/>
              <w:jc w:val="center"/>
              <w:rPr>
                <w:rFonts w:ascii="宋体"/>
                <w:sz w:val="24"/>
              </w:rPr>
            </w:pPr>
          </w:p>
        </w:tc>
        <w:tc>
          <w:tcPr>
            <w:tcW w:w="784" w:type="dxa"/>
            <w:vAlign w:val="center"/>
          </w:tcPr>
          <w:p w14:paraId="3A0EE46D">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2F0617F1">
            <w:pPr>
              <w:spacing w:line="240" w:lineRule="exact"/>
              <w:jc w:val="center"/>
              <w:rPr>
                <w:rFonts w:ascii="宋体"/>
                <w:sz w:val="24"/>
              </w:rPr>
            </w:pPr>
          </w:p>
        </w:tc>
        <w:tc>
          <w:tcPr>
            <w:tcW w:w="784" w:type="dxa"/>
            <w:vAlign w:val="center"/>
          </w:tcPr>
          <w:p w14:paraId="5321604C">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E6B804D">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09AF0E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6A299F0B">
            <w:pPr>
              <w:rPr>
                <w:rFonts w:hint="eastAsia" w:eastAsiaTheme="minorEastAsia"/>
                <w:b/>
                <w:bCs/>
                <w:lang w:eastAsia="zh-CN"/>
              </w:rPr>
            </w:pPr>
            <w:r>
              <w:rPr>
                <w:rFonts w:hint="eastAsia"/>
                <w:b/>
                <w:bCs/>
              </w:rPr>
              <w:t>（一）评分内容</w:t>
            </w:r>
            <w:r>
              <w:rPr>
                <w:rFonts w:hint="eastAsia"/>
                <w:b/>
                <w:bCs/>
                <w:lang w:eastAsia="zh-CN"/>
              </w:rPr>
              <w:t>：</w:t>
            </w:r>
          </w:p>
          <w:p w14:paraId="2E9CDA44">
            <w:pPr>
              <w:rPr>
                <w:rFonts w:hint="eastAsia" w:eastAsiaTheme="minorEastAsia"/>
                <w:lang w:eastAsia="zh-CN"/>
              </w:rPr>
            </w:pPr>
            <w:r>
              <w:rPr>
                <w:rFonts w:hint="eastAsia"/>
              </w:rPr>
              <w:t>评审专家通过对样品、产品系列完整性、产品质量安全性、产品稳定性等方面综合评价</w:t>
            </w:r>
            <w:r>
              <w:rPr>
                <w:rFonts w:hint="eastAsia"/>
                <w:lang w:eastAsia="zh-CN"/>
              </w:rPr>
              <w:t>：</w:t>
            </w:r>
          </w:p>
          <w:p w14:paraId="145F98F4">
            <w:r>
              <w:rPr>
                <w:rFonts w:hint="eastAsia"/>
              </w:rPr>
              <w:t>1.产品种类和产品系列完整，产品规格多样</w:t>
            </w:r>
            <w:r>
              <w:rPr>
                <w:rFonts w:hint="eastAsia"/>
                <w:lang w:eastAsia="zh-CN"/>
              </w:rPr>
              <w:t>；</w:t>
            </w:r>
            <w:r>
              <w:rPr>
                <w:rFonts w:hint="eastAsia"/>
              </w:rPr>
              <w:t>且能满足临床实际需求；</w:t>
            </w:r>
          </w:p>
          <w:p w14:paraId="52A374AB">
            <w:r>
              <w:rPr>
                <w:rFonts w:hint="eastAsia"/>
              </w:rPr>
              <w:t>2.产品先进，符合临床实际需求；</w:t>
            </w:r>
          </w:p>
          <w:p w14:paraId="6E43F70B">
            <w:r>
              <w:rPr>
                <w:rFonts w:hint="eastAsia"/>
              </w:rPr>
              <w:t>3.产品稳定、可靠.；</w:t>
            </w:r>
          </w:p>
          <w:p w14:paraId="37E08386">
            <w:r>
              <w:rPr>
                <w:rFonts w:hint="eastAsia"/>
              </w:rPr>
              <w:t>4、产品的材质或材料生物相容性高；设计合理，符合临床使用需求；</w:t>
            </w:r>
          </w:p>
          <w:p w14:paraId="64CA5DC1">
            <w:r>
              <w:rPr>
                <w:rFonts w:hint="eastAsia"/>
              </w:rPr>
              <w:t>5、产品的包装安全、便捷。</w:t>
            </w:r>
          </w:p>
          <w:p w14:paraId="77DAE3BB">
            <w:r>
              <w:rPr>
                <w:rFonts w:hint="eastAsia"/>
              </w:rPr>
              <w:t>6.评标专家根据现场提供样品符合采购文件技术要求，并与所投规格相符；（未按要求提供样品此项则判定为不满足）</w:t>
            </w:r>
          </w:p>
          <w:p w14:paraId="747EC6F5">
            <w:pPr>
              <w:rPr>
                <w:rFonts w:hint="eastAsia" w:eastAsiaTheme="minorEastAsia"/>
                <w:b/>
                <w:bCs/>
                <w:lang w:eastAsia="zh-CN"/>
              </w:rPr>
            </w:pPr>
            <w:r>
              <w:rPr>
                <w:rFonts w:hint="eastAsia"/>
                <w:b/>
                <w:bCs/>
                <w:lang w:eastAsia="zh-CN"/>
              </w:rPr>
              <w:t>（</w:t>
            </w:r>
            <w:r>
              <w:rPr>
                <w:rFonts w:hint="eastAsia"/>
                <w:b/>
                <w:bCs/>
              </w:rPr>
              <w:t>二</w:t>
            </w:r>
            <w:r>
              <w:rPr>
                <w:rFonts w:hint="eastAsia"/>
                <w:b/>
                <w:bCs/>
                <w:lang w:eastAsia="zh-CN"/>
              </w:rPr>
              <w:t>）</w:t>
            </w:r>
            <w:r>
              <w:rPr>
                <w:rFonts w:hint="eastAsia"/>
                <w:b/>
                <w:bCs/>
              </w:rPr>
              <w:t xml:space="preserve"> 评分依据</w:t>
            </w:r>
            <w:r>
              <w:rPr>
                <w:rFonts w:hint="eastAsia"/>
                <w:b/>
                <w:bCs/>
                <w:lang w:eastAsia="zh-CN"/>
              </w:rPr>
              <w:t>：</w:t>
            </w:r>
          </w:p>
          <w:p w14:paraId="2330A9D0">
            <w:pPr>
              <w:rPr>
                <w:rFonts w:hint="eastAsia" w:eastAsiaTheme="minorEastAsia"/>
                <w:lang w:eastAsia="zh-CN"/>
              </w:rPr>
            </w:pPr>
            <w:r>
              <w:rPr>
                <w:rFonts w:hint="eastAsia"/>
              </w:rPr>
              <w:t>1.满足以上6项，且专家评审为优得 55 分</w:t>
            </w:r>
            <w:r>
              <w:rPr>
                <w:rFonts w:hint="eastAsia"/>
                <w:lang w:eastAsia="zh-CN"/>
              </w:rPr>
              <w:t>；</w:t>
            </w:r>
          </w:p>
          <w:p w14:paraId="3E71597F">
            <w:pPr>
              <w:rPr>
                <w:rFonts w:hint="eastAsia" w:eastAsiaTheme="minorEastAsia"/>
                <w:lang w:eastAsia="zh-CN"/>
              </w:rPr>
            </w:pPr>
            <w:r>
              <w:rPr>
                <w:rFonts w:hint="eastAsia"/>
              </w:rPr>
              <w:t>2.满足以上5项，且专家评审为良得 45分</w:t>
            </w:r>
            <w:r>
              <w:rPr>
                <w:rFonts w:hint="eastAsia"/>
                <w:lang w:eastAsia="zh-CN"/>
              </w:rPr>
              <w:t>；</w:t>
            </w:r>
          </w:p>
          <w:p w14:paraId="0836EE6C">
            <w:pPr>
              <w:rPr>
                <w:rFonts w:hint="eastAsia" w:eastAsiaTheme="minorEastAsia"/>
                <w:lang w:eastAsia="zh-CN"/>
              </w:rPr>
            </w:pPr>
            <w:r>
              <w:rPr>
                <w:rFonts w:hint="eastAsia"/>
              </w:rPr>
              <w:t>3.满足以上4项，且专家评审为中得 35分</w:t>
            </w:r>
            <w:r>
              <w:rPr>
                <w:rFonts w:hint="eastAsia"/>
                <w:lang w:eastAsia="zh-CN"/>
              </w:rPr>
              <w:t>；</w:t>
            </w:r>
          </w:p>
          <w:p w14:paraId="2FBD64D8">
            <w:pPr>
              <w:spacing w:line="280" w:lineRule="exact"/>
              <w:jc w:val="left"/>
              <w:rPr>
                <w:rFonts w:hint="eastAsia" w:eastAsiaTheme="minorEastAsia"/>
                <w:lang w:eastAsia="zh-CN"/>
              </w:rPr>
            </w:pPr>
            <w:r>
              <w:rPr>
                <w:rFonts w:hint="eastAsia"/>
              </w:rPr>
              <w:t>4.满足以上3项，且专家评审为一般得15分</w:t>
            </w:r>
            <w:r>
              <w:rPr>
                <w:rFonts w:hint="eastAsia"/>
                <w:lang w:eastAsia="zh-CN"/>
              </w:rPr>
              <w:t>；</w:t>
            </w:r>
          </w:p>
          <w:p w14:paraId="001440A7">
            <w:pPr>
              <w:spacing w:line="280" w:lineRule="exact"/>
              <w:jc w:val="left"/>
              <w:rPr>
                <w:rFonts w:hint="eastAsia" w:eastAsiaTheme="minorEastAsia"/>
                <w:lang w:eastAsia="zh-CN"/>
              </w:rPr>
            </w:pPr>
            <w:r>
              <w:rPr>
                <w:rFonts w:hint="eastAsia"/>
              </w:rPr>
              <w:t>5.满足以上2 项，且专家评审为差得5分</w:t>
            </w:r>
            <w:r>
              <w:rPr>
                <w:rFonts w:hint="eastAsia"/>
                <w:lang w:eastAsia="zh-CN"/>
              </w:rPr>
              <w:t>；</w:t>
            </w:r>
          </w:p>
          <w:p w14:paraId="08BC94F8">
            <w:pPr>
              <w:pStyle w:val="28"/>
              <w:spacing w:line="280" w:lineRule="exact"/>
              <w:ind w:left="0" w:firstLine="0" w:firstLineChars="0"/>
              <w:jc w:val="left"/>
            </w:pPr>
            <w:r>
              <w:rPr>
                <w:rFonts w:hint="eastAsia"/>
              </w:rPr>
              <w:t>其他情况不得分。</w:t>
            </w:r>
          </w:p>
          <w:p w14:paraId="21C23BC4">
            <w:pPr>
              <w:spacing w:line="280" w:lineRule="exact"/>
              <w:jc w:val="left"/>
              <w:rPr>
                <w:rFonts w:eastAsia="宋体"/>
              </w:rPr>
            </w:pP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2EDFAFBF">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25918968">
            <w:pPr>
              <w:spacing w:line="240" w:lineRule="exact"/>
              <w:jc w:val="center"/>
              <w:rPr>
                <w:rFonts w:ascii="宋体"/>
                <w:sz w:val="24"/>
              </w:rPr>
            </w:pPr>
          </w:p>
        </w:tc>
        <w:tc>
          <w:tcPr>
            <w:tcW w:w="2900" w:type="dxa"/>
            <w:gridSpan w:val="2"/>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1D3D1344">
            <w:pPr>
              <w:spacing w:line="240" w:lineRule="exact"/>
              <w:jc w:val="center"/>
              <w:rPr>
                <w:rFonts w:ascii="宋体"/>
                <w:sz w:val="24"/>
              </w:rPr>
            </w:pPr>
          </w:p>
        </w:tc>
        <w:tc>
          <w:tcPr>
            <w:tcW w:w="2900" w:type="dxa"/>
            <w:gridSpan w:val="2"/>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02192E7F">
            <w:pPr>
              <w:rPr>
                <w:rFonts w:hint="eastAsia"/>
              </w:rPr>
            </w:pPr>
            <w:r>
              <w:rPr>
                <w:rFonts w:hint="eastAsia" w:ascii="宋体" w:hAnsi="宋体" w:eastAsia="宋体" w:cs="宋体"/>
                <w:sz w:val="24"/>
              </w:rPr>
              <w:t>评</w:t>
            </w:r>
            <w:r>
              <w:rPr>
                <w:rFonts w:hint="eastAsia"/>
              </w:rPr>
              <w:t>标专家根据投标人提供近1年（202</w:t>
            </w:r>
            <w:r>
              <w:rPr>
                <w:rFonts w:hint="eastAsia"/>
                <w:lang w:val="en-US" w:eastAsia="zh-CN"/>
              </w:rPr>
              <w:t>5</w:t>
            </w:r>
            <w:r>
              <w:rPr>
                <w:rFonts w:hint="eastAsia"/>
              </w:rPr>
              <w:t>年</w:t>
            </w:r>
            <w:r>
              <w:rPr>
                <w:rFonts w:hint="eastAsia"/>
                <w:lang w:val="en-US" w:eastAsia="zh-CN"/>
              </w:rPr>
              <w:t>5</w:t>
            </w:r>
            <w:r>
              <w:rPr>
                <w:rFonts w:hint="eastAsia"/>
              </w:rPr>
              <w:t>月至今）在医疗机构的业绩证明进行评价。每提供1个项目得2分</w:t>
            </w:r>
            <w:r>
              <w:rPr>
                <w:rFonts w:hint="eastAsia"/>
                <w:lang w:eastAsia="zh-CN"/>
              </w:rPr>
              <w:t>，</w:t>
            </w:r>
            <w:r>
              <w:rPr>
                <w:rFonts w:hint="eastAsia"/>
              </w:rPr>
              <w:t>最高得10分。</w:t>
            </w:r>
          </w:p>
          <w:p w14:paraId="35EA9EE3">
            <w:pPr>
              <w:rPr>
                <w:rFonts w:hint="eastAsia"/>
              </w:rPr>
            </w:pPr>
            <w:r>
              <w:rPr>
                <w:rFonts w:hint="eastAsia"/>
              </w:rPr>
              <w:t>未提供的不得分。</w:t>
            </w:r>
          </w:p>
          <w:p w14:paraId="353A902D">
            <w:pPr>
              <w:rPr>
                <w:rFonts w:hint="eastAsia"/>
              </w:rPr>
            </w:pPr>
            <w:r>
              <w:rPr>
                <w:rFonts w:hint="eastAsia"/>
              </w:rPr>
              <w:t>有效业绩定义：（同时满足以下全部要求同类业绩才属于有效业绩）</w:t>
            </w:r>
          </w:p>
          <w:p w14:paraId="53FFB3D9">
            <w:pPr>
              <w:rPr>
                <w:rFonts w:hint="eastAsia"/>
              </w:rPr>
            </w:pPr>
            <w:r>
              <w:rPr>
                <w:rFonts w:hint="eastAsia"/>
              </w:rPr>
              <w:t>1</w:t>
            </w:r>
            <w:r>
              <w:rPr>
                <w:rFonts w:hint="eastAsia"/>
                <w:lang w:eastAsia="zh-CN"/>
              </w:rPr>
              <w:t>）</w:t>
            </w:r>
            <w:r>
              <w:rPr>
                <w:rFonts w:hint="eastAsia"/>
              </w:rPr>
              <w:t>同类业绩指：在医疗机构供货该项目。</w:t>
            </w:r>
          </w:p>
          <w:p w14:paraId="57A3A2AD">
            <w:pPr>
              <w:rPr>
                <w:rFonts w:hint="eastAsia"/>
              </w:rPr>
            </w:pPr>
            <w:r>
              <w:rPr>
                <w:rFonts w:hint="eastAsia"/>
              </w:rPr>
              <w:t>2</w:t>
            </w:r>
            <w:r>
              <w:rPr>
                <w:rFonts w:hint="eastAsia"/>
                <w:lang w:eastAsia="zh-CN"/>
              </w:rPr>
              <w:t>）</w:t>
            </w:r>
            <w:r>
              <w:rPr>
                <w:rFonts w:hint="eastAsia"/>
              </w:rPr>
              <w:t>业绩内容为：采购该医用耗材。</w:t>
            </w:r>
          </w:p>
          <w:p w14:paraId="2E53F31F">
            <w:pPr>
              <w:rPr>
                <w:rFonts w:hint="eastAsia"/>
              </w:rPr>
            </w:pPr>
            <w:r>
              <w:rPr>
                <w:rFonts w:hint="eastAsia"/>
              </w:rPr>
              <w:t>3</w:t>
            </w:r>
            <w:r>
              <w:rPr>
                <w:rFonts w:hint="eastAsia"/>
                <w:lang w:eastAsia="zh-CN"/>
              </w:rPr>
              <w:t>）</w:t>
            </w:r>
            <w:r>
              <w:rPr>
                <w:rFonts w:hint="eastAsia"/>
              </w:rPr>
              <w:t>合同签订时间为近1年至投标截止时间前。</w:t>
            </w:r>
          </w:p>
          <w:p w14:paraId="413AD729">
            <w:pPr>
              <w:rPr>
                <w:rFonts w:ascii="宋体" w:hAnsi="宋体" w:eastAsia="宋体" w:cs="宋体"/>
                <w:sz w:val="24"/>
              </w:rPr>
            </w:pPr>
            <w:r>
              <w:rPr>
                <w:rFonts w:hint="eastAsia"/>
              </w:rPr>
              <w:t>注：仅限含投标产品规格型号、价格的发票或合同或中标通知或阳光平台成交记录截图</w:t>
            </w:r>
            <w:r>
              <w:rPr>
                <w:rFonts w:hint="eastAsia"/>
                <w:color w:val="auto"/>
                <w:highlight w:val="yellow"/>
              </w:rPr>
              <w:t>（清楚显示注册证名称、注册证号、规格型号、配送单位、成交金额、数量等信息）</w:t>
            </w:r>
            <w:r>
              <w:rPr>
                <w:rFonts w:hint="eastAsia"/>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43FABCD7">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ascii="宋体" w:hAnsi="宋体" w:eastAsia="宋体" w:cs="宋体"/>
                <w:sz w:val="24"/>
              </w:rPr>
            </w:pPr>
            <w:r>
              <w:rPr>
                <w:rFonts w:hint="eastAsia" w:ascii="宋体" w:hAnsi="宋体" w:eastAsia="宋体" w:cs="宋体"/>
                <w:sz w:val="24"/>
              </w:rPr>
              <w:t>投标报价得分=</w:t>
            </w:r>
            <w:r>
              <w:rPr>
                <w:rFonts w:hint="eastAsia" w:ascii="宋体" w:hAnsi="宋体" w:eastAsia="宋体" w:cs="宋体"/>
                <w:sz w:val="24"/>
                <w:lang w:eastAsia="zh-CN"/>
              </w:rPr>
              <w:t>（</w:t>
            </w:r>
            <w:r>
              <w:rPr>
                <w:rFonts w:hint="eastAsia" w:ascii="宋体" w:hAnsi="宋体" w:eastAsia="宋体" w:cs="宋体"/>
                <w:sz w:val="24"/>
              </w:rPr>
              <w:t>评标基准价／投标报价</w:t>
            </w:r>
            <w:r>
              <w:rPr>
                <w:rFonts w:hint="eastAsia" w:ascii="宋体" w:hAnsi="宋体" w:eastAsia="宋体" w:cs="宋体"/>
                <w:sz w:val="24"/>
                <w:lang w:eastAsia="zh-CN"/>
              </w:rPr>
              <w:t>）</w:t>
            </w:r>
            <w:r>
              <w:rPr>
                <w:rFonts w:hint="eastAsia" w:ascii="宋体" w:hAnsi="宋体" w:eastAsia="宋体" w:cs="宋体"/>
                <w:sz w:val="24"/>
              </w:rPr>
              <w:t>×35</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w:t>
            </w:r>
            <w:r>
              <w:rPr>
                <w:rFonts w:hint="eastAsia" w:ascii="宋体" w:hAnsi="宋体" w:eastAsia="宋体" w:cs="宋体"/>
                <w:color w:val="000000" w:themeColor="text1"/>
                <w:kern w:val="2"/>
                <w:sz w:val="24"/>
                <w:szCs w:val="24"/>
                <w:highlight w:val="yellow"/>
                <w:lang w:val="en-US" w:eastAsia="zh-CN"/>
                <w14:textFill>
                  <w14:solidFill>
                    <w14:schemeClr w14:val="tx1"/>
                  </w14:solidFill>
                </w14:textFill>
              </w:rPr>
              <w:t>评审现场</w:t>
            </w:r>
            <w:r>
              <w:rPr>
                <w:rFonts w:hint="eastAsia" w:ascii="宋体" w:hAnsi="宋体" w:eastAsia="宋体" w:cs="宋体"/>
                <w:color w:val="000000" w:themeColor="text1"/>
                <w:kern w:val="2"/>
                <w:sz w:val="24"/>
                <w:szCs w:val="24"/>
                <w14:textFill>
                  <w14:solidFill>
                    <w14:schemeClr w14:val="tx1"/>
                  </w14:solidFill>
                </w14:textFill>
              </w:rPr>
              <w:t>只有一家供应商通过资格性和符合性审查时，其价格得分为35分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rPr>
          <w:rFonts w:eastAsia="宋体"/>
          <w:b/>
          <w:bCs/>
          <w:color w:val="FF0000"/>
          <w:kern w:val="0"/>
          <w:sz w:val="32"/>
          <w:szCs w:val="32"/>
        </w:rPr>
      </w:pPr>
      <w:r>
        <w:rPr>
          <w:rFonts w:eastAsia="宋体"/>
          <w:b/>
          <w:bCs/>
          <w:color w:val="FF0000"/>
          <w:kern w:val="0"/>
          <w:sz w:val="32"/>
          <w:szCs w:val="32"/>
        </w:rPr>
        <w:br w:type="page"/>
      </w:r>
    </w:p>
    <w:p w14:paraId="4011A2A5">
      <w:pPr>
        <w:pStyle w:val="36"/>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2"/>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5948C4DC">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我院将检查投标文件的密封情况，并由供应商确认无误后签字，再拆封。</w:t>
      </w:r>
    </w:p>
    <w:p w14:paraId="717BCDA4">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4BD4B551">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5B070481">
      <w:pPr>
        <w:pStyle w:val="44"/>
        <w:widowControl/>
        <w:numPr>
          <w:ilvl w:val="0"/>
          <w:numId w:val="12"/>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5F09BB0">
      <w:pPr>
        <w:pStyle w:val="44"/>
        <w:widowControl/>
        <w:numPr>
          <w:ilvl w:val="0"/>
          <w:numId w:val="12"/>
        </w:numPr>
        <w:spacing w:line="360" w:lineRule="auto"/>
        <w:ind w:firstLineChars="0"/>
        <w:jc w:val="left"/>
        <w:rPr>
          <w:color w:val="000000" w:themeColor="text1"/>
          <w:szCs w:val="21"/>
          <w:highlight w:val="green"/>
          <w:lang w:eastAsia="zh-TW"/>
          <w14:textFill>
            <w14:solidFill>
              <w14:schemeClr w14:val="tx1"/>
            </w14:solidFill>
          </w14:textFill>
        </w:rPr>
      </w:pPr>
      <w:r>
        <w:rPr>
          <w:color w:val="000000" w:themeColor="text1"/>
          <w:szCs w:val="21"/>
          <w:highlight w:val="green"/>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14:textFill>
            <w14:solidFill>
              <w14:schemeClr w14:val="tx1"/>
            </w14:solidFill>
          </w14:textFill>
        </w:rPr>
        <w:t>，大写与小写不一致的，以大写为准</w:t>
      </w:r>
      <w:r>
        <w:rPr>
          <w:color w:val="000000" w:themeColor="text1"/>
          <w:szCs w:val="21"/>
          <w:highlight w:val="green"/>
          <w:lang w:eastAsia="zh-TW"/>
          <w14:textFill>
            <w14:solidFill>
              <w14:schemeClr w14:val="tx1"/>
            </w14:solidFill>
          </w14:textFill>
        </w:rPr>
        <w:t>。</w:t>
      </w:r>
    </w:p>
    <w:p w14:paraId="22BE2A85">
      <w:pPr>
        <w:pStyle w:val="44"/>
        <w:widowControl/>
        <w:numPr>
          <w:ilvl w:val="0"/>
          <w:numId w:val="12"/>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w:t>
      </w:r>
    </w:p>
    <w:p w14:paraId="1B9BA393">
      <w:pPr>
        <w:pStyle w:val="44"/>
        <w:widowControl/>
        <w:numPr>
          <w:ilvl w:val="0"/>
          <w:numId w:val="14"/>
        </w:numPr>
        <w:spacing w:line="360" w:lineRule="auto"/>
        <w:ind w:firstLineChars="0"/>
        <w:jc w:val="left"/>
        <w:rPr>
          <w:b/>
          <w:bCs/>
          <w:color w:val="000000" w:themeColor="text1"/>
          <w:szCs w:val="21"/>
          <w14:textFill>
            <w14:solidFill>
              <w14:schemeClr w14:val="tx1"/>
            </w14:solidFill>
          </w14:textFill>
        </w:rPr>
      </w:pPr>
      <w:r>
        <w:rPr>
          <w:color w:val="000000" w:themeColor="text1"/>
          <w14:textFill>
            <w14:solidFill>
              <w14:schemeClr w14:val="tx1"/>
            </w14:solidFill>
          </w14:textFill>
        </w:rPr>
        <w:t>综合评分法</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76AD394A">
      <w:pPr>
        <w:pStyle w:val="44"/>
        <w:widowControl/>
        <w:numPr>
          <w:ilvl w:val="-1"/>
          <w:numId w:val="0"/>
        </w:numPr>
        <w:spacing w:line="360" w:lineRule="auto"/>
        <w:ind w:firstLine="422" w:firstLineChars="200"/>
        <w:jc w:val="left"/>
        <w:rPr>
          <w:b/>
          <w:color w:val="000000" w:themeColor="text1"/>
          <w:szCs w:val="21"/>
          <w:highlight w:val="yellow"/>
          <w14:textFill>
            <w14:solidFill>
              <w14:schemeClr w14:val="tx1"/>
            </w14:solidFill>
          </w14:textFill>
        </w:rPr>
      </w:pPr>
      <w:r>
        <w:rPr>
          <w:rFonts w:hint="eastAsia"/>
          <w:b/>
          <w:color w:val="000000" w:themeColor="text1"/>
          <w:szCs w:val="21"/>
          <w:highlight w:val="yellow"/>
          <w:lang w:val="en-US" w:eastAsia="zh-CN"/>
          <w14:textFill>
            <w14:solidFill>
              <w14:schemeClr w14:val="tx1"/>
            </w14:solidFill>
          </w14:textFill>
        </w:rPr>
        <w:t>择优评审法：</w:t>
      </w:r>
      <w:r>
        <w:rPr>
          <w:rFonts w:hint="eastAsia"/>
          <w:b/>
          <w:color w:val="000000" w:themeColor="text1"/>
          <w:szCs w:val="21"/>
          <w:highlight w:val="yellow"/>
          <w14:textFill>
            <w14:solidFill>
              <w14:schemeClr w14:val="tx1"/>
            </w14:solidFill>
          </w14:textFill>
        </w:rPr>
        <w:t>经</w:t>
      </w:r>
      <w:r>
        <w:rPr>
          <w:rFonts w:hint="eastAsia"/>
          <w:b/>
          <w:color w:val="000000" w:themeColor="text1"/>
          <w:szCs w:val="21"/>
          <w:highlight w:val="yellow"/>
          <w:lang w:val="en-US" w:eastAsia="zh-CN"/>
          <w14:textFill>
            <w14:solidFill>
              <w14:schemeClr w14:val="tx1"/>
            </w14:solidFill>
          </w14:textFill>
        </w:rPr>
        <w:t>延期后</w:t>
      </w:r>
      <w:r>
        <w:rPr>
          <w:rFonts w:hint="eastAsia"/>
          <w:b/>
          <w:color w:val="000000" w:themeColor="text1"/>
          <w:szCs w:val="21"/>
          <w:highlight w:val="yellow"/>
          <w14:textFill>
            <w14:solidFill>
              <w14:schemeClr w14:val="tx1"/>
            </w14:solidFill>
          </w14:textFill>
        </w:rPr>
        <w:t>不足3家有效投标供应商报名的，我院有权</w:t>
      </w:r>
      <w:r>
        <w:rPr>
          <w:rFonts w:hint="eastAsia"/>
          <w:b/>
          <w:color w:val="000000" w:themeColor="text1"/>
          <w:szCs w:val="21"/>
          <w:highlight w:val="yellow"/>
          <w:lang w:val="en-US" w:eastAsia="zh-CN"/>
          <w14:textFill>
            <w14:solidFill>
              <w14:schemeClr w14:val="tx1"/>
            </w14:solidFill>
          </w14:textFill>
        </w:rPr>
        <w:t>按照择优评审的方式与报名供应商进行议价谈判。</w:t>
      </w:r>
      <w:r>
        <w:rPr>
          <w:rFonts w:hint="eastAsia"/>
          <w:b/>
          <w:color w:val="000000" w:themeColor="text1"/>
          <w:szCs w:val="21"/>
          <w:highlight w:val="yellow"/>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4EE081B9">
      <w:pPr>
        <w:pStyle w:val="44"/>
        <w:widowControl/>
        <w:numPr>
          <w:ilvl w:val="0"/>
          <w:numId w:val="14"/>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5A11C1EA">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5BE8779A">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1592EAD0">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评审现场</w:t>
      </w:r>
      <w:r>
        <w:rPr>
          <w:rFonts w:hint="eastAsia"/>
          <w:color w:val="000000" w:themeColor="text1"/>
          <w:szCs w:val="21"/>
          <w14:textFill>
            <w14:solidFill>
              <w14:schemeClr w14:val="tx1"/>
            </w14:solidFill>
          </w14:textFill>
        </w:rPr>
        <w:t>通过资格性、符合性审查不足三家的可直接按公开遴选采购文件规定的评审标准进行评审</w:t>
      </w:r>
      <w:r>
        <w:rPr>
          <w:rFonts w:hint="eastAsia"/>
          <w:color w:val="000000" w:themeColor="text1"/>
          <w:szCs w:val="21"/>
          <w:lang w:eastAsia="zh-CN"/>
          <w14:textFill>
            <w14:solidFill>
              <w14:schemeClr w14:val="tx1"/>
            </w14:solidFill>
          </w14:textFill>
        </w:rPr>
        <w:t>。</w:t>
      </w:r>
    </w:p>
    <w:p w14:paraId="63A449C4">
      <w:pPr>
        <w:pStyle w:val="44"/>
        <w:widowControl/>
        <w:numPr>
          <w:ilvl w:val="0"/>
          <w:numId w:val="15"/>
        </w:numPr>
        <w:spacing w:line="360" w:lineRule="auto"/>
        <w:ind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440D40B3">
      <w:pPr>
        <w:pStyle w:val="43"/>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highlight w:val="yellow"/>
          <w:lang w:val="en-US" w:eastAsia="zh-CN"/>
          <w14:textFill>
            <w14:solidFill>
              <w14:schemeClr w14:val="tx1"/>
            </w14:solidFill>
          </w14:textFill>
        </w:rPr>
        <w:t>会签评审报告</w:t>
      </w:r>
    </w:p>
    <w:p w14:paraId="6DB8CBEF">
      <w:pPr>
        <w:pStyle w:val="43"/>
        <w:spacing w:line="360" w:lineRule="auto"/>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2"/>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p>
    <w:p w14:paraId="559A194B">
      <w:pPr>
        <w:pStyle w:val="43"/>
        <w:widowControl/>
        <w:numPr>
          <w:ilvl w:val="0"/>
          <w:numId w:val="12"/>
        </w:numPr>
        <w:spacing w:line="360" w:lineRule="auto"/>
        <w:ind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hint="eastAsia" w:ascii="宋体" w:hAnsi="宋体"/>
          <w:color w:val="000000" w:themeColor="text1"/>
          <w:szCs w:val="21"/>
          <w:lang w:eastAsia="zh-CN"/>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r>
        <w:rPr>
          <w:rFonts w:hint="eastAsia"/>
          <w:color w:val="000000" w:themeColor="text1"/>
          <w:szCs w:val="21"/>
          <w:lang w:eastAsia="zh-CN"/>
          <w14:textFill>
            <w14:solidFill>
              <w14:schemeClr w14:val="tx1"/>
            </w14:solidFill>
          </w14:textFill>
        </w:rPr>
        <w:t>；</w:t>
      </w:r>
    </w:p>
    <w:p w14:paraId="125891D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4ADBF18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方正小标宋简体" w:hAnsi="方正小标宋简体" w:eastAsia="方正小标宋简体" w:cs="方正小标宋简体"/>
          <w:kern w:val="0"/>
          <w:sz w:val="44"/>
          <w:szCs w:val="36"/>
        </w:rPr>
      </w:pPr>
      <w:bookmarkStart w:id="5" w:name="_Hlk72439043"/>
    </w:p>
    <w:p w14:paraId="46483C92">
      <w:pPr>
        <w:jc w:val="center"/>
        <w:rPr>
          <w:rFonts w:ascii="方正小标宋简体" w:hAnsi="方正小标宋简体" w:eastAsia="方正小标宋简体" w:cs="方正小标宋简体"/>
          <w:kern w:val="0"/>
          <w:sz w:val="44"/>
          <w:szCs w:val="36"/>
        </w:rPr>
      </w:pPr>
    </w:p>
    <w:p w14:paraId="7BF23289">
      <w:pPr>
        <w:pStyle w:val="36"/>
        <w:ind w:firstLine="420"/>
      </w:pPr>
    </w:p>
    <w:p w14:paraId="56DF267D">
      <w:pPr>
        <w:jc w:val="center"/>
        <w:rPr>
          <w:rFonts w:ascii="方正小标宋简体" w:hAnsi="方正小标宋简体" w:eastAsia="方正小标宋简体" w:cs="方正小标宋简体"/>
          <w:kern w:val="0"/>
          <w:sz w:val="44"/>
          <w:szCs w:val="36"/>
        </w:rPr>
        <w:sectPr>
          <w:pgSz w:w="11906" w:h="16838"/>
          <w:pgMar w:top="340" w:right="720" w:bottom="397" w:left="720" w:header="851" w:footer="992" w:gutter="0"/>
          <w:cols w:space="720" w:num="1"/>
          <w:docGrid w:type="lines" w:linePitch="312" w:charSpace="0"/>
        </w:sectPr>
      </w:pPr>
    </w:p>
    <w:p w14:paraId="0760F725">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6" w:name="_Hlk135152312"/>
      <w:r>
        <w:rPr>
          <w:rFonts w:hint="eastAsia" w:ascii="方正小标宋简体" w:hAnsi="方正小标宋简体" w:eastAsia="方正小标宋简体" w:cs="方正小标宋简体"/>
          <w:kern w:val="0"/>
          <w:sz w:val="44"/>
          <w:szCs w:val="36"/>
        </w:rPr>
        <w:t>投标须知</w:t>
      </w:r>
      <w:bookmarkEnd w:id="6"/>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7788516">
      <w:pPr>
        <w:pStyle w:val="36"/>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w:t>
      </w:r>
      <w:r>
        <w:rPr>
          <w:rFonts w:hint="eastAsia" w:asciiTheme="minorEastAsia" w:hAnsiTheme="minorEastAsia" w:cstheme="minorEastAsia"/>
          <w:snapToGrid w:val="0"/>
          <w:szCs w:val="24"/>
          <w:highlight w:val="yellow"/>
          <w:lang w:val="en-US" w:eastAsia="zh-CN"/>
        </w:rPr>
        <w:t>被</w:t>
      </w:r>
      <w:r>
        <w:rPr>
          <w:rFonts w:hint="eastAsia" w:asciiTheme="minorEastAsia" w:hAnsiTheme="minorEastAsia" w:cstheme="minorEastAsia"/>
          <w:snapToGrid w:val="0"/>
          <w:szCs w:val="24"/>
          <w:highlight w:val="yellow"/>
        </w:rPr>
        <w:t>列入本院供应商黑名单</w:t>
      </w:r>
      <w:r>
        <w:rPr>
          <w:rFonts w:hint="eastAsia" w:asciiTheme="minorEastAsia" w:hAnsiTheme="minorEastAsia" w:cstheme="minorEastAsia"/>
          <w:snapToGrid w:val="0"/>
          <w:szCs w:val="24"/>
          <w:highlight w:val="yellow"/>
          <w:lang w:val="en-US" w:eastAsia="zh-CN"/>
        </w:rPr>
        <w:t>的</w:t>
      </w:r>
      <w:r>
        <w:rPr>
          <w:rFonts w:hint="eastAsia" w:asciiTheme="minorEastAsia" w:hAnsiTheme="minorEastAsia" w:cstheme="minorEastAsia"/>
          <w:snapToGrid w:val="0"/>
          <w:szCs w:val="24"/>
          <w:highlight w:val="yellow"/>
        </w:rPr>
        <w:t>，</w:t>
      </w:r>
      <w:r>
        <w:rPr>
          <w:rFonts w:hint="eastAsia" w:asciiTheme="minorEastAsia" w:hAnsiTheme="minorEastAsia" w:cstheme="minorEastAsia"/>
          <w:snapToGrid w:val="0"/>
          <w:szCs w:val="24"/>
          <w:highlight w:val="yellow"/>
          <w:lang w:val="en-US" w:eastAsia="zh-CN"/>
        </w:rPr>
        <w:t>叁</w:t>
      </w:r>
      <w:r>
        <w:rPr>
          <w:rFonts w:hint="eastAsia" w:asciiTheme="minorEastAsia" w:hAnsiTheme="minorEastAsia" w:cstheme="minorEastAsia"/>
          <w:snapToGrid w:val="0"/>
          <w:szCs w:val="24"/>
          <w:highlight w:val="yellow"/>
        </w:rPr>
        <w:t>年内取消其在中山大学附属第八医院的任何投标资格。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lang w:eastAsia="zh-CN"/>
        </w:rPr>
        <w:t>（</w:t>
      </w:r>
      <w:r>
        <w:rPr>
          <w:rFonts w:hint="eastAsia" w:asciiTheme="minorEastAsia" w:hAnsiTheme="minorEastAsia" w:cstheme="minorEastAsia"/>
          <w:snapToGrid w:val="0"/>
        </w:rPr>
        <w:t>4</w:t>
      </w:r>
      <w:r>
        <w:rPr>
          <w:rFonts w:hint="eastAsia" w:asciiTheme="minorEastAsia" w:hAnsiTheme="minorEastAsia" w:cstheme="minorEastAsia"/>
          <w:snapToGrid w:val="0"/>
          <w:lang w:eastAsia="zh-CN"/>
        </w:rPr>
        <w:t>）</w:t>
      </w:r>
      <w:r>
        <w:rPr>
          <w:rFonts w:hint="eastAsia" w:asciiTheme="minorEastAsia" w:hAnsiTheme="minorEastAsia" w:cstheme="minorEastAsia"/>
          <w:snapToGrid w:val="0"/>
        </w:rPr>
        <w:t>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181DD0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407334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7" w:name="q7"/>
      <w:bookmarkEnd w:id="7"/>
      <w:bookmarkStart w:id="8" w:name="_Toc2301"/>
      <w:r>
        <w:rPr>
          <w:rFonts w:hint="eastAsia" w:asciiTheme="minorEastAsia" w:hAnsiTheme="minorEastAsia" w:cstheme="minorEastAsia"/>
          <w:b/>
          <w:bCs/>
          <w:snapToGrid w:val="0"/>
          <w:szCs w:val="24"/>
        </w:rPr>
        <w:t>三、响应文件的递交</w:t>
      </w:r>
      <w:bookmarkEnd w:id="8"/>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2BE05A6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598A8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35FA3A1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649D81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7776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664776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0782011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1837915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DB23CA0">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574CE44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1CE87002">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31763156">
      <w:pPr>
        <w:pStyle w:val="36"/>
        <w:numPr>
          <w:ilvl w:val="0"/>
          <w:numId w:val="18"/>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77F83A13">
      <w:pPr>
        <w:pStyle w:val="36"/>
        <w:ind w:firstLine="0" w:firstLineChars="0"/>
        <w:rPr>
          <w:rFonts w:asciiTheme="minorEastAsia" w:hAnsiTheme="minorEastAsia" w:cstheme="minorEastAsia"/>
          <w:kern w:val="2"/>
          <w:szCs w:val="24"/>
        </w:rPr>
      </w:pPr>
    </w:p>
    <w:p w14:paraId="54ECDEC4">
      <w:pPr>
        <w:pStyle w:val="36"/>
        <w:ind w:firstLine="0" w:firstLineChars="0"/>
        <w:rPr>
          <w:rFonts w:asciiTheme="minorEastAsia" w:hAnsiTheme="minorEastAsia" w:cstheme="minorEastAsia"/>
          <w:kern w:val="2"/>
          <w:szCs w:val="24"/>
        </w:rPr>
      </w:pPr>
    </w:p>
    <w:p w14:paraId="04609C65">
      <w:pPr>
        <w:pStyle w:val="36"/>
        <w:ind w:firstLine="0" w:firstLineChars="0"/>
        <w:rPr>
          <w:rFonts w:asciiTheme="minorEastAsia" w:hAnsiTheme="minorEastAsia" w:cstheme="minorEastAsia"/>
          <w:kern w:val="2"/>
          <w:szCs w:val="24"/>
        </w:rPr>
      </w:pPr>
    </w:p>
    <w:p w14:paraId="2FAD5731">
      <w:pPr>
        <w:pStyle w:val="36"/>
        <w:ind w:firstLine="0" w:firstLineChars="0"/>
        <w:rPr>
          <w:rFonts w:asciiTheme="minorEastAsia" w:hAnsiTheme="minorEastAsia" w:cstheme="minorEastAsia"/>
          <w:kern w:val="2"/>
          <w:szCs w:val="24"/>
        </w:rPr>
      </w:pPr>
    </w:p>
    <w:p w14:paraId="419EEAC1">
      <w:pPr>
        <w:pStyle w:val="36"/>
        <w:ind w:firstLine="0" w:firstLineChars="0"/>
        <w:rPr>
          <w:rFonts w:asciiTheme="minorEastAsia" w:hAnsiTheme="minorEastAsia" w:cstheme="minorEastAsia"/>
          <w:kern w:val="2"/>
          <w:szCs w:val="24"/>
        </w:rPr>
      </w:pPr>
    </w:p>
    <w:p w14:paraId="79569DCC">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 xml:space="preserve">      </w:t>
      </w:r>
    </w:p>
    <w:p w14:paraId="77AF42E9">
      <w:pPr>
        <w:rPr>
          <w:rFonts w:asciiTheme="minorEastAsia" w:hAnsiTheme="minorEastAsia" w:cstheme="minorEastAsia"/>
        </w:rPr>
      </w:pPr>
    </w:p>
    <w:p w14:paraId="174F2180">
      <w:pPr>
        <w:rPr>
          <w:rFonts w:asciiTheme="minorEastAsia" w:hAnsiTheme="minorEastAsia" w:cstheme="minorEastAsia"/>
        </w:rPr>
      </w:pPr>
    </w:p>
    <w:p w14:paraId="300537F5">
      <w:pPr>
        <w:rPr>
          <w:rFonts w:asciiTheme="minorEastAsia" w:hAnsiTheme="minorEastAsia" w:cstheme="minorEastAsia"/>
        </w:rPr>
      </w:pPr>
    </w:p>
    <w:p w14:paraId="76C35025">
      <w:pPr>
        <w:rPr>
          <w:rFonts w:asciiTheme="minorEastAsia" w:hAnsiTheme="minorEastAsia" w:cstheme="minorEastAsia"/>
        </w:rPr>
      </w:pPr>
    </w:p>
    <w:p w14:paraId="02CB57BB">
      <w:pPr>
        <w:rPr>
          <w:rFonts w:asciiTheme="minorEastAsia" w:hAnsiTheme="minorEastAsia" w:cstheme="minorEastAsia"/>
        </w:rPr>
      </w:pPr>
    </w:p>
    <w:p w14:paraId="3AAD17A4">
      <w:pPr>
        <w:rPr>
          <w:rFonts w:asciiTheme="minorEastAsia" w:hAnsiTheme="minorEastAsia" w:cstheme="minorEastAsia"/>
        </w:rPr>
      </w:pPr>
    </w:p>
    <w:p w14:paraId="0D157D54">
      <w:pPr>
        <w:rPr>
          <w:rFonts w:asciiTheme="minorEastAsia" w:hAnsiTheme="minorEastAsia" w:cstheme="minorEastAsia"/>
        </w:rPr>
      </w:pPr>
    </w:p>
    <w:p w14:paraId="2233D3A6">
      <w:pPr>
        <w:rPr>
          <w:rFonts w:asciiTheme="minorEastAsia" w:hAnsiTheme="minorEastAsia" w:cstheme="minorEastAsia"/>
        </w:rPr>
      </w:pPr>
    </w:p>
    <w:p w14:paraId="266457CB">
      <w:pPr>
        <w:rPr>
          <w:rFonts w:asciiTheme="minorEastAsia" w:hAnsiTheme="minorEastAsia" w:cstheme="minorEastAsia"/>
        </w:rPr>
      </w:pPr>
    </w:p>
    <w:p w14:paraId="62222AF1">
      <w:pPr>
        <w:rPr>
          <w:rFonts w:asciiTheme="minorEastAsia" w:hAnsiTheme="minorEastAsia" w:cstheme="minorEastAsia"/>
        </w:rPr>
      </w:pPr>
    </w:p>
    <w:p w14:paraId="157D14B6">
      <w:pPr>
        <w:rPr>
          <w:rFonts w:asciiTheme="minorEastAsia" w:hAnsiTheme="minorEastAsia" w:cstheme="minorEastAsia"/>
        </w:rPr>
      </w:pPr>
    </w:p>
    <w:p w14:paraId="082CC190">
      <w:pPr>
        <w:rPr>
          <w:rFonts w:asciiTheme="minorEastAsia" w:hAnsiTheme="minorEastAsia" w:cstheme="minorEastAsia"/>
        </w:rPr>
      </w:pPr>
    </w:p>
    <w:p w14:paraId="2478046C">
      <w:pPr>
        <w:rPr>
          <w:rFonts w:asciiTheme="minorEastAsia" w:hAnsiTheme="minorEastAsia" w:cstheme="minorEastAsia"/>
        </w:rPr>
      </w:pPr>
    </w:p>
    <w:p w14:paraId="1BE41C68">
      <w:pPr>
        <w:rPr>
          <w:rFonts w:asciiTheme="minorEastAsia" w:hAnsiTheme="minorEastAsia" w:cstheme="minorEastAsia"/>
        </w:rPr>
      </w:pPr>
    </w:p>
    <w:p w14:paraId="3B52CEA1">
      <w:pPr>
        <w:rPr>
          <w:rFonts w:asciiTheme="minorEastAsia" w:hAnsiTheme="minorEastAsia" w:cstheme="minorEastAsia"/>
        </w:rPr>
      </w:pPr>
    </w:p>
    <w:p w14:paraId="678851B9">
      <w:pPr>
        <w:rPr>
          <w:rFonts w:asciiTheme="minorEastAsia" w:hAnsiTheme="minorEastAsia" w:cstheme="minorEastAsia"/>
        </w:rPr>
      </w:pPr>
    </w:p>
    <w:p w14:paraId="39AA82DF">
      <w:pPr>
        <w:rPr>
          <w:rFonts w:asciiTheme="minorEastAsia" w:hAnsiTheme="minorEastAsia" w:cstheme="minorEastAsia"/>
        </w:rPr>
      </w:pPr>
    </w:p>
    <w:p w14:paraId="7FDB29F8">
      <w:pPr>
        <w:rPr>
          <w:rFonts w:asciiTheme="minorEastAsia" w:hAnsiTheme="minorEastAsia" w:cstheme="minorEastAsia"/>
        </w:rPr>
      </w:pPr>
    </w:p>
    <w:p w14:paraId="366C6629">
      <w:pPr>
        <w:rPr>
          <w:rFonts w:asciiTheme="minorEastAsia" w:hAnsiTheme="minorEastAsia" w:cstheme="minorEastAsia"/>
        </w:rPr>
      </w:pPr>
    </w:p>
    <w:p w14:paraId="16E723C1"/>
    <w:bookmarkEnd w:id="5"/>
    <w:p w14:paraId="37DE40A8">
      <w:pPr>
        <w:numPr>
          <w:ilvl w:val="0"/>
          <w:numId w:val="19"/>
        </w:numPr>
        <w:jc w:val="center"/>
        <w:outlineLvl w:val="0"/>
        <w:rPr>
          <w:rFonts w:ascii="方正小标宋简体" w:hAnsi="方正小标宋简体" w:eastAsia="方正小标宋简体" w:cs="方正小标宋简体"/>
          <w:kern w:val="0"/>
          <w:sz w:val="44"/>
          <w:szCs w:val="36"/>
        </w:rPr>
      </w:pPr>
      <w:bookmarkStart w:id="9" w:name="_Toc3265"/>
      <w:bookmarkStart w:id="10" w:name="_Toc73521586"/>
      <w:bookmarkStart w:id="11" w:name="_Toc73517679"/>
      <w:bookmarkStart w:id="12" w:name="_Toc73521674"/>
      <w:bookmarkStart w:id="13" w:name="_Toc100052408"/>
      <w:bookmarkStart w:id="14" w:name="_Toc73518157"/>
      <w:r>
        <w:rPr>
          <w:rFonts w:hint="eastAsia" w:ascii="方正小标宋简体" w:hAnsi="方正小标宋简体" w:eastAsia="方正小标宋简体" w:cs="方正小标宋简体"/>
          <w:kern w:val="0"/>
          <w:sz w:val="44"/>
          <w:szCs w:val="36"/>
        </w:rPr>
        <w:t>合同文本</w:t>
      </w:r>
      <w:bookmarkEnd w:id="9"/>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20"/>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20"/>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20"/>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20"/>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20"/>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20"/>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0"/>
      <w:bookmarkEnd w:id="11"/>
      <w:bookmarkEnd w:id="12"/>
      <w:bookmarkEnd w:id="13"/>
      <w:bookmarkEnd w:id="14"/>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5" w:name="_Toc73517680"/>
      <w:bookmarkStart w:id="16" w:name="_Toc73521587"/>
      <w:bookmarkStart w:id="17" w:name="_Toc100052409"/>
      <w:bookmarkStart w:id="18" w:name="_Toc73518158"/>
      <w:bookmarkStart w:id="19" w:name="_Toc73521675"/>
      <w:r>
        <w:rPr>
          <w:rFonts w:hint="eastAsia" w:asciiTheme="minorEastAsia" w:hAnsiTheme="minorEastAsia" w:cstheme="minorEastAsia"/>
        </w:rPr>
        <w:t>2．</w:t>
      </w:r>
      <w:bookmarkEnd w:id="15"/>
      <w:bookmarkEnd w:id="16"/>
      <w:bookmarkEnd w:id="17"/>
      <w:bookmarkEnd w:id="18"/>
      <w:bookmarkEnd w:id="19"/>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0" w:name="_Toc73517682"/>
      <w:bookmarkStart w:id="21" w:name="_Toc73521677"/>
      <w:bookmarkStart w:id="22" w:name="_Toc73518160"/>
      <w:bookmarkStart w:id="23" w:name="_Toc73521589"/>
      <w:bookmarkStart w:id="24" w:name="_Toc100052410"/>
      <w:r>
        <w:rPr>
          <w:rFonts w:hint="eastAsia" w:asciiTheme="minorEastAsia" w:hAnsiTheme="minorEastAsia" w:cstheme="minorEastAsia"/>
        </w:rPr>
        <w:t>3．合同的签订</w:t>
      </w:r>
      <w:bookmarkEnd w:id="20"/>
      <w:bookmarkEnd w:id="21"/>
      <w:bookmarkEnd w:id="22"/>
      <w:bookmarkEnd w:id="23"/>
      <w:bookmarkEnd w:id="24"/>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04925FCE">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6A30DD18">
      <w:pPr>
        <w:widowControl/>
        <w:adjustRightInd w:val="0"/>
        <w:snapToGrid w:val="0"/>
        <w:spacing w:line="360" w:lineRule="exact"/>
        <w:rPr>
          <w:rFonts w:ascii="宋体" w:hAnsi="宋体" w:eastAsia="宋体" w:cs="宋体"/>
          <w:b/>
          <w:bCs/>
          <w:color w:val="000000"/>
          <w:kern w:val="0"/>
          <w:sz w:val="32"/>
          <w:szCs w:val="32"/>
        </w:rPr>
      </w:pPr>
    </w:p>
    <w:p w14:paraId="2BB4429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49C0DB46">
      <w:pPr>
        <w:widowControl/>
        <w:adjustRightInd w:val="0"/>
        <w:snapToGrid w:val="0"/>
        <w:spacing w:line="360" w:lineRule="exact"/>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单位负责人：</w:t>
      </w:r>
      <w:r>
        <w:rPr>
          <w:rFonts w:hint="eastAsia" w:ascii="宋体" w:hAnsi="宋体" w:eastAsia="宋体" w:cs="宋体"/>
          <w:color w:val="000000"/>
          <w:kern w:val="0"/>
          <w:szCs w:val="21"/>
          <w:lang w:val="en-US" w:eastAsia="zh-CN"/>
        </w:rPr>
        <w:t>陈燕铭</w:t>
      </w:r>
    </w:p>
    <w:p w14:paraId="1B73B01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w:t>
      </w:r>
      <w:bookmarkStart w:id="29" w:name="_GoBack"/>
      <w:bookmarkEnd w:id="29"/>
      <w:r>
        <w:rPr>
          <w:rFonts w:hint="eastAsia" w:ascii="宋体" w:hAnsi="宋体" w:eastAsia="宋体" w:cs="宋体"/>
          <w:color w:val="000000"/>
          <w:kern w:val="0"/>
          <w:szCs w:val="21"/>
        </w:rPr>
        <w:t>3025号</w:t>
      </w:r>
    </w:p>
    <w:p w14:paraId="4C3426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775347D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5AD7560F">
      <w:pPr>
        <w:widowControl/>
        <w:adjustRightInd w:val="0"/>
        <w:snapToGrid w:val="0"/>
        <w:spacing w:line="360" w:lineRule="exact"/>
        <w:jc w:val="left"/>
        <w:rPr>
          <w:rFonts w:ascii="宋体" w:hAnsi="宋体" w:eastAsia="宋体" w:cs="宋体"/>
          <w:color w:val="000000"/>
          <w:kern w:val="0"/>
          <w:szCs w:val="21"/>
        </w:rPr>
      </w:pPr>
    </w:p>
    <w:p w14:paraId="7746F8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FD22D8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617C2B5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43028CD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328B692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153A8B2">
      <w:pPr>
        <w:widowControl/>
        <w:adjustRightInd w:val="0"/>
        <w:snapToGrid w:val="0"/>
        <w:spacing w:line="360" w:lineRule="exact"/>
        <w:jc w:val="left"/>
        <w:rPr>
          <w:rFonts w:ascii="宋体" w:hAnsi="宋体" w:eastAsia="宋体" w:cs="宋体"/>
          <w:color w:val="000000"/>
          <w:kern w:val="0"/>
          <w:szCs w:val="21"/>
        </w:rPr>
      </w:pPr>
    </w:p>
    <w:p w14:paraId="7B706FE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5B3748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2ECE34EE">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095A3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65A3936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748D1BA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1BCDB5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0B9B0F7F">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0277791A">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6A809F7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3D86876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5C9EDA1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89ACC5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3563374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33482F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3CA688A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3ADC96C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72BC052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E2733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EE003F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62CD2A0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671C1AE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包括大包装、小包装等</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需附有以下所列各项国家规定的中文标识：</w:t>
      </w:r>
    </w:p>
    <w:p w14:paraId="4E683EB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63E2227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3F43190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8368FE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3340F9F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编</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号；</w:t>
      </w:r>
    </w:p>
    <w:p w14:paraId="12CDA97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14C3AA13">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5FF3162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4869390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6D8D5CD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6B321EF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281BC4EA">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33FC83CD">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32534E1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6C941197">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767C7EC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7E20BF8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561475D1">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3AC5E355">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70E2758E">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BF65C0F">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0A3473A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22945DF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2ABE4D4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3CD9F69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11D743C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721AA83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DD9F2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55831C1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2B32E97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5AAE7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43168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750DAC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145AE9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1BE3709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D4D96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01-16</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75BE144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01-17</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3C6C2A13">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01-20</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00）的，每延迟一次向甲方支付违约金人民币捌佰元整（¥800.00）；</w:t>
      </w:r>
    </w:p>
    <w:p w14:paraId="69118358">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01以后）的，每延迟一次向甲方支付违约金人民币壹仟元整（¥1</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000.00）。</w:t>
      </w:r>
    </w:p>
    <w:p w14:paraId="338EB35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6E7E5D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13B1C13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07D9025">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2EB80A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42B17B72">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2E4109B5">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0D2EE870">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12F51C76">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4A53BAE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2411032">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33CE511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3765E8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76549518">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7DA609F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58DFC8AC">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1CA2B7A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15A5ACFA">
      <w:pPr>
        <w:widowControl/>
        <w:adjustRightInd w:val="0"/>
        <w:snapToGrid w:val="0"/>
        <w:spacing w:line="360" w:lineRule="exact"/>
        <w:jc w:val="left"/>
        <w:rPr>
          <w:rFonts w:ascii="宋体" w:hAnsi="宋体" w:eastAsia="宋体" w:cs="宋体"/>
          <w:color w:val="000000"/>
          <w:kern w:val="0"/>
          <w:szCs w:val="21"/>
        </w:rPr>
      </w:pPr>
    </w:p>
    <w:p w14:paraId="7AE6A21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793D75DB">
      <w:pPr>
        <w:widowControl/>
        <w:numPr>
          <w:ilvl w:val="0"/>
          <w:numId w:val="21"/>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2ADB9FF">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3A6DE1CE">
      <w:pPr>
        <w:widowControl/>
        <w:adjustRightInd w:val="0"/>
        <w:snapToGrid w:val="0"/>
        <w:spacing w:line="360" w:lineRule="exact"/>
        <w:ind w:firstLine="630" w:firstLineChars="300"/>
        <w:jc w:val="left"/>
        <w:rPr>
          <w:rFonts w:hint="eastAsia" w:ascii="宋体" w:hAnsi="宋体" w:eastAsia="宋体" w:cs="宋体"/>
          <w:b/>
          <w:bCs/>
          <w:color w:val="000000"/>
          <w:kern w:val="0"/>
          <w:szCs w:val="21"/>
          <w:lang w:eastAsia="zh-CN"/>
        </w:rPr>
      </w:pP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协议装订成册并加盖骑缝章</w:t>
      </w:r>
      <w:r>
        <w:rPr>
          <w:rFonts w:hint="eastAsia" w:ascii="宋体" w:hAnsi="宋体" w:eastAsia="宋体" w:cs="宋体"/>
          <w:color w:val="000000"/>
          <w:kern w:val="0"/>
          <w:szCs w:val="21"/>
          <w:lang w:eastAsia="zh-CN"/>
        </w:rPr>
        <w:t>）</w:t>
      </w:r>
    </w:p>
    <w:p w14:paraId="7A13FD6C">
      <w:pPr>
        <w:widowControl/>
        <w:adjustRightInd w:val="0"/>
        <w:snapToGrid w:val="0"/>
        <w:spacing w:line="360" w:lineRule="exact"/>
        <w:jc w:val="left"/>
        <w:rPr>
          <w:rFonts w:ascii="宋体" w:hAnsi="宋体" w:eastAsia="宋体" w:cs="宋体"/>
          <w:color w:val="000000"/>
          <w:kern w:val="0"/>
          <w:szCs w:val="21"/>
        </w:rPr>
      </w:pPr>
    </w:p>
    <w:p w14:paraId="15144EF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8FB4A5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单位负责人：                                 法定代表人：</w:t>
      </w:r>
    </w:p>
    <w:p w14:paraId="54FD20A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61DB56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3C69B6E4">
      <w:pPr>
        <w:widowControl/>
        <w:adjustRightInd w:val="0"/>
        <w:snapToGrid w:val="0"/>
        <w:spacing w:line="360" w:lineRule="exact"/>
        <w:jc w:val="left"/>
        <w:rPr>
          <w:rFonts w:hint="eastAsia" w:ascii="宋体" w:hAnsi="宋体" w:eastAsia="宋体" w:cs="宋体"/>
          <w:color w:val="000000"/>
          <w:spacing w:val="-11"/>
          <w:kern w:val="0"/>
          <w:szCs w:val="21"/>
          <w:lang w:eastAsia="zh-CN"/>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lang w:eastAsia="zh-CN"/>
        </w:rPr>
        <w:t>：</w:t>
      </w:r>
    </w:p>
    <w:p w14:paraId="29202D0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CF780C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1483620D">
      <w:pPr>
        <w:widowControl/>
        <w:adjustRightInd w:val="0"/>
        <w:snapToGrid w:val="0"/>
        <w:spacing w:line="360" w:lineRule="exact"/>
        <w:jc w:val="left"/>
        <w:rPr>
          <w:rFonts w:ascii="宋体" w:hAnsi="宋体" w:eastAsia="宋体" w:cs="宋体"/>
          <w:color w:val="000000"/>
          <w:kern w:val="0"/>
          <w:szCs w:val="21"/>
        </w:rPr>
      </w:pPr>
    </w:p>
    <w:p w14:paraId="154890AF">
      <w:pPr>
        <w:widowControl/>
        <w:adjustRightInd w:val="0"/>
        <w:snapToGrid w:val="0"/>
        <w:spacing w:line="360" w:lineRule="exact"/>
        <w:jc w:val="left"/>
        <w:rPr>
          <w:rFonts w:ascii="宋体" w:hAnsi="宋体" w:eastAsia="宋体" w:cs="宋体"/>
          <w:color w:val="000000"/>
          <w:kern w:val="0"/>
          <w:szCs w:val="21"/>
        </w:rPr>
      </w:pPr>
    </w:p>
    <w:p w14:paraId="2F00CE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5D80E7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116FF1C4">
      <w:pPr>
        <w:spacing w:line="400" w:lineRule="exact"/>
        <w:ind w:firstLine="4080" w:firstLineChars="1700"/>
        <w:rPr>
          <w:rFonts w:ascii="宋体" w:hAnsi="宋体" w:eastAsia="宋体" w:cs="宋体"/>
          <w:color w:val="3C3C3C"/>
          <w:kern w:val="0"/>
          <w:sz w:val="32"/>
          <w:szCs w:val="32"/>
        </w:rPr>
      </w:pPr>
      <w:r>
        <w:rPr>
          <w:rFonts w:hint="eastAsia" w:ascii="仿宋_GB2312" w:hAnsi="Calibri" w:eastAsia="仿宋_GB2312"/>
          <w:sz w:val="24"/>
        </w:rPr>
        <w:t xml:space="preserve">         </w:t>
      </w:r>
    </w:p>
    <w:p w14:paraId="6436B9D2">
      <w:pPr>
        <w:spacing w:line="4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p>
    <w:p w14:paraId="401E9F1C">
      <w:pPr>
        <w:jc w:val="center"/>
        <w:rPr>
          <w:b/>
          <w:sz w:val="32"/>
          <w:szCs w:val="32"/>
        </w:rPr>
      </w:pPr>
    </w:p>
    <w:p w14:paraId="4F208D46">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335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098A41B4">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3FED45F5">
            <w:pPr>
              <w:spacing w:after="120" w:line="360" w:lineRule="auto"/>
              <w:jc w:val="center"/>
              <w:rPr>
                <w:rFonts w:eastAsia="黑体"/>
                <w:b/>
                <w:sz w:val="44"/>
                <w:szCs w:val="44"/>
              </w:rPr>
            </w:pPr>
            <w:r>
              <w:rPr>
                <w:rFonts w:hint="eastAsia" w:eastAsia="黑体"/>
                <w:b/>
                <w:sz w:val="44"/>
                <w:szCs w:val="44"/>
              </w:rPr>
              <w:t>（双面打印）</w:t>
            </w:r>
          </w:p>
          <w:p w14:paraId="21681316">
            <w:pPr>
              <w:pStyle w:val="28"/>
              <w:ind w:firstLine="440"/>
              <w:rPr>
                <w:sz w:val="22"/>
                <w:szCs w:val="28"/>
              </w:rPr>
            </w:pPr>
          </w:p>
          <w:p w14:paraId="18441689">
            <w:pPr>
              <w:rPr>
                <w:sz w:val="22"/>
                <w:szCs w:val="28"/>
              </w:rPr>
            </w:pPr>
          </w:p>
          <w:p w14:paraId="5468910F">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596EA1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1A473040">
            <w:pPr>
              <w:pStyle w:val="11"/>
              <w:spacing w:line="360" w:lineRule="auto"/>
              <w:ind w:firstLine="482" w:firstLineChars="150"/>
              <w:rPr>
                <w:rFonts w:eastAsia="仿宋_GB2312"/>
                <w:b/>
                <w:sz w:val="32"/>
              </w:rPr>
            </w:pPr>
            <w:r>
              <w:rPr>
                <w:rFonts w:hint="eastAsia" w:eastAsia="仿宋_GB2312"/>
                <w:b/>
                <w:sz w:val="32"/>
              </w:rPr>
              <w:t xml:space="preserve">项目编号： </w:t>
            </w:r>
          </w:p>
          <w:p w14:paraId="4119405D">
            <w:pPr>
              <w:pStyle w:val="11"/>
              <w:spacing w:line="360" w:lineRule="auto"/>
              <w:ind w:firstLine="482" w:firstLineChars="150"/>
              <w:rPr>
                <w:rFonts w:eastAsia="仿宋_GB2312"/>
                <w:b/>
                <w:sz w:val="32"/>
              </w:rPr>
            </w:pPr>
            <w:r>
              <w:rPr>
                <w:rFonts w:hint="eastAsia" w:eastAsia="仿宋_GB2312"/>
                <w:b/>
                <w:sz w:val="32"/>
              </w:rPr>
              <w:t xml:space="preserve">项目名称： </w:t>
            </w:r>
          </w:p>
          <w:p w14:paraId="1D2990BC">
            <w:pPr>
              <w:pStyle w:val="11"/>
              <w:spacing w:line="360" w:lineRule="auto"/>
              <w:ind w:firstLine="482" w:firstLineChars="150"/>
              <w:rPr>
                <w:rFonts w:eastAsia="仿宋_GB2312"/>
                <w:b/>
                <w:sz w:val="32"/>
              </w:rPr>
            </w:pPr>
            <w:r>
              <w:rPr>
                <w:rFonts w:hint="eastAsia" w:eastAsia="仿宋_GB2312"/>
                <w:b/>
                <w:sz w:val="32"/>
              </w:rPr>
              <w:t>投标供应商：</w:t>
            </w:r>
          </w:p>
          <w:p w14:paraId="23FDD969">
            <w:pPr>
              <w:pStyle w:val="11"/>
              <w:spacing w:line="360" w:lineRule="auto"/>
              <w:ind w:firstLine="482" w:firstLineChars="150"/>
              <w:rPr>
                <w:rFonts w:eastAsia="仿宋_GB2312"/>
                <w:b/>
                <w:sz w:val="32"/>
              </w:rPr>
            </w:pPr>
            <w:r>
              <w:rPr>
                <w:rFonts w:hint="eastAsia" w:eastAsia="仿宋_GB2312"/>
                <w:b/>
                <w:sz w:val="32"/>
              </w:rPr>
              <w:t>法人代表</w:t>
            </w:r>
            <w:r>
              <w:rPr>
                <w:rFonts w:hint="eastAsia" w:eastAsia="仿宋_GB2312"/>
                <w:b/>
                <w:sz w:val="32"/>
                <w:lang w:eastAsia="zh-CN"/>
              </w:rPr>
              <w:t>：</w:t>
            </w:r>
            <w:r>
              <w:rPr>
                <w:rFonts w:eastAsia="仿宋_GB2312"/>
                <w:b/>
                <w:sz w:val="32"/>
              </w:rPr>
              <w:t xml:space="preserve">                                    </w:t>
            </w:r>
          </w:p>
          <w:p w14:paraId="43F023B1">
            <w:pPr>
              <w:pStyle w:val="11"/>
              <w:spacing w:line="360" w:lineRule="auto"/>
              <w:ind w:firstLine="482" w:firstLineChars="150"/>
              <w:rPr>
                <w:rFonts w:eastAsia="仿宋_GB2312"/>
                <w:b/>
                <w:sz w:val="32"/>
              </w:rPr>
            </w:pPr>
            <w:r>
              <w:rPr>
                <w:rFonts w:hint="eastAsia" w:eastAsia="仿宋_GB2312"/>
                <w:b/>
                <w:sz w:val="32"/>
              </w:rPr>
              <w:t xml:space="preserve">投标联系人：                                     </w:t>
            </w:r>
          </w:p>
          <w:p w14:paraId="13938E09">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B76D840">
            <w:pPr>
              <w:pStyle w:val="11"/>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w:t>
            </w:r>
            <w:r>
              <w:rPr>
                <w:rFonts w:hint="eastAsia" w:eastAsia="仿宋_GB2312"/>
                <w:b/>
                <w:sz w:val="32"/>
                <w:lang w:val="en-US" w:eastAsia="zh-CN"/>
              </w:rPr>
              <w:t>6</w:t>
            </w:r>
            <w:r>
              <w:rPr>
                <w:rFonts w:hint="eastAsia" w:eastAsia="仿宋_GB2312"/>
                <w:b/>
                <w:sz w:val="32"/>
              </w:rPr>
              <w:t xml:space="preserve">年X月X日  </w:t>
            </w:r>
          </w:p>
          <w:p w14:paraId="32C720E7">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45F7450D">
      <w:pPr>
        <w:pStyle w:val="3"/>
        <w:tabs>
          <w:tab w:val="left" w:pos="2053"/>
          <w:tab w:val="center" w:pos="4800"/>
        </w:tabs>
        <w:adjustRightInd w:val="0"/>
        <w:snapToGrid w:val="0"/>
        <w:spacing w:line="480" w:lineRule="exact"/>
        <w:ind w:left="420"/>
        <w:rPr>
          <w:rFonts w:hint="eastAsia" w:ascii="方正小标宋_GBK" w:hAnsi="Times New Roman" w:eastAsia="方正小标宋_GBK"/>
          <w:sz w:val="44"/>
          <w:szCs w:val="44"/>
        </w:rPr>
      </w:pPr>
      <w:r>
        <w:rPr>
          <w:rFonts w:ascii="方正小标宋_GBK" w:hAnsi="Times New Roman" w:eastAsia="方正小标宋_GBK"/>
          <w:sz w:val="44"/>
          <w:szCs w:val="44"/>
        </w:rPr>
        <w:t>目录</w:t>
      </w:r>
      <w:r>
        <w:rPr>
          <w:rFonts w:hint="eastAsia" w:ascii="方正小标宋_GBK" w:hAnsi="Times New Roman" w:eastAsia="方正小标宋_GBK"/>
          <w:sz w:val="44"/>
          <w:szCs w:val="44"/>
        </w:rPr>
        <w:t xml:space="preserve">            </w:t>
      </w:r>
      <w:r>
        <w:rPr>
          <w:rFonts w:hint="eastAsia" w:ascii="黑体" w:hAnsi="黑体" w:eastAsia="黑体" w:cs="宋体"/>
          <w:sz w:val="44"/>
          <w:szCs w:val="44"/>
        </w:rPr>
        <w:t>目 录</w:t>
      </w:r>
    </w:p>
    <w:p w14:paraId="035231BF">
      <w:pPr>
        <w:pStyle w:val="43"/>
        <w:numPr>
          <w:ilvl w:val="0"/>
          <w:numId w:val="22"/>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2058120C">
      <w:pPr>
        <w:pStyle w:val="43"/>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780ED759">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7061FF01">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31322C11">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30BF8DCA">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175F4C0F">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329379C">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2BFF03B">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234ECB02">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0F707229">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72EAC2A2">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36923BAF">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3A5EBFAD">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7C74228A">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7D1D0782">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4E46BC80">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58BEA34F">
      <w:pPr>
        <w:pStyle w:val="36"/>
        <w:ind w:firstLine="420"/>
        <w:sectPr>
          <w:pgSz w:w="11906" w:h="16838"/>
          <w:pgMar w:top="1701" w:right="1440" w:bottom="1701" w:left="1440" w:header="851" w:footer="992" w:gutter="0"/>
          <w:cols w:space="0" w:num="1"/>
          <w:docGrid w:linePitch="322" w:charSpace="0"/>
        </w:sectPr>
      </w:pPr>
    </w:p>
    <w:p w14:paraId="7730319A">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、产品投标一览表</w:t>
      </w:r>
    </w:p>
    <w:tbl>
      <w:tblPr>
        <w:tblStyle w:val="29"/>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33"/>
        <w:gridCol w:w="1740"/>
        <w:gridCol w:w="694"/>
        <w:gridCol w:w="710"/>
        <w:gridCol w:w="861"/>
        <w:gridCol w:w="741"/>
        <w:gridCol w:w="848"/>
        <w:gridCol w:w="861"/>
        <w:gridCol w:w="710"/>
        <w:gridCol w:w="716"/>
        <w:gridCol w:w="861"/>
        <w:gridCol w:w="999"/>
        <w:gridCol w:w="716"/>
        <w:gridCol w:w="864"/>
        <w:gridCol w:w="820"/>
        <w:gridCol w:w="656"/>
        <w:gridCol w:w="1065"/>
        <w:gridCol w:w="1310"/>
      </w:tblGrid>
      <w:tr w14:paraId="06D1DCD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AB3604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5A2D71D3">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3AE6590D">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5541249">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224A8016">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7B1717C5">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32F938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09D4D1E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7F91460">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33EAE71A">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6FDFDB6F">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3BF33BF7">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5422936">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613C35BB">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D910697">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6C682F1F">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057D0B8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F5FB36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346F193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6DBE99F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2027E8C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045898D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41798F95">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0A999278">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CC7F02F">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7203D29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32C6674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3DCAF7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68138CA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6C71538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5629A6B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2FD3F59A">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D76A77B">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6F395CA3">
            <w:pPr>
              <w:widowControl/>
              <w:jc w:val="left"/>
              <w:rPr>
                <w:rFonts w:ascii="宋体" w:hAnsi="宋体" w:eastAsia="宋体" w:cs="宋体"/>
                <w:color w:val="000000"/>
                <w:kern w:val="0"/>
                <w:sz w:val="22"/>
                <w:szCs w:val="22"/>
              </w:rPr>
            </w:pPr>
          </w:p>
        </w:tc>
      </w:tr>
      <w:tr w14:paraId="6C4D3209">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20CE9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54FD9222">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04B3314">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6FD119C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45A721E9">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617D8764">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43BDA7A1">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69326E37">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759B4337">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45ECA616">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40C013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E4734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6470805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3A4C50C6">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2FCFC10">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5A74AC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4AC067D">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4CECC22">
            <w:pPr>
              <w:widowControl/>
              <w:jc w:val="left"/>
              <w:rPr>
                <w:rFonts w:ascii="宋体" w:hAnsi="宋体" w:eastAsia="宋体" w:cs="宋体"/>
                <w:color w:val="000000"/>
                <w:kern w:val="0"/>
                <w:sz w:val="22"/>
                <w:szCs w:val="22"/>
              </w:rPr>
            </w:pPr>
          </w:p>
        </w:tc>
      </w:tr>
      <w:tr w14:paraId="4200FFEF">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FA07A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3AA7152D">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5B3BD4A">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ACC00F">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1D8820AB">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3408364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76A6D20F">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68CC8DFC">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3B5BDDF7">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0A624EC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02ABBF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14BD5D2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1ADE45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D8DFDFE">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685CC15C">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AA0D03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2DC6208">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6A191746">
            <w:pPr>
              <w:widowControl/>
              <w:jc w:val="left"/>
              <w:rPr>
                <w:rFonts w:ascii="宋体" w:hAnsi="宋体" w:eastAsia="宋体" w:cs="宋体"/>
                <w:color w:val="000000"/>
                <w:kern w:val="0"/>
                <w:sz w:val="22"/>
                <w:szCs w:val="22"/>
              </w:rPr>
            </w:pPr>
          </w:p>
        </w:tc>
      </w:tr>
      <w:tr w14:paraId="4A328C72">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733469F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02DB68">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564765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21D9F27E">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704C2079">
      <w:pPr>
        <w:pStyle w:val="36"/>
        <w:ind w:firstLine="420"/>
        <w:sectPr>
          <w:pgSz w:w="16838" w:h="11906" w:orient="landscape"/>
          <w:pgMar w:top="1440" w:right="1701" w:bottom="1440" w:left="1701" w:header="851" w:footer="992" w:gutter="0"/>
          <w:cols w:space="0" w:num="1"/>
          <w:docGrid w:linePitch="322" w:charSpace="0"/>
        </w:sectPr>
      </w:pPr>
    </w:p>
    <w:p w14:paraId="667321B7">
      <w:pPr>
        <w:ind w:firstLine="3855" w:firstLineChars="1200"/>
        <w:outlineLvl w:val="0"/>
        <w:rPr>
          <w:rFonts w:ascii="宋体" w:hAnsi="宋体" w:eastAsia="宋体" w:cs="宋体"/>
          <w:b/>
          <w:sz w:val="32"/>
          <w:szCs w:val="32"/>
        </w:rPr>
      </w:pPr>
      <w:r>
        <w:rPr>
          <w:rFonts w:hint="eastAsia" w:ascii="宋体" w:hAnsi="宋体" w:eastAsia="宋体" w:cs="宋体"/>
          <w:b/>
          <w:sz w:val="32"/>
          <w:szCs w:val="32"/>
          <w:lang w:val="en-US" w:eastAsia="zh-CN"/>
        </w:rPr>
        <w:t>二</w:t>
      </w:r>
      <w:r>
        <w:rPr>
          <w:rFonts w:hint="eastAsia" w:ascii="宋体" w:hAnsi="宋体" w:eastAsia="宋体" w:cs="宋体"/>
          <w:b/>
          <w:sz w:val="32"/>
          <w:szCs w:val="32"/>
        </w:rPr>
        <w:t>、自查表</w:t>
      </w:r>
    </w:p>
    <w:p w14:paraId="0F3B92FA">
      <w:pPr>
        <w:pStyle w:val="36"/>
        <w:ind w:firstLine="0" w:firstLineChars="0"/>
        <w:rPr>
          <w:rFonts w:eastAsia="宋体"/>
        </w:rPr>
      </w:pPr>
    </w:p>
    <w:p w14:paraId="73D82ACC">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（一）符合性自查表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D91B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9BDE09C">
            <w:pPr>
              <w:jc w:val="center"/>
              <w:rPr>
                <w:rFonts w:ascii="宋体" w:hAnsi="宋体" w:cs="宋体"/>
                <w:b/>
                <w:bCs/>
                <w:sz w:val="24"/>
              </w:rPr>
            </w:pPr>
            <w:r>
              <w:rPr>
                <w:rFonts w:hint="eastAsia" w:ascii="宋体" w:hAnsi="宋体" w:cs="宋体"/>
                <w:b/>
                <w:bCs/>
                <w:sz w:val="24"/>
              </w:rPr>
              <w:t>序号</w:t>
            </w:r>
          </w:p>
        </w:tc>
        <w:tc>
          <w:tcPr>
            <w:tcW w:w="5431" w:type="dxa"/>
            <w:vAlign w:val="center"/>
          </w:tcPr>
          <w:p w14:paraId="3DDECD38">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2471BC13">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3623E292">
            <w:pPr>
              <w:ind w:right="-178" w:rightChars="-85"/>
              <w:jc w:val="center"/>
              <w:rPr>
                <w:rFonts w:ascii="宋体" w:hAnsi="宋体" w:cs="宋体"/>
                <w:b/>
                <w:bCs/>
                <w:sz w:val="24"/>
              </w:rPr>
            </w:pPr>
            <w:r>
              <w:rPr>
                <w:rFonts w:hint="eastAsia" w:ascii="宋体" w:hAnsi="宋体" w:cs="宋体"/>
                <w:b/>
                <w:bCs/>
                <w:sz w:val="24"/>
              </w:rPr>
              <w:t>证明资料</w:t>
            </w:r>
          </w:p>
        </w:tc>
      </w:tr>
      <w:tr w14:paraId="5EA07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5FBD5749">
            <w:pPr>
              <w:jc w:val="center"/>
              <w:rPr>
                <w:rFonts w:ascii="宋体" w:hAnsi="宋体" w:cs="宋体"/>
                <w:szCs w:val="21"/>
              </w:rPr>
            </w:pPr>
            <w:r>
              <w:rPr>
                <w:rFonts w:hint="eastAsia" w:ascii="宋体" w:hAnsi="宋体" w:cs="宋体"/>
                <w:szCs w:val="21"/>
              </w:rPr>
              <w:t>1</w:t>
            </w:r>
          </w:p>
        </w:tc>
        <w:tc>
          <w:tcPr>
            <w:tcW w:w="5431" w:type="dxa"/>
            <w:vAlign w:val="center"/>
          </w:tcPr>
          <w:p w14:paraId="2BA17F28">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D8450F9">
            <w:pPr>
              <w:ind w:left="40" w:leftChars="19"/>
              <w:rPr>
                <w:rFonts w:ascii="宋体" w:hAnsi="宋体" w:cs="宋体"/>
                <w:szCs w:val="21"/>
              </w:rPr>
            </w:pPr>
            <w:r>
              <w:rPr>
                <w:rFonts w:hint="eastAsia" w:ascii="宋体" w:hAnsi="宋体" w:cs="宋体"/>
                <w:szCs w:val="21"/>
              </w:rPr>
              <w:t>□通过</w:t>
            </w:r>
          </w:p>
          <w:p w14:paraId="1CCB2628">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D838B5E">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174AB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2CB5C16F">
            <w:pPr>
              <w:jc w:val="center"/>
              <w:rPr>
                <w:rFonts w:ascii="宋体" w:hAnsi="宋体" w:cs="宋体"/>
                <w:szCs w:val="21"/>
              </w:rPr>
            </w:pPr>
            <w:r>
              <w:rPr>
                <w:rFonts w:hint="eastAsia" w:ascii="宋体" w:hAnsi="宋体" w:cs="宋体"/>
                <w:szCs w:val="21"/>
              </w:rPr>
              <w:t>2</w:t>
            </w:r>
          </w:p>
        </w:tc>
        <w:tc>
          <w:tcPr>
            <w:tcW w:w="5431" w:type="dxa"/>
            <w:vAlign w:val="center"/>
          </w:tcPr>
          <w:p w14:paraId="0E7A1870">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1837A821">
            <w:pPr>
              <w:ind w:left="36" w:leftChars="17"/>
              <w:rPr>
                <w:rFonts w:ascii="宋体" w:hAnsi="宋体" w:cs="宋体"/>
                <w:szCs w:val="21"/>
              </w:rPr>
            </w:pPr>
            <w:r>
              <w:rPr>
                <w:rFonts w:hint="eastAsia" w:ascii="宋体" w:hAnsi="宋体" w:cs="宋体"/>
                <w:szCs w:val="21"/>
              </w:rPr>
              <w:t>□通过</w:t>
            </w:r>
          </w:p>
          <w:p w14:paraId="7E9B2D81">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6E4E993">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BCD7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130A62">
            <w:pPr>
              <w:jc w:val="center"/>
              <w:rPr>
                <w:rFonts w:ascii="宋体" w:hAnsi="宋体" w:cs="宋体"/>
                <w:szCs w:val="21"/>
              </w:rPr>
            </w:pPr>
            <w:r>
              <w:rPr>
                <w:rFonts w:hint="eastAsia" w:ascii="宋体" w:hAnsi="宋体" w:cs="宋体"/>
                <w:szCs w:val="21"/>
              </w:rPr>
              <w:t>3</w:t>
            </w:r>
          </w:p>
        </w:tc>
        <w:tc>
          <w:tcPr>
            <w:tcW w:w="5431" w:type="dxa"/>
            <w:vAlign w:val="center"/>
          </w:tcPr>
          <w:p w14:paraId="5BEB5EC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2F7824B9">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3149137C">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5500BF77">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D280D23">
            <w:pPr>
              <w:rPr>
                <w:rFonts w:ascii="宋体" w:hAnsi="宋体" w:cs="宋体"/>
                <w:szCs w:val="21"/>
              </w:rPr>
            </w:pPr>
            <w:r>
              <w:rPr>
                <w:rFonts w:hint="eastAsia" w:eastAsia="宋体"/>
                <w:szCs w:val="21"/>
              </w:rPr>
              <w:t>（4）投标报价有严重缺漏项目。</w:t>
            </w:r>
          </w:p>
        </w:tc>
        <w:tc>
          <w:tcPr>
            <w:tcW w:w="1285" w:type="dxa"/>
            <w:vAlign w:val="center"/>
          </w:tcPr>
          <w:p w14:paraId="209E0975">
            <w:pPr>
              <w:ind w:left="36" w:leftChars="17"/>
              <w:rPr>
                <w:rFonts w:ascii="宋体" w:hAnsi="宋体" w:cs="宋体"/>
                <w:szCs w:val="21"/>
              </w:rPr>
            </w:pPr>
            <w:r>
              <w:rPr>
                <w:rFonts w:hint="eastAsia" w:ascii="宋体" w:hAnsi="宋体" w:cs="宋体"/>
                <w:szCs w:val="21"/>
              </w:rPr>
              <w:t>□通过</w:t>
            </w:r>
          </w:p>
          <w:p w14:paraId="0F9E1136">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6C3982A8">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C0C6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7B4778F3">
            <w:pPr>
              <w:jc w:val="center"/>
              <w:rPr>
                <w:rFonts w:ascii="宋体" w:hAnsi="宋体" w:cs="宋体"/>
                <w:szCs w:val="21"/>
              </w:rPr>
            </w:pPr>
            <w:r>
              <w:rPr>
                <w:rFonts w:hint="eastAsia" w:ascii="宋体" w:hAnsi="宋体" w:cs="宋体"/>
                <w:szCs w:val="21"/>
              </w:rPr>
              <w:t>4</w:t>
            </w:r>
          </w:p>
        </w:tc>
        <w:tc>
          <w:tcPr>
            <w:tcW w:w="5431" w:type="dxa"/>
            <w:vAlign w:val="center"/>
          </w:tcPr>
          <w:p w14:paraId="0F22D341">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7F3B80EF">
            <w:pPr>
              <w:ind w:left="40" w:leftChars="19"/>
              <w:rPr>
                <w:rFonts w:ascii="宋体" w:hAnsi="宋体" w:cs="宋体"/>
                <w:szCs w:val="21"/>
              </w:rPr>
            </w:pPr>
            <w:r>
              <w:rPr>
                <w:rFonts w:hint="eastAsia" w:ascii="宋体" w:hAnsi="宋体" w:cs="宋体"/>
                <w:szCs w:val="21"/>
              </w:rPr>
              <w:t>□通过</w:t>
            </w:r>
          </w:p>
          <w:p w14:paraId="53EBB255">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521780B">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7AE68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34CA371">
            <w:pPr>
              <w:jc w:val="center"/>
              <w:rPr>
                <w:rFonts w:ascii="宋体" w:hAnsi="宋体" w:cs="宋体"/>
                <w:szCs w:val="21"/>
              </w:rPr>
            </w:pPr>
            <w:r>
              <w:rPr>
                <w:rFonts w:hint="eastAsia" w:ascii="宋体" w:hAnsi="宋体" w:cs="宋体"/>
                <w:szCs w:val="21"/>
              </w:rPr>
              <w:t>5</w:t>
            </w:r>
          </w:p>
        </w:tc>
        <w:tc>
          <w:tcPr>
            <w:tcW w:w="5431" w:type="dxa"/>
            <w:vAlign w:val="center"/>
          </w:tcPr>
          <w:p w14:paraId="1AB4CE87">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41E5EEF7">
            <w:pPr>
              <w:ind w:left="40" w:leftChars="19"/>
              <w:rPr>
                <w:rFonts w:ascii="宋体" w:hAnsi="宋体" w:cs="宋体"/>
                <w:szCs w:val="21"/>
              </w:rPr>
            </w:pPr>
            <w:r>
              <w:rPr>
                <w:rFonts w:hint="eastAsia" w:ascii="宋体" w:hAnsi="宋体" w:cs="宋体"/>
                <w:szCs w:val="21"/>
              </w:rPr>
              <w:t>□通过</w:t>
            </w:r>
          </w:p>
          <w:p w14:paraId="1E5E9F6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44A04968">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4D9DD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0F07E964">
            <w:pPr>
              <w:jc w:val="center"/>
              <w:rPr>
                <w:rFonts w:ascii="宋体" w:hAnsi="宋体" w:cs="宋体"/>
                <w:szCs w:val="21"/>
              </w:rPr>
            </w:pPr>
            <w:r>
              <w:rPr>
                <w:rFonts w:hint="eastAsia" w:ascii="宋体" w:hAnsi="宋体" w:cs="宋体"/>
                <w:szCs w:val="21"/>
              </w:rPr>
              <w:t>6</w:t>
            </w:r>
          </w:p>
        </w:tc>
        <w:tc>
          <w:tcPr>
            <w:tcW w:w="5431" w:type="dxa"/>
            <w:vAlign w:val="center"/>
          </w:tcPr>
          <w:p w14:paraId="229F3580">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6C93B2B">
            <w:pPr>
              <w:ind w:left="40" w:leftChars="19"/>
              <w:rPr>
                <w:rFonts w:ascii="宋体" w:hAnsi="宋体" w:cs="宋体"/>
                <w:szCs w:val="21"/>
              </w:rPr>
            </w:pPr>
            <w:r>
              <w:rPr>
                <w:rFonts w:hint="eastAsia" w:ascii="宋体" w:hAnsi="宋体" w:cs="宋体"/>
                <w:szCs w:val="21"/>
              </w:rPr>
              <w:t>□通过</w:t>
            </w:r>
          </w:p>
          <w:p w14:paraId="672D9E46">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C67EDAA">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bl>
    <w:p w14:paraId="4EBE4F1E">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04F6D23A">
      <w:pPr>
        <w:pStyle w:val="28"/>
        <w:ind w:firstLine="480"/>
        <w:rPr>
          <w:rFonts w:ascii="宋体" w:hAnsi="宋体" w:eastAsia="宋体" w:cs="宋体"/>
          <w:sz w:val="24"/>
        </w:rPr>
      </w:pPr>
    </w:p>
    <w:p w14:paraId="38B431DA"/>
    <w:p w14:paraId="4B3B55A9">
      <w:pPr>
        <w:spacing w:line="360" w:lineRule="auto"/>
        <w:rPr>
          <w:rFonts w:eastAsia="宋体"/>
          <w:sz w:val="24"/>
        </w:rPr>
      </w:pPr>
      <w:r>
        <w:rPr>
          <w:rFonts w:eastAsia="宋体"/>
          <w:b/>
          <w:bCs/>
          <w:sz w:val="24"/>
        </w:rPr>
        <w:t>投标人单位名称：</w:t>
      </w:r>
    </w:p>
    <w:p w14:paraId="128A3180">
      <w:pPr>
        <w:spacing w:line="360" w:lineRule="auto"/>
        <w:rPr>
          <w:rFonts w:eastAsia="宋体"/>
          <w:b/>
          <w:bCs/>
          <w:sz w:val="24"/>
        </w:rPr>
      </w:pPr>
      <w:r>
        <w:rPr>
          <w:rFonts w:eastAsia="宋体"/>
          <w:b/>
          <w:bCs/>
          <w:sz w:val="24"/>
        </w:rPr>
        <w:t>签发日期：年月日</w:t>
      </w:r>
    </w:p>
    <w:p w14:paraId="6453EFC1">
      <w:pPr>
        <w:spacing w:line="360" w:lineRule="auto"/>
        <w:rPr>
          <w:rFonts w:eastAsia="宋体"/>
          <w:sz w:val="24"/>
        </w:rPr>
      </w:pPr>
      <w:r>
        <w:rPr>
          <w:rFonts w:eastAsia="宋体"/>
          <w:b/>
          <w:sz w:val="24"/>
        </w:rPr>
        <w:t>（此处加盖投标人单位公章）</w:t>
      </w:r>
    </w:p>
    <w:p w14:paraId="07CD9E43">
      <w:pPr>
        <w:spacing w:line="400" w:lineRule="exact"/>
        <w:rPr>
          <w:rFonts w:ascii="宋体"/>
          <w:b/>
          <w:sz w:val="24"/>
        </w:rPr>
      </w:pPr>
    </w:p>
    <w:p w14:paraId="5108E6E8">
      <w:pPr>
        <w:pStyle w:val="28"/>
        <w:ind w:left="0" w:firstLine="0" w:firstLineChars="0"/>
      </w:pPr>
    </w:p>
    <w:p w14:paraId="31F4A4C5"/>
    <w:p w14:paraId="01D2D3C6">
      <w:pPr>
        <w:pStyle w:val="36"/>
        <w:ind w:firstLine="0" w:firstLineChars="0"/>
      </w:pP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5C393151">
      <w:pPr>
        <w:spacing w:line="360" w:lineRule="auto"/>
        <w:rPr>
          <w:rFonts w:eastAsia="宋体"/>
          <w:sz w:val="24"/>
        </w:rPr>
      </w:pPr>
      <w:r>
        <w:rPr>
          <w:rFonts w:eastAsia="宋体"/>
          <w:b/>
          <w:sz w:val="24"/>
        </w:rPr>
        <w:t>（此处加盖投标人单位公章）</w:t>
      </w:r>
    </w:p>
    <w:p w14:paraId="45A8D4C1">
      <w:pPr>
        <w:outlineLvl w:val="0"/>
        <w:rPr>
          <w:rFonts w:ascii="宋体" w:hAnsi="宋体" w:eastAsia="宋体" w:cs="宋体"/>
          <w:b/>
          <w:sz w:val="32"/>
          <w:szCs w:val="32"/>
        </w:rPr>
      </w:pPr>
    </w:p>
    <w:p w14:paraId="7DECBE89">
      <w:pPr>
        <w:jc w:val="center"/>
        <w:outlineLvl w:val="0"/>
        <w:rPr>
          <w:rFonts w:ascii="宋体" w:hAnsi="宋体" w:eastAsia="宋体" w:cs="宋体"/>
          <w:b/>
          <w:sz w:val="32"/>
          <w:szCs w:val="32"/>
        </w:rPr>
      </w:pPr>
    </w:p>
    <w:p w14:paraId="1679AF14">
      <w:pPr>
        <w:jc w:val="center"/>
        <w:outlineLvl w:val="0"/>
        <w:rPr>
          <w:rFonts w:ascii="宋体" w:hAnsi="宋体" w:eastAsia="宋体" w:cs="宋体"/>
          <w:b/>
          <w:sz w:val="32"/>
          <w:szCs w:val="32"/>
        </w:rPr>
      </w:pPr>
    </w:p>
    <w:p w14:paraId="3210E15D">
      <w:pPr>
        <w:jc w:val="center"/>
        <w:outlineLvl w:val="0"/>
        <w:rPr>
          <w:rFonts w:ascii="宋体" w:hAnsi="宋体" w:eastAsia="宋体" w:cs="宋体"/>
          <w:b/>
          <w:sz w:val="32"/>
          <w:szCs w:val="32"/>
        </w:rPr>
      </w:pPr>
    </w:p>
    <w:p w14:paraId="619FC329">
      <w:pPr>
        <w:jc w:val="center"/>
        <w:outlineLvl w:val="0"/>
        <w:rPr>
          <w:rFonts w:ascii="宋体" w:hAnsi="宋体" w:eastAsia="宋体" w:cs="宋体"/>
          <w:b/>
          <w:sz w:val="32"/>
          <w:szCs w:val="32"/>
        </w:rPr>
      </w:pPr>
    </w:p>
    <w:p w14:paraId="4DC85B55">
      <w:pPr>
        <w:jc w:val="center"/>
        <w:outlineLvl w:val="0"/>
        <w:rPr>
          <w:rFonts w:ascii="宋体" w:hAnsi="宋体" w:eastAsia="宋体" w:cs="宋体"/>
          <w:b/>
          <w:sz w:val="32"/>
          <w:szCs w:val="32"/>
        </w:rPr>
      </w:pPr>
    </w:p>
    <w:p w14:paraId="7E6FDCAD">
      <w:pPr>
        <w:jc w:val="center"/>
        <w:outlineLvl w:val="0"/>
        <w:rPr>
          <w:rFonts w:ascii="宋体" w:hAnsi="宋体" w:eastAsia="宋体" w:cs="宋体"/>
          <w:b/>
          <w:sz w:val="32"/>
          <w:szCs w:val="32"/>
        </w:rPr>
      </w:pPr>
    </w:p>
    <w:p w14:paraId="757C9E33">
      <w:pPr>
        <w:ind w:firstLine="3080" w:firstLineChars="1100"/>
        <w:outlineLvl w:val="2"/>
        <w:rPr>
          <w:rFonts w:ascii="方正小标宋简体" w:hAnsi="方正小标宋简体" w:eastAsia="方正小标宋简体" w:cs="方正小标宋简体"/>
          <w:bCs/>
          <w:color w:val="000000"/>
          <w:sz w:val="28"/>
          <w:szCs w:val="28"/>
        </w:rPr>
      </w:pPr>
    </w:p>
    <w:p w14:paraId="00656DA5">
      <w:pPr>
        <w:ind w:firstLine="3080" w:firstLineChars="1100"/>
        <w:outlineLvl w:val="2"/>
        <w:rPr>
          <w:rFonts w:ascii="方正小标宋简体" w:hAnsi="方正小标宋简体" w:eastAsia="方正小标宋简体" w:cs="方正小标宋简体"/>
          <w:bCs/>
          <w:color w:val="000000"/>
          <w:sz w:val="28"/>
          <w:szCs w:val="28"/>
        </w:rPr>
      </w:pPr>
    </w:p>
    <w:p w14:paraId="6C8B2CE9">
      <w:pPr>
        <w:ind w:firstLine="3080" w:firstLineChars="1100"/>
        <w:outlineLvl w:val="2"/>
        <w:rPr>
          <w:rFonts w:ascii="方正小标宋简体" w:hAnsi="方正小标宋简体" w:eastAsia="方正小标宋简体" w:cs="方正小标宋简体"/>
          <w:bCs/>
          <w:color w:val="000000"/>
          <w:sz w:val="28"/>
          <w:szCs w:val="28"/>
        </w:rPr>
      </w:pPr>
    </w:p>
    <w:p w14:paraId="1E9EABE2">
      <w:pPr>
        <w:spacing w:line="360" w:lineRule="auto"/>
        <w:outlineLvl w:val="2"/>
      </w:pPr>
    </w:p>
    <w:p w14:paraId="587C0B35"/>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5"/>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5"/>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5"/>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5"/>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5"/>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5"/>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5"/>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CC60073">
      <w:pPr>
        <w:pStyle w:val="3"/>
        <w:widowControl/>
        <w:spacing w:line="240" w:lineRule="auto"/>
        <w:ind w:firstLine="3600" w:firstLineChars="1200"/>
        <w:rPr>
          <w:rFonts w:ascii="Times New Roman" w:hAnsi="Times New Roman" w:eastAsia="宋体"/>
          <w:sz w:val="30"/>
          <w:szCs w:val="30"/>
        </w:rPr>
      </w:pPr>
      <w:bookmarkStart w:id="25" w:name="_Toc57128634"/>
      <w:r>
        <w:rPr>
          <w:rFonts w:hint="eastAsia" w:ascii="Times New Roman" w:hAnsi="Times New Roman" w:eastAsia="宋体"/>
          <w:sz w:val="30"/>
          <w:szCs w:val="30"/>
        </w:rPr>
        <w:t>（二）</w:t>
      </w:r>
      <w:r>
        <w:rPr>
          <w:rFonts w:ascii="Times New Roman" w:hAnsi="Times New Roman" w:eastAsia="宋体"/>
          <w:sz w:val="30"/>
          <w:szCs w:val="30"/>
        </w:rPr>
        <w:t>签约承诺函</w:t>
      </w:r>
      <w:bookmarkEnd w:id="25"/>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58C848AC">
      <w:pPr>
        <w:pStyle w:val="3"/>
        <w:numPr>
          <w:ilvl w:val="255"/>
          <w:numId w:val="0"/>
        </w:numPr>
        <w:spacing w:line="240" w:lineRule="auto"/>
        <w:jc w:val="center"/>
        <w:rPr>
          <w:rFonts w:hint="eastAsia" w:ascii="Times New Roman" w:hAnsi="Times New Roman" w:eastAsia="宋体" w:cs="Times New Roman"/>
        </w:rPr>
      </w:pPr>
    </w:p>
    <w:p w14:paraId="58CC0646">
      <w:pPr>
        <w:pStyle w:val="3"/>
        <w:numPr>
          <w:ilvl w:val="255"/>
          <w:numId w:val="0"/>
        </w:numPr>
        <w:spacing w:line="240" w:lineRule="auto"/>
        <w:jc w:val="center"/>
        <w:rPr>
          <w:rFonts w:hint="eastAsia" w:ascii="Times New Roman" w:hAnsi="Times New Roman" w:eastAsia="宋体" w:cs="Times New Roman"/>
        </w:rPr>
      </w:pPr>
    </w:p>
    <w:p w14:paraId="02271D8B">
      <w:pPr>
        <w:pStyle w:val="3"/>
        <w:numPr>
          <w:ilvl w:val="255"/>
          <w:numId w:val="0"/>
        </w:numPr>
        <w:spacing w:line="240" w:lineRule="auto"/>
        <w:jc w:val="center"/>
        <w:rPr>
          <w:rFonts w:hint="eastAsia" w:ascii="Times New Roman" w:hAnsi="Times New Roman" w:eastAsia="宋体" w:cs="Times New Roman"/>
        </w:rPr>
      </w:pPr>
    </w:p>
    <w:p w14:paraId="06BDC956">
      <w:pPr>
        <w:pStyle w:val="3"/>
        <w:numPr>
          <w:ilvl w:val="255"/>
          <w:numId w:val="0"/>
        </w:numPr>
        <w:spacing w:line="240" w:lineRule="auto"/>
        <w:jc w:val="center"/>
        <w:rPr>
          <w:rFonts w:hint="eastAsia" w:ascii="Times New Roman" w:hAnsi="Times New Roman" w:eastAsia="宋体" w:cs="Times New Roman"/>
        </w:rPr>
      </w:pPr>
    </w:p>
    <w:p w14:paraId="02945F7D">
      <w:pPr>
        <w:pStyle w:val="3"/>
        <w:numPr>
          <w:ilvl w:val="255"/>
          <w:numId w:val="0"/>
        </w:numPr>
        <w:spacing w:line="240" w:lineRule="auto"/>
        <w:jc w:val="center"/>
        <w:rPr>
          <w:rFonts w:hint="eastAsia" w:ascii="Times New Roman" w:hAnsi="Times New Roman" w:eastAsia="宋体" w:cs="Times New Roman"/>
        </w:rPr>
      </w:pPr>
    </w:p>
    <w:p w14:paraId="267F32E7">
      <w:pPr>
        <w:pStyle w:val="3"/>
        <w:numPr>
          <w:ilvl w:val="255"/>
          <w:numId w:val="0"/>
        </w:numPr>
        <w:spacing w:line="240" w:lineRule="auto"/>
        <w:jc w:val="center"/>
        <w:rPr>
          <w:rFonts w:hint="eastAsia" w:ascii="Times New Roman" w:hAnsi="Times New Roman" w:eastAsia="宋体" w:cs="Times New Roman"/>
        </w:rPr>
      </w:pPr>
    </w:p>
    <w:p w14:paraId="660F1FDF">
      <w:pPr>
        <w:pStyle w:val="3"/>
        <w:numPr>
          <w:ilvl w:val="255"/>
          <w:numId w:val="0"/>
        </w:numPr>
        <w:spacing w:line="240" w:lineRule="auto"/>
        <w:jc w:val="center"/>
        <w:rPr>
          <w:rFonts w:hint="eastAsia" w:ascii="Times New Roman" w:hAnsi="Times New Roman" w:eastAsia="宋体" w:cs="Times New Roman"/>
        </w:rPr>
      </w:pPr>
    </w:p>
    <w:p w14:paraId="07C8C59F">
      <w:pPr>
        <w:pStyle w:val="3"/>
        <w:numPr>
          <w:ilvl w:val="255"/>
          <w:numId w:val="0"/>
        </w:numPr>
        <w:spacing w:line="240" w:lineRule="auto"/>
        <w:jc w:val="center"/>
        <w:rPr>
          <w:rFonts w:hint="eastAsia" w:ascii="Times New Roman" w:hAnsi="Times New Roman" w:eastAsia="宋体" w:cs="Times New Roman"/>
        </w:rPr>
      </w:pPr>
    </w:p>
    <w:p w14:paraId="1232CA53">
      <w:pPr>
        <w:pStyle w:val="3"/>
        <w:numPr>
          <w:ilvl w:val="255"/>
          <w:numId w:val="0"/>
        </w:numPr>
        <w:spacing w:line="240" w:lineRule="auto"/>
        <w:jc w:val="center"/>
        <w:rPr>
          <w:rFonts w:ascii="Times New Roman" w:hAnsi="Times New Roman" w:eastAsia="宋体" w:cs="Times New Roman"/>
        </w:rPr>
      </w:pPr>
      <w:r>
        <w:rPr>
          <w:rFonts w:hint="eastAsia" w:ascii="Times New Roman" w:hAnsi="Times New Roman" w:eastAsia="宋体" w:cs="Times New Roman"/>
        </w:rPr>
        <w:t>（三）</w:t>
      </w:r>
      <w:r>
        <w:rPr>
          <w:rFonts w:ascii="Times New Roman" w:hAnsi="Times New Roman" w:eastAsia="宋体" w:cs="Times New Roman"/>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27"/>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5CD69674">
      <w:pPr>
        <w:pStyle w:val="3"/>
        <w:numPr>
          <w:ilvl w:val="255"/>
          <w:numId w:val="0"/>
        </w:numPr>
        <w:spacing w:line="240" w:lineRule="auto"/>
        <w:jc w:val="center"/>
        <w:rPr>
          <w:rFonts w:hint="eastAsia" w:ascii="宋体" w:hAnsi="宋体" w:eastAsia="宋体" w:cs="宋体"/>
          <w:b/>
          <w:bCs/>
          <w:sz w:val="32"/>
          <w:szCs w:val="32"/>
        </w:rPr>
      </w:pPr>
      <w:bookmarkStart w:id="26" w:name="_Toc14534"/>
      <w:r>
        <w:rPr>
          <w:rFonts w:hint="eastAsia" w:eastAsia="宋体" w:cstheme="majorBidi"/>
          <w:b/>
          <w:bCs/>
          <w:sz w:val="28"/>
          <w:szCs w:val="28"/>
        </w:rPr>
        <w:t>（七）</w:t>
      </w:r>
      <w:bookmarkEnd w:id="26"/>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8"/>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8"/>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-353695</wp:posOffset>
                </wp:positionH>
                <wp:positionV relativeFrom="paragraph">
                  <wp:posOffset>74930</wp:posOffset>
                </wp:positionV>
                <wp:extent cx="3086100" cy="985520"/>
                <wp:effectExtent l="4445" t="5080" r="14605" b="1905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98552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xPj4tgAAAAKAQAADwAAAAAAAAABACAAAAAiAAAAZHJzL2Rvd25yZXYu&#10;eG1sUEsBAhQAFAAAAAgAh07iQOwaWkY0AgAAiwQAAA4AAAAAAAAAAQAgAAAAJwEAAGRycy9lMm9E&#10;b2MueG1sUEsFBgAAAAAGAAYAWQEAAM0FA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2911475</wp:posOffset>
                </wp:positionH>
                <wp:positionV relativeFrom="paragraph">
                  <wp:posOffset>84455</wp:posOffset>
                </wp:positionV>
                <wp:extent cx="3086100" cy="942340"/>
                <wp:effectExtent l="4445" t="4445" r="14605" b="5715"/>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94234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GmjAm2AAAAAoBAAAPAAAAAAAAAAEAIAAAACIAAABkcnMvZG93bnJldi54&#10;bWxQSwECFAAUAAAACACHTuJArWJr2DMCAACLBAAADgAAAAAAAAABACAAAAAnAQAAZHJzL2Uyb0Rv&#10;Yy54bWxQSwUGAAAAAAYABgBZAQAAzAU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83A9473"/>
    <w:p w14:paraId="31B3E35F">
      <w:pPr>
        <w:pStyle w:val="11"/>
      </w:pPr>
    </w:p>
    <w:p w14:paraId="7F8FD72D"/>
    <w:p w14:paraId="59CCA7AB">
      <w:pPr>
        <w:pStyle w:val="11"/>
      </w:pPr>
    </w:p>
    <w:p w14:paraId="0C5BC26B"/>
    <w:p w14:paraId="112DE5B0">
      <w:r>
        <w:rPr>
          <w:rFonts w:ascii="宋体"/>
        </w:rPr>
        <mc:AlternateContent>
          <mc:Choice Requires="wps">
            <w:drawing>
              <wp:anchor distT="0" distB="0" distL="114300" distR="114300" simplePos="0" relativeHeight="251664384" behindDoc="0" locked="0" layoutInCell="1" allowOverlap="1">
                <wp:simplePos x="0" y="0"/>
                <wp:positionH relativeFrom="column">
                  <wp:posOffset>-337820</wp:posOffset>
                </wp:positionH>
                <wp:positionV relativeFrom="paragraph">
                  <wp:posOffset>62865</wp:posOffset>
                </wp:positionV>
                <wp:extent cx="6353175" cy="670560"/>
                <wp:effectExtent l="5080" t="4445" r="4445" b="10795"/>
                <wp:wrapNone/>
                <wp:docPr id="6" name="Rectangle 4"/>
                <wp:cNvGraphicFramePr/>
                <a:graphic xmlns:a="http://schemas.openxmlformats.org/drawingml/2006/main">
                  <a:graphicData uri="http://schemas.microsoft.com/office/word/2010/wordprocessingShape">
                    <wps:wsp>
                      <wps:cNvSpPr>
                        <a:spLocks noChangeArrowheads="1"/>
                      </wps:cNvSpPr>
                      <wps:spPr bwMode="auto">
                        <a:xfrm>
                          <a:off x="0" y="0"/>
                          <a:ext cx="6353175" cy="670560"/>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IWH9fYAAAACQEAAA8AAAAAAAAAAQAgAAAAIgAAAGRycy9kb3ducmV2&#10;LnhtbFBLAQIUABQAAAAIAIdO4kDs4rHRNQIAAIsEAAAOAAAAAAAAAAEAIAAAACcBAABkcnMvZTJv&#10;RG9jLnhtbFBLBQYAAAAABgAGAFkBAADOBQ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7" w:name="_Hlk126913563"/>
      <w:bookmarkStart w:id="28" w:name="_Hlk126044986"/>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7"/>
    <w:bookmarkEnd w:id="28"/>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30A28CB6">
      <w:pPr>
        <w:widowControl/>
        <w:jc w:val="left"/>
      </w:pP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6507148-43F9-4CA7-A5BB-C971790A5A8C}"/>
  </w:font>
  <w:font w:name="黑体">
    <w:panose1 w:val="02010609060101010101"/>
    <w:charset w:val="86"/>
    <w:family w:val="auto"/>
    <w:pitch w:val="default"/>
    <w:sig w:usb0="800002BF" w:usb1="38CF7CFA" w:usb2="00000016" w:usb3="00000000" w:csb0="00040001" w:csb1="00000000"/>
    <w:embedRegular r:id="rId2" w:fontKey="{AFE4E42C-3603-41B3-9C8A-2745428A106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46197B57-22B5-49E1-9FF4-F1D5F1DA64E4}"/>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4" w:fontKey="{08244319-67E4-4A93-9584-D3436782EBE7}"/>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5" w:fontKey="{53FE791F-2A73-4D6E-A2A3-AB3ADD545E6A}"/>
  </w:font>
  <w:font w:name="华文中宋">
    <w:panose1 w:val="02010600040101010101"/>
    <w:charset w:val="86"/>
    <w:family w:val="auto"/>
    <w:pitch w:val="default"/>
    <w:sig w:usb0="00000287" w:usb1="080F0000" w:usb2="00000000" w:usb3="00000000" w:csb0="0004009F" w:csb1="DFD70000"/>
    <w:embedRegular r:id="rId6" w:fontKey="{F8A2D8C7-D594-4952-B391-ADEAF56E948F}"/>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7" w:fontKey="{A2EBF0B1-530F-4E5D-8B15-D48BA794A30E}"/>
  </w:font>
  <w:font w:name="方正小标宋简体">
    <w:panose1 w:val="02000000000000000000"/>
    <w:charset w:val="86"/>
    <w:family w:val="auto"/>
    <w:pitch w:val="default"/>
    <w:sig w:usb0="00000001" w:usb1="080E0000" w:usb2="00000000" w:usb3="00000000" w:csb0="00040000" w:csb1="00000000"/>
    <w:embedRegular r:id="rId8" w:fontKey="{1244035D-FE47-42AF-ACED-FF93FA03314A}"/>
  </w:font>
  <w:font w:name="仿宋">
    <w:panose1 w:val="02010609060101010101"/>
    <w:charset w:val="86"/>
    <w:family w:val="modern"/>
    <w:pitch w:val="default"/>
    <w:sig w:usb0="800002BF" w:usb1="38CF7CFA" w:usb2="00000016" w:usb3="00000000" w:csb0="00040001" w:csb1="00000000"/>
    <w:embedRegular r:id="rId9" w:fontKey="{A6065B7C-243D-45B5-9441-0196626981EE}"/>
  </w:font>
  <w:font w:name="方正小标宋_GBK">
    <w:panose1 w:val="02000000000000000000"/>
    <w:charset w:val="86"/>
    <w:family w:val="script"/>
    <w:pitch w:val="default"/>
    <w:sig w:usb0="A00002BF" w:usb1="38CF7CFA" w:usb2="00082016" w:usb3="00000000" w:csb0="00040001" w:csb1="00000000"/>
    <w:embedRegular r:id="rId10" w:fontKey="{1507F925-1E9B-4A93-8E2D-5797C955AF30}"/>
  </w:font>
  <w:font w:name="WPSEMBED1">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mc:Fallback>
      </mc:AlternateConten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96FAFE7"/>
    <w:multiLevelType w:val="singleLevel"/>
    <w:tmpl w:val="996FAFE7"/>
    <w:lvl w:ilvl="0" w:tentative="0">
      <w:start w:val="1"/>
      <w:numFmt w:val="decimal"/>
      <w:lvlText w:val="%1)"/>
      <w:lvlJc w:val="left"/>
      <w:pPr>
        <w:ind w:left="425" w:hanging="425"/>
      </w:pPr>
      <w:rPr>
        <w:rFonts w:hint="default"/>
      </w:rPr>
    </w:lvl>
  </w:abstractNum>
  <w:abstractNum w:abstractNumId="2">
    <w:nsid w:val="B2F286B7"/>
    <w:multiLevelType w:val="singleLevel"/>
    <w:tmpl w:val="B2F286B7"/>
    <w:lvl w:ilvl="0" w:tentative="0">
      <w:start w:val="1"/>
      <w:numFmt w:val="chineseCounting"/>
      <w:suff w:val="space"/>
      <w:lvlText w:val="第%1章"/>
      <w:lvlJc w:val="left"/>
      <w:rPr>
        <w:rFonts w:hint="eastAsia"/>
      </w:rPr>
    </w:lvl>
  </w:abstractNum>
  <w:abstractNum w:abstractNumId="3">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D70FB1DE"/>
    <w:multiLevelType w:val="singleLevel"/>
    <w:tmpl w:val="D70FB1DE"/>
    <w:lvl w:ilvl="0" w:tentative="0">
      <w:start w:val="2"/>
      <w:numFmt w:val="decimal"/>
      <w:suff w:val="space"/>
      <w:lvlText w:val="%1."/>
      <w:lvlJc w:val="left"/>
    </w:lvl>
  </w:abstractNum>
  <w:abstractNum w:abstractNumId="6">
    <w:nsid w:val="D9146FBB"/>
    <w:multiLevelType w:val="singleLevel"/>
    <w:tmpl w:val="D9146FBB"/>
    <w:lvl w:ilvl="0" w:tentative="0">
      <w:start w:val="1"/>
      <w:numFmt w:val="chineseCounting"/>
      <w:suff w:val="nothing"/>
      <w:lvlText w:val="（%1）"/>
      <w:lvlJc w:val="left"/>
      <w:rPr>
        <w:rFonts w:hint="eastAsia"/>
      </w:rPr>
    </w:lvl>
  </w:abstractNum>
  <w:abstractNum w:abstractNumId="7">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8">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9">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0">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1">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3">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4">
    <w:nsid w:val="1B4CD236"/>
    <w:multiLevelType w:val="singleLevel"/>
    <w:tmpl w:val="1B4CD236"/>
    <w:lvl w:ilvl="0" w:tentative="0">
      <w:start w:val="6"/>
      <w:numFmt w:val="chineseCounting"/>
      <w:suff w:val="space"/>
      <w:lvlText w:val="第%1章"/>
      <w:lvlJc w:val="left"/>
      <w:rPr>
        <w:rFonts w:hint="eastAsia"/>
      </w:rPr>
    </w:lvl>
  </w:abstractNum>
  <w:abstractNum w:abstractNumId="15">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6">
    <w:nsid w:val="36B6CA1F"/>
    <w:multiLevelType w:val="singleLevel"/>
    <w:tmpl w:val="36B6CA1F"/>
    <w:lvl w:ilvl="0" w:tentative="0">
      <w:start w:val="1"/>
      <w:numFmt w:val="decimal"/>
      <w:lvlText w:val="(%1)"/>
      <w:lvlJc w:val="left"/>
      <w:pPr>
        <w:ind w:left="425" w:hanging="425"/>
      </w:pPr>
      <w:rPr>
        <w:rFonts w:hint="default"/>
      </w:rPr>
    </w:lvl>
  </w:abstractNum>
  <w:abstractNum w:abstractNumId="17">
    <w:nsid w:val="3DF4FAB0"/>
    <w:multiLevelType w:val="singleLevel"/>
    <w:tmpl w:val="3DF4FAB0"/>
    <w:lvl w:ilvl="0" w:tentative="0">
      <w:start w:val="1"/>
      <w:numFmt w:val="decimal"/>
      <w:lvlText w:val="(%1)"/>
      <w:lvlJc w:val="left"/>
      <w:pPr>
        <w:ind w:left="425" w:hanging="425"/>
      </w:pPr>
      <w:rPr>
        <w:rFonts w:hint="default"/>
      </w:rPr>
    </w:lvl>
  </w:abstractNum>
  <w:abstractNum w:abstractNumId="18">
    <w:nsid w:val="4588B6C0"/>
    <w:multiLevelType w:val="singleLevel"/>
    <w:tmpl w:val="4588B6C0"/>
    <w:lvl w:ilvl="0" w:tentative="0">
      <w:start w:val="1"/>
      <w:numFmt w:val="decimal"/>
      <w:suff w:val="nothing"/>
      <w:lvlText w:val="（%1）"/>
      <w:lvlJc w:val="left"/>
      <w:pPr>
        <w:ind w:left="630"/>
      </w:pPr>
    </w:lvl>
  </w:abstractNum>
  <w:abstractNum w:abstractNumId="19">
    <w:nsid w:val="4806A50A"/>
    <w:multiLevelType w:val="singleLevel"/>
    <w:tmpl w:val="4806A50A"/>
    <w:lvl w:ilvl="0" w:tentative="0">
      <w:start w:val="1"/>
      <w:numFmt w:val="decimal"/>
      <w:lvlText w:val="%1)"/>
      <w:lvlJc w:val="left"/>
      <w:pPr>
        <w:ind w:left="425" w:hanging="425"/>
      </w:pPr>
      <w:rPr>
        <w:rFonts w:hint="default"/>
      </w:rPr>
    </w:lvl>
  </w:abstractNum>
  <w:abstractNum w:abstractNumId="20">
    <w:nsid w:val="48C58054"/>
    <w:multiLevelType w:val="singleLevel"/>
    <w:tmpl w:val="48C58054"/>
    <w:lvl w:ilvl="0" w:tentative="0">
      <w:start w:val="6"/>
      <w:numFmt w:val="chineseCounting"/>
      <w:suff w:val="nothing"/>
      <w:lvlText w:val="%1、"/>
      <w:lvlJc w:val="left"/>
      <w:rPr>
        <w:rFonts w:hint="eastAsia"/>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5F9A95EA"/>
    <w:multiLevelType w:val="singleLevel"/>
    <w:tmpl w:val="5F9A95EA"/>
    <w:lvl w:ilvl="0" w:tentative="0">
      <w:start w:val="1"/>
      <w:numFmt w:val="decimal"/>
      <w:lvlText w:val="%1)"/>
      <w:lvlJc w:val="left"/>
      <w:pPr>
        <w:ind w:left="425" w:hanging="425"/>
      </w:pPr>
      <w:rPr>
        <w:rFonts w:hint="default"/>
      </w:rPr>
    </w:lvl>
  </w:abstractNum>
  <w:abstractNum w:abstractNumId="25">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6">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7">
    <w:nsid w:val="77D5EEE3"/>
    <w:multiLevelType w:val="singleLevel"/>
    <w:tmpl w:val="77D5EEE3"/>
    <w:lvl w:ilvl="0" w:tentative="0">
      <w:start w:val="1"/>
      <w:numFmt w:val="decimal"/>
      <w:lvlText w:val="(%1)"/>
      <w:lvlJc w:val="left"/>
      <w:pPr>
        <w:ind w:left="425" w:hanging="425"/>
      </w:pPr>
      <w:rPr>
        <w:rFonts w:hint="default"/>
      </w:rPr>
    </w:lvl>
  </w:abstractNum>
  <w:num w:numId="1">
    <w:abstractNumId w:val="26"/>
  </w:num>
  <w:num w:numId="2">
    <w:abstractNumId w:val="2"/>
  </w:num>
  <w:num w:numId="3">
    <w:abstractNumId w:val="13"/>
  </w:num>
  <w:num w:numId="4">
    <w:abstractNumId w:val="7"/>
  </w:num>
  <w:num w:numId="5">
    <w:abstractNumId w:val="15"/>
  </w:num>
  <w:num w:numId="6">
    <w:abstractNumId w:val="9"/>
  </w:num>
  <w:num w:numId="7">
    <w:abstractNumId w:val="22"/>
  </w:num>
  <w:num w:numId="8">
    <w:abstractNumId w:val="21"/>
  </w:num>
  <w:num w:numId="9">
    <w:abstractNumId w:val="3"/>
  </w:num>
  <w:num w:numId="10">
    <w:abstractNumId w:val="17"/>
  </w:num>
  <w:num w:numId="11">
    <w:abstractNumId w:val="11"/>
  </w:num>
  <w:num w:numId="12">
    <w:abstractNumId w:val="10"/>
  </w:num>
  <w:num w:numId="13">
    <w:abstractNumId w:val="27"/>
  </w:num>
  <w:num w:numId="14">
    <w:abstractNumId w:val="16"/>
  </w:num>
  <w:num w:numId="15">
    <w:abstractNumId w:val="1"/>
  </w:num>
  <w:num w:numId="16">
    <w:abstractNumId w:val="24"/>
  </w:num>
  <w:num w:numId="17">
    <w:abstractNumId w:val="19"/>
  </w:num>
  <w:num w:numId="18">
    <w:abstractNumId w:val="20"/>
  </w:num>
  <w:num w:numId="19">
    <w:abstractNumId w:val="14"/>
  </w:num>
  <w:num w:numId="20">
    <w:abstractNumId w:val="18"/>
  </w:num>
  <w:num w:numId="21">
    <w:abstractNumId w:val="5"/>
  </w:num>
  <w:num w:numId="22">
    <w:abstractNumId w:val="25"/>
  </w:num>
  <w:num w:numId="23">
    <w:abstractNumId w:val="8"/>
  </w:num>
  <w:num w:numId="24">
    <w:abstractNumId w:val="6"/>
  </w:num>
  <w:num w:numId="25">
    <w:abstractNumId w:val="12"/>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0EAD"/>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099E"/>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2E21"/>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3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0B26"/>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B60B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2104022"/>
    <w:rsid w:val="02661E94"/>
    <w:rsid w:val="02D2752A"/>
    <w:rsid w:val="030A6CC4"/>
    <w:rsid w:val="030E2569"/>
    <w:rsid w:val="036F6B27"/>
    <w:rsid w:val="03BD1657"/>
    <w:rsid w:val="04C609C8"/>
    <w:rsid w:val="04CE3D21"/>
    <w:rsid w:val="04E35A1E"/>
    <w:rsid w:val="05715D6E"/>
    <w:rsid w:val="057523EE"/>
    <w:rsid w:val="05850883"/>
    <w:rsid w:val="05AC5740"/>
    <w:rsid w:val="062A4F87"/>
    <w:rsid w:val="066426AB"/>
    <w:rsid w:val="06CE7C54"/>
    <w:rsid w:val="070C6AB3"/>
    <w:rsid w:val="0722284A"/>
    <w:rsid w:val="072458B8"/>
    <w:rsid w:val="07320597"/>
    <w:rsid w:val="07683527"/>
    <w:rsid w:val="079B25E0"/>
    <w:rsid w:val="07A05F2C"/>
    <w:rsid w:val="08403A7A"/>
    <w:rsid w:val="085546C8"/>
    <w:rsid w:val="08C9422C"/>
    <w:rsid w:val="08EE6740"/>
    <w:rsid w:val="09181A0E"/>
    <w:rsid w:val="09303623"/>
    <w:rsid w:val="09491AC5"/>
    <w:rsid w:val="0963712E"/>
    <w:rsid w:val="09FA4319"/>
    <w:rsid w:val="0A012879"/>
    <w:rsid w:val="0A243FBF"/>
    <w:rsid w:val="0A263C68"/>
    <w:rsid w:val="0A2F0DBE"/>
    <w:rsid w:val="0A5667CD"/>
    <w:rsid w:val="0AFD710E"/>
    <w:rsid w:val="0B4A6058"/>
    <w:rsid w:val="0B512C73"/>
    <w:rsid w:val="0B677C63"/>
    <w:rsid w:val="0B791848"/>
    <w:rsid w:val="0BE95409"/>
    <w:rsid w:val="0C197A76"/>
    <w:rsid w:val="0C4F1BEB"/>
    <w:rsid w:val="0C69274A"/>
    <w:rsid w:val="0C9B1CCF"/>
    <w:rsid w:val="0CB57F62"/>
    <w:rsid w:val="0CC558CE"/>
    <w:rsid w:val="0CCE2622"/>
    <w:rsid w:val="0CD563F7"/>
    <w:rsid w:val="0D240982"/>
    <w:rsid w:val="0D7C07BE"/>
    <w:rsid w:val="0E085C48"/>
    <w:rsid w:val="0EBB3AA4"/>
    <w:rsid w:val="0FAD08ED"/>
    <w:rsid w:val="0FC224C3"/>
    <w:rsid w:val="100D0676"/>
    <w:rsid w:val="1021389E"/>
    <w:rsid w:val="106F34D8"/>
    <w:rsid w:val="108F0808"/>
    <w:rsid w:val="10A23C41"/>
    <w:rsid w:val="10B42FE9"/>
    <w:rsid w:val="10C064F5"/>
    <w:rsid w:val="11113C16"/>
    <w:rsid w:val="119A47CB"/>
    <w:rsid w:val="11EE155E"/>
    <w:rsid w:val="120732E1"/>
    <w:rsid w:val="12B66C1C"/>
    <w:rsid w:val="136C6BDF"/>
    <w:rsid w:val="13713171"/>
    <w:rsid w:val="13904FC3"/>
    <w:rsid w:val="13A63ACA"/>
    <w:rsid w:val="13C24A51"/>
    <w:rsid w:val="140B464A"/>
    <w:rsid w:val="14175BB0"/>
    <w:rsid w:val="14554229"/>
    <w:rsid w:val="14882CBA"/>
    <w:rsid w:val="14922FE9"/>
    <w:rsid w:val="14A34882"/>
    <w:rsid w:val="14A44FB8"/>
    <w:rsid w:val="14E75DFB"/>
    <w:rsid w:val="14EE3866"/>
    <w:rsid w:val="15180BA4"/>
    <w:rsid w:val="15420113"/>
    <w:rsid w:val="15D849FF"/>
    <w:rsid w:val="15DC43E5"/>
    <w:rsid w:val="15EA1883"/>
    <w:rsid w:val="16503E5D"/>
    <w:rsid w:val="16714F7E"/>
    <w:rsid w:val="16BA5DAD"/>
    <w:rsid w:val="16D5721C"/>
    <w:rsid w:val="16DA42D5"/>
    <w:rsid w:val="16F969DB"/>
    <w:rsid w:val="171A032B"/>
    <w:rsid w:val="17324FA7"/>
    <w:rsid w:val="18510A99"/>
    <w:rsid w:val="188340A0"/>
    <w:rsid w:val="18C84236"/>
    <w:rsid w:val="190B1E92"/>
    <w:rsid w:val="190E52BA"/>
    <w:rsid w:val="19285BF1"/>
    <w:rsid w:val="19A23C56"/>
    <w:rsid w:val="19B61E14"/>
    <w:rsid w:val="19E93F2E"/>
    <w:rsid w:val="19EA176D"/>
    <w:rsid w:val="19EE77E2"/>
    <w:rsid w:val="1A0231EB"/>
    <w:rsid w:val="1A845156"/>
    <w:rsid w:val="1AD41093"/>
    <w:rsid w:val="1AF94279"/>
    <w:rsid w:val="1B46065D"/>
    <w:rsid w:val="1B4D5F47"/>
    <w:rsid w:val="1BAB2FDC"/>
    <w:rsid w:val="1C6360EC"/>
    <w:rsid w:val="1CEC2B3E"/>
    <w:rsid w:val="1D0535E1"/>
    <w:rsid w:val="1D122527"/>
    <w:rsid w:val="1D471F18"/>
    <w:rsid w:val="1DA430AA"/>
    <w:rsid w:val="1E141DF9"/>
    <w:rsid w:val="1EAB60A6"/>
    <w:rsid w:val="1EAE474B"/>
    <w:rsid w:val="1EE76CC2"/>
    <w:rsid w:val="1F1B41F1"/>
    <w:rsid w:val="1F2760B0"/>
    <w:rsid w:val="1F980D5B"/>
    <w:rsid w:val="1F9F0833"/>
    <w:rsid w:val="1FB5190D"/>
    <w:rsid w:val="1FFB05D4"/>
    <w:rsid w:val="1FFE32B4"/>
    <w:rsid w:val="20B25CBE"/>
    <w:rsid w:val="20D81D57"/>
    <w:rsid w:val="217F21D3"/>
    <w:rsid w:val="21951A7A"/>
    <w:rsid w:val="21C127EB"/>
    <w:rsid w:val="21DC5877"/>
    <w:rsid w:val="21F55351"/>
    <w:rsid w:val="22327245"/>
    <w:rsid w:val="227616EA"/>
    <w:rsid w:val="22A243CB"/>
    <w:rsid w:val="23AF490C"/>
    <w:rsid w:val="23E206E4"/>
    <w:rsid w:val="241F1A4B"/>
    <w:rsid w:val="24442CF2"/>
    <w:rsid w:val="249E5BD9"/>
    <w:rsid w:val="24B05A43"/>
    <w:rsid w:val="251F58B8"/>
    <w:rsid w:val="25335A76"/>
    <w:rsid w:val="257965BE"/>
    <w:rsid w:val="25897742"/>
    <w:rsid w:val="258E50DA"/>
    <w:rsid w:val="25AC5565"/>
    <w:rsid w:val="25B85CB3"/>
    <w:rsid w:val="26013AFE"/>
    <w:rsid w:val="262A4E03"/>
    <w:rsid w:val="26485C0D"/>
    <w:rsid w:val="26CD4B45"/>
    <w:rsid w:val="274E2D73"/>
    <w:rsid w:val="27565784"/>
    <w:rsid w:val="277677B1"/>
    <w:rsid w:val="27AB0837"/>
    <w:rsid w:val="281B3EE1"/>
    <w:rsid w:val="283C2E70"/>
    <w:rsid w:val="28700A17"/>
    <w:rsid w:val="29262F95"/>
    <w:rsid w:val="292C4690"/>
    <w:rsid w:val="296A3769"/>
    <w:rsid w:val="29B33674"/>
    <w:rsid w:val="2A04596B"/>
    <w:rsid w:val="2A1E2AB2"/>
    <w:rsid w:val="2A29419B"/>
    <w:rsid w:val="2A7D4161"/>
    <w:rsid w:val="2A8940C2"/>
    <w:rsid w:val="2BB37401"/>
    <w:rsid w:val="2BBE4A09"/>
    <w:rsid w:val="2C4E4E7B"/>
    <w:rsid w:val="2D305785"/>
    <w:rsid w:val="2DDB2E87"/>
    <w:rsid w:val="2DF5037E"/>
    <w:rsid w:val="2EBE628C"/>
    <w:rsid w:val="2FA22E86"/>
    <w:rsid w:val="2FEC137B"/>
    <w:rsid w:val="30E42053"/>
    <w:rsid w:val="310D5099"/>
    <w:rsid w:val="31321010"/>
    <w:rsid w:val="315076E8"/>
    <w:rsid w:val="3162492F"/>
    <w:rsid w:val="31AF0359"/>
    <w:rsid w:val="31EE248D"/>
    <w:rsid w:val="3216453B"/>
    <w:rsid w:val="324D05C0"/>
    <w:rsid w:val="33097BA0"/>
    <w:rsid w:val="33126195"/>
    <w:rsid w:val="33833DA5"/>
    <w:rsid w:val="340B487E"/>
    <w:rsid w:val="3435692C"/>
    <w:rsid w:val="34627E5E"/>
    <w:rsid w:val="34876E3B"/>
    <w:rsid w:val="34D53509"/>
    <w:rsid w:val="35974E7C"/>
    <w:rsid w:val="359F045A"/>
    <w:rsid w:val="362F5B1E"/>
    <w:rsid w:val="36607729"/>
    <w:rsid w:val="36DB2EFD"/>
    <w:rsid w:val="37295B73"/>
    <w:rsid w:val="373E02C1"/>
    <w:rsid w:val="37781747"/>
    <w:rsid w:val="37B2533F"/>
    <w:rsid w:val="37B27395"/>
    <w:rsid w:val="37F23808"/>
    <w:rsid w:val="37FA4B2D"/>
    <w:rsid w:val="38273E27"/>
    <w:rsid w:val="383107CC"/>
    <w:rsid w:val="38AA4085"/>
    <w:rsid w:val="38DD5D05"/>
    <w:rsid w:val="39363BE6"/>
    <w:rsid w:val="3988482D"/>
    <w:rsid w:val="399D0437"/>
    <w:rsid w:val="3A736BBC"/>
    <w:rsid w:val="3AA52CC3"/>
    <w:rsid w:val="3B302611"/>
    <w:rsid w:val="3B7E6DB2"/>
    <w:rsid w:val="3B83690E"/>
    <w:rsid w:val="3C241E9D"/>
    <w:rsid w:val="3C355E58"/>
    <w:rsid w:val="3C594CA6"/>
    <w:rsid w:val="3C7C75E3"/>
    <w:rsid w:val="3CA01A83"/>
    <w:rsid w:val="3CFF2D9A"/>
    <w:rsid w:val="3D0D4208"/>
    <w:rsid w:val="3D186F6A"/>
    <w:rsid w:val="3D22593A"/>
    <w:rsid w:val="3D5460D2"/>
    <w:rsid w:val="3D8D000C"/>
    <w:rsid w:val="3DEB2C72"/>
    <w:rsid w:val="3E237E24"/>
    <w:rsid w:val="3E4D1237"/>
    <w:rsid w:val="3E9F68DA"/>
    <w:rsid w:val="3F2B286B"/>
    <w:rsid w:val="3F446ADE"/>
    <w:rsid w:val="3FED5CCD"/>
    <w:rsid w:val="400D4BB3"/>
    <w:rsid w:val="403C750D"/>
    <w:rsid w:val="408221E1"/>
    <w:rsid w:val="40CF687B"/>
    <w:rsid w:val="40F07657"/>
    <w:rsid w:val="416D6A0E"/>
    <w:rsid w:val="417D1DC2"/>
    <w:rsid w:val="42AE24C0"/>
    <w:rsid w:val="430B1690"/>
    <w:rsid w:val="43B4696F"/>
    <w:rsid w:val="43E443EC"/>
    <w:rsid w:val="446B68BB"/>
    <w:rsid w:val="446C2633"/>
    <w:rsid w:val="44CF7374"/>
    <w:rsid w:val="44E42F3B"/>
    <w:rsid w:val="45483C92"/>
    <w:rsid w:val="456C064C"/>
    <w:rsid w:val="459E0642"/>
    <w:rsid w:val="45BB73CE"/>
    <w:rsid w:val="45C06792"/>
    <w:rsid w:val="45F33725"/>
    <w:rsid w:val="45FA003E"/>
    <w:rsid w:val="45FB24E5"/>
    <w:rsid w:val="46756E72"/>
    <w:rsid w:val="46813D02"/>
    <w:rsid w:val="473A07C7"/>
    <w:rsid w:val="474A1318"/>
    <w:rsid w:val="47612B80"/>
    <w:rsid w:val="479D404E"/>
    <w:rsid w:val="4923137F"/>
    <w:rsid w:val="492B03C7"/>
    <w:rsid w:val="4963275E"/>
    <w:rsid w:val="497C12F8"/>
    <w:rsid w:val="498F35C1"/>
    <w:rsid w:val="49A25C2B"/>
    <w:rsid w:val="49C10D2B"/>
    <w:rsid w:val="49C12AD9"/>
    <w:rsid w:val="49E45F97"/>
    <w:rsid w:val="49F11610"/>
    <w:rsid w:val="49F54B22"/>
    <w:rsid w:val="4A0A5CC7"/>
    <w:rsid w:val="4A307253"/>
    <w:rsid w:val="4A6C0158"/>
    <w:rsid w:val="4A764B44"/>
    <w:rsid w:val="4AA94FD6"/>
    <w:rsid w:val="4AB41B33"/>
    <w:rsid w:val="4B2C1DFE"/>
    <w:rsid w:val="4B6824FD"/>
    <w:rsid w:val="4B7D6F91"/>
    <w:rsid w:val="4BDF11B3"/>
    <w:rsid w:val="4C800A2A"/>
    <w:rsid w:val="4CBB3066"/>
    <w:rsid w:val="4CD51A8F"/>
    <w:rsid w:val="4D2717ED"/>
    <w:rsid w:val="4D473FEB"/>
    <w:rsid w:val="4D537CF5"/>
    <w:rsid w:val="4D66253B"/>
    <w:rsid w:val="4D69758C"/>
    <w:rsid w:val="4D942511"/>
    <w:rsid w:val="4DAC584E"/>
    <w:rsid w:val="4DBA7F6B"/>
    <w:rsid w:val="4E217FEA"/>
    <w:rsid w:val="4E3E74CF"/>
    <w:rsid w:val="4E4F6905"/>
    <w:rsid w:val="4EF852D8"/>
    <w:rsid w:val="4F012557"/>
    <w:rsid w:val="4F3D70A6"/>
    <w:rsid w:val="4FCD667C"/>
    <w:rsid w:val="4FDF1192"/>
    <w:rsid w:val="4FFD7D60"/>
    <w:rsid w:val="50453910"/>
    <w:rsid w:val="505226DD"/>
    <w:rsid w:val="50637FC5"/>
    <w:rsid w:val="50BC39B4"/>
    <w:rsid w:val="50C56D57"/>
    <w:rsid w:val="520619D1"/>
    <w:rsid w:val="52770955"/>
    <w:rsid w:val="52EB37B7"/>
    <w:rsid w:val="53281FE3"/>
    <w:rsid w:val="532D1418"/>
    <w:rsid w:val="5359798D"/>
    <w:rsid w:val="53607807"/>
    <w:rsid w:val="537457C4"/>
    <w:rsid w:val="53844041"/>
    <w:rsid w:val="53E00E11"/>
    <w:rsid w:val="53F0286B"/>
    <w:rsid w:val="550310E3"/>
    <w:rsid w:val="551B3CCD"/>
    <w:rsid w:val="55631BDD"/>
    <w:rsid w:val="5577489C"/>
    <w:rsid w:val="55AE5F67"/>
    <w:rsid w:val="55BA07E5"/>
    <w:rsid w:val="55E9653E"/>
    <w:rsid w:val="562543F0"/>
    <w:rsid w:val="56B034E6"/>
    <w:rsid w:val="56CF2CD9"/>
    <w:rsid w:val="57177BE7"/>
    <w:rsid w:val="573E4B0A"/>
    <w:rsid w:val="577E687E"/>
    <w:rsid w:val="57821A7F"/>
    <w:rsid w:val="57E119D2"/>
    <w:rsid w:val="57ED67F5"/>
    <w:rsid w:val="57F15209"/>
    <w:rsid w:val="58254B7B"/>
    <w:rsid w:val="58501BF8"/>
    <w:rsid w:val="588D13BE"/>
    <w:rsid w:val="58C252AC"/>
    <w:rsid w:val="58D2142B"/>
    <w:rsid w:val="58E024C3"/>
    <w:rsid w:val="592E63F2"/>
    <w:rsid w:val="59462FFB"/>
    <w:rsid w:val="5991071A"/>
    <w:rsid w:val="59F44805"/>
    <w:rsid w:val="59F6057D"/>
    <w:rsid w:val="5A292701"/>
    <w:rsid w:val="5AA75D1B"/>
    <w:rsid w:val="5AC3366B"/>
    <w:rsid w:val="5AD869DE"/>
    <w:rsid w:val="5AFB10E6"/>
    <w:rsid w:val="5B0248D7"/>
    <w:rsid w:val="5B546834"/>
    <w:rsid w:val="5B5515FE"/>
    <w:rsid w:val="5BDA3C8D"/>
    <w:rsid w:val="5C3E7FB9"/>
    <w:rsid w:val="5C467E02"/>
    <w:rsid w:val="5C637545"/>
    <w:rsid w:val="5C9103CC"/>
    <w:rsid w:val="5CC32BAF"/>
    <w:rsid w:val="5D473C76"/>
    <w:rsid w:val="5E042C8B"/>
    <w:rsid w:val="5E3D3557"/>
    <w:rsid w:val="5EAC5CBD"/>
    <w:rsid w:val="5EB034DE"/>
    <w:rsid w:val="5EC15AC0"/>
    <w:rsid w:val="5ECA1FD8"/>
    <w:rsid w:val="5EED3477"/>
    <w:rsid w:val="5F1017E6"/>
    <w:rsid w:val="5F250945"/>
    <w:rsid w:val="5FC6785B"/>
    <w:rsid w:val="5FDB06E4"/>
    <w:rsid w:val="60121E89"/>
    <w:rsid w:val="606721D5"/>
    <w:rsid w:val="60A02DED"/>
    <w:rsid w:val="60C42704"/>
    <w:rsid w:val="60FE4811"/>
    <w:rsid w:val="614D1FB2"/>
    <w:rsid w:val="61DB5207"/>
    <w:rsid w:val="61F44F53"/>
    <w:rsid w:val="625B3C89"/>
    <w:rsid w:val="627B3857"/>
    <w:rsid w:val="62DC368C"/>
    <w:rsid w:val="62EF4D77"/>
    <w:rsid w:val="63147DC8"/>
    <w:rsid w:val="63181564"/>
    <w:rsid w:val="63195E00"/>
    <w:rsid w:val="634F19A6"/>
    <w:rsid w:val="638C40E3"/>
    <w:rsid w:val="63E1404C"/>
    <w:rsid w:val="64041AE8"/>
    <w:rsid w:val="64460610"/>
    <w:rsid w:val="64990483"/>
    <w:rsid w:val="64B259E8"/>
    <w:rsid w:val="64D91F61"/>
    <w:rsid w:val="651915C4"/>
    <w:rsid w:val="655F52A6"/>
    <w:rsid w:val="65F00D0C"/>
    <w:rsid w:val="66001E51"/>
    <w:rsid w:val="660A4DD7"/>
    <w:rsid w:val="662326FA"/>
    <w:rsid w:val="665713E0"/>
    <w:rsid w:val="66CE6580"/>
    <w:rsid w:val="66E83523"/>
    <w:rsid w:val="67292C52"/>
    <w:rsid w:val="67714DB8"/>
    <w:rsid w:val="677E3D99"/>
    <w:rsid w:val="679747C8"/>
    <w:rsid w:val="67BA3663"/>
    <w:rsid w:val="682503E0"/>
    <w:rsid w:val="685079F2"/>
    <w:rsid w:val="68C53665"/>
    <w:rsid w:val="696B473F"/>
    <w:rsid w:val="696C37C8"/>
    <w:rsid w:val="69724027"/>
    <w:rsid w:val="69F6673E"/>
    <w:rsid w:val="6A480FCB"/>
    <w:rsid w:val="6B99622E"/>
    <w:rsid w:val="6BAC4F3F"/>
    <w:rsid w:val="6BCF7654"/>
    <w:rsid w:val="6C1F1AD0"/>
    <w:rsid w:val="6C3111FA"/>
    <w:rsid w:val="6C400B72"/>
    <w:rsid w:val="6C9A56E0"/>
    <w:rsid w:val="6CC61070"/>
    <w:rsid w:val="6CE25242"/>
    <w:rsid w:val="6D4653C0"/>
    <w:rsid w:val="6D4B2536"/>
    <w:rsid w:val="6D967F6B"/>
    <w:rsid w:val="6DC009DD"/>
    <w:rsid w:val="6E5A5127"/>
    <w:rsid w:val="6E5B59D0"/>
    <w:rsid w:val="6E843F52"/>
    <w:rsid w:val="6E9758D2"/>
    <w:rsid w:val="6F046E40"/>
    <w:rsid w:val="6F3C1C7C"/>
    <w:rsid w:val="6FA0300D"/>
    <w:rsid w:val="6FB631EC"/>
    <w:rsid w:val="70380052"/>
    <w:rsid w:val="710D3D1B"/>
    <w:rsid w:val="714B51FB"/>
    <w:rsid w:val="71A36DE5"/>
    <w:rsid w:val="71BB14B3"/>
    <w:rsid w:val="727644F9"/>
    <w:rsid w:val="739E2EA0"/>
    <w:rsid w:val="73B56776"/>
    <w:rsid w:val="73C440FA"/>
    <w:rsid w:val="74511255"/>
    <w:rsid w:val="74766D2B"/>
    <w:rsid w:val="74B925FE"/>
    <w:rsid w:val="74BB4498"/>
    <w:rsid w:val="74E7523A"/>
    <w:rsid w:val="75306BE1"/>
    <w:rsid w:val="753F5076"/>
    <w:rsid w:val="7542758E"/>
    <w:rsid w:val="75610B49"/>
    <w:rsid w:val="75886FA4"/>
    <w:rsid w:val="75AD3D2D"/>
    <w:rsid w:val="75BD19C2"/>
    <w:rsid w:val="76425C5A"/>
    <w:rsid w:val="767E397C"/>
    <w:rsid w:val="76C021E7"/>
    <w:rsid w:val="77560455"/>
    <w:rsid w:val="77A613DD"/>
    <w:rsid w:val="77F75794"/>
    <w:rsid w:val="78236896"/>
    <w:rsid w:val="784D29BC"/>
    <w:rsid w:val="791138AD"/>
    <w:rsid w:val="793D18CD"/>
    <w:rsid w:val="7956298E"/>
    <w:rsid w:val="79845204"/>
    <w:rsid w:val="79940985"/>
    <w:rsid w:val="79DE04A6"/>
    <w:rsid w:val="79E629C5"/>
    <w:rsid w:val="7A993117"/>
    <w:rsid w:val="7A9D4552"/>
    <w:rsid w:val="7B41150C"/>
    <w:rsid w:val="7BC260B9"/>
    <w:rsid w:val="7BD04C7A"/>
    <w:rsid w:val="7BF37F79"/>
    <w:rsid w:val="7C5E2286"/>
    <w:rsid w:val="7C7E1687"/>
    <w:rsid w:val="7CA36E25"/>
    <w:rsid w:val="7CD30F7E"/>
    <w:rsid w:val="7D6B4FCC"/>
    <w:rsid w:val="7D9628D3"/>
    <w:rsid w:val="7E1E74CB"/>
    <w:rsid w:val="7E9F4271"/>
    <w:rsid w:val="7EF202FF"/>
    <w:rsid w:val="7F0F7867"/>
    <w:rsid w:val="7F4B611D"/>
    <w:rsid w:val="7F5C008E"/>
    <w:rsid w:val="7F6D1B1C"/>
    <w:rsid w:val="7F6F0306"/>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character" w:customStyle="1" w:styleId="80">
    <w:name w:val="font01"/>
    <w:basedOn w:val="31"/>
    <w:qFormat/>
    <w:uiPriority w:val="0"/>
    <w:rPr>
      <w:rFonts w:hint="eastAsia" w:ascii="宋体" w:hAnsi="宋体" w:eastAsia="宋体" w:cs="宋体"/>
      <w:color w:val="000000"/>
      <w:sz w:val="22"/>
      <w:szCs w:val="22"/>
      <w:u w:val="none"/>
    </w:rPr>
  </w:style>
  <w:style w:type="character" w:customStyle="1" w:styleId="81">
    <w:name w:val="font31"/>
    <w:basedOn w:val="31"/>
    <w:qFormat/>
    <w:uiPriority w:val="0"/>
    <w:rPr>
      <w:rFonts w:hint="default" w:ascii="Times New Roman" w:hAnsi="Times New Roman" w:cs="Times New Roman"/>
      <w:color w:val="000000"/>
      <w:sz w:val="22"/>
      <w:szCs w:val="22"/>
      <w:u w:val="none"/>
    </w:rPr>
  </w:style>
  <w:style w:type="character" w:customStyle="1" w:styleId="82">
    <w:name w:val="font4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50</Pages>
  <Words>2557</Words>
  <Characters>2687</Characters>
  <Lines>212</Lines>
  <Paragraphs>59</Paragraphs>
  <TotalTime>41</TotalTime>
  <ScaleCrop>false</ScaleCrop>
  <LinksUpToDate>false</LinksUpToDate>
  <CharactersWithSpaces>2706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熊颖</cp:lastModifiedBy>
  <cp:lastPrinted>2024-07-02T09:37:00Z</cp:lastPrinted>
  <dcterms:modified xsi:type="dcterms:W3CDTF">2026-06-18T07:01:21Z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009FA3B170CE49EA8741C46267700EF5_13</vt:lpwstr>
  </property>
  <property fmtid="{D5CDD505-2E9C-101B-9397-08002B2CF9AE}" pid="4" name="KSOTemplateDocerSaveRecord">
    <vt:lpwstr>eyJoZGlkIjoiNTY5OGNjNGRmMTZhNjg4ZjRiNjMyZTk5NTVmMTVkYWQiLCJ1c2VySWQiOiIxNjgzMTUzODczIn0=</vt:lpwstr>
  </property>
</Properties>
</file>