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13B474B">
      <w:pPr>
        <w:pStyle w:val="25"/>
        <w:ind w:left="0" w:firstLine="640"/>
        <w:rPr>
          <w:rFonts w:hint="eastAsia"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020</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医保交叉检查专项数据服务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5"/>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医保交叉检查专项数据服务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20</w:t>
      </w:r>
    </w:p>
    <w:p w14:paraId="66CD53FF">
      <w:pPr>
        <w:widowControl/>
        <w:adjustRightInd w:val="0"/>
        <w:snapToGrid w:val="0"/>
        <w:spacing w:line="400" w:lineRule="atLeast"/>
        <w:ind w:firstLine="480" w:firstLineChars="200"/>
        <w:rPr>
          <w:rFonts w:hint="eastAsia" w:ascii="宋体" w:hAnsi="宋体" w:eastAsia="宋体" w:cs="宋体"/>
          <w:sz w:val="24"/>
        </w:rPr>
      </w:pPr>
      <w:r>
        <w:rPr>
          <w:kern w:val="0"/>
          <w:sz w:val="24"/>
          <w:szCs w:val="22"/>
        </w:rPr>
        <w:t>二、采购项目名称：</w:t>
      </w:r>
      <w:r>
        <w:rPr>
          <w:rFonts w:hint="eastAsia" w:ascii="宋体" w:hAnsi="宋体" w:eastAsia="宋体" w:cs="宋体"/>
          <w:sz w:val="24"/>
        </w:rPr>
        <w:t>医保交叉检查专项数据服务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19.9</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19.9</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sz w:val="24"/>
              </w:rPr>
              <w:t>医保交叉检查专项数据服务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八、服务期限：自合同签订之日起</w:t>
      </w:r>
      <w:r>
        <w:rPr>
          <w:rFonts w:hint="eastAsia"/>
          <w:kern w:val="0"/>
          <w:sz w:val="24"/>
          <w:szCs w:val="22"/>
          <w:lang w:val="en-US" w:eastAsia="zh-CN"/>
        </w:rPr>
        <w:t>2</w:t>
      </w:r>
      <w:r>
        <w:rPr>
          <w:rFonts w:hint="eastAsia"/>
          <w:kern w:val="0"/>
          <w:sz w:val="24"/>
          <w:szCs w:val="22"/>
        </w:rPr>
        <w:t>个月内完成交付</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6月22日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24</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zdbysbk@163.com，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6</w:t>
      </w:r>
      <w:r>
        <w:rPr>
          <w:kern w:val="0"/>
          <w:sz w:val="24"/>
          <w:szCs w:val="22"/>
          <w:highlight w:val="cyan"/>
        </w:rPr>
        <w:t>月</w:t>
      </w:r>
      <w:r>
        <w:rPr>
          <w:rFonts w:hint="eastAsia"/>
          <w:kern w:val="0"/>
          <w:sz w:val="24"/>
          <w:szCs w:val="22"/>
          <w:highlight w:val="cyan"/>
          <w:lang w:val="en-US" w:eastAsia="zh-CN"/>
        </w:rPr>
        <w:t>26</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3：0</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14</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lang w:val="en-US" w:eastAsia="zh-CN"/>
        </w:rPr>
        <w:t>82711569</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hint="default" w:eastAsiaTheme="minorEastAsia"/>
          <w:kern w:val="0"/>
          <w:sz w:val="24"/>
          <w:szCs w:val="22"/>
          <w:lang w:val="en-US" w:eastAsia="zh-CN"/>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r>
        <w:rPr>
          <w:rFonts w:hint="eastAsia"/>
          <w:kern w:val="0"/>
          <w:sz w:val="24"/>
          <w:szCs w:val="22"/>
          <w:lang w:val="en-US" w:eastAsia="zh-CN"/>
        </w:rPr>
        <w:t>6月18日</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2"/>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2"/>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0199F25B">
      <w:pPr>
        <w:numPr>
          <w:ilvl w:val="0"/>
          <w:numId w:val="0"/>
        </w:numPr>
        <w:adjustRightInd w:val="0"/>
        <w:snapToGrid w:val="0"/>
        <w:spacing w:line="400" w:lineRule="atLeast"/>
        <w:ind w:firstLine="480" w:firstLineChars="200"/>
        <w:rPr>
          <w:rFonts w:hint="eastAsia" w:eastAsia="宋体"/>
          <w:b w:val="0"/>
          <w:bCs w:val="0"/>
          <w:sz w:val="24"/>
        </w:rPr>
      </w:pPr>
      <w:r>
        <w:rPr>
          <w:rFonts w:hint="eastAsia" w:eastAsia="宋体"/>
          <w:b w:val="0"/>
          <w:bCs w:val="0"/>
          <w:sz w:val="24"/>
          <w:lang w:val="en-US" w:eastAsia="zh-CN"/>
        </w:rPr>
        <w:t>我院将开展医保基金使用的自查自纠，提高医保基金使用效率，保障医疗服务质量，维护患者权益，</w:t>
      </w:r>
      <w:r>
        <w:rPr>
          <w:rFonts w:hint="eastAsia" w:eastAsia="宋体"/>
          <w:b w:val="0"/>
          <w:bCs w:val="0"/>
          <w:sz w:val="24"/>
        </w:rPr>
        <w:t>特启动本次服务采购。</w:t>
      </w:r>
    </w:p>
    <w:p w14:paraId="73F858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6" w:leftChars="0" w:firstLine="420" w:firstLineChars="0"/>
        <w:textAlignment w:val="auto"/>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（二）</w:t>
      </w:r>
      <w:r>
        <w:rPr>
          <w:rFonts w:hint="eastAsia" w:eastAsia="宋体"/>
          <w:b/>
          <w:bCs/>
          <w:sz w:val="24"/>
        </w:rPr>
        <w:t>服务及技术要求</w:t>
      </w:r>
    </w:p>
    <w:tbl>
      <w:tblPr>
        <w:tblStyle w:val="26"/>
        <w:tblW w:w="9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150"/>
        <w:gridCol w:w="6413"/>
      </w:tblGrid>
      <w:tr w14:paraId="2E88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77" w:type="dxa"/>
            <w:noWrap w:val="0"/>
            <w:vAlign w:val="center"/>
          </w:tcPr>
          <w:p w14:paraId="40093DA7">
            <w:pPr>
              <w:numPr>
                <w:ilvl w:val="0"/>
                <w:numId w:val="0"/>
              </w:numPr>
              <w:adjustRightInd w:val="0"/>
              <w:snapToGrid w:val="0"/>
              <w:spacing w:line="400" w:lineRule="atLeast"/>
              <w:jc w:val="both"/>
              <w:rPr>
                <w:rFonts w:hint="eastAsia" w:eastAsia="宋体"/>
                <w:b w:val="0"/>
                <w:bCs w:val="0"/>
                <w:sz w:val="24"/>
                <w:lang w:val="en-US" w:eastAsia="zh-CN"/>
              </w:rPr>
            </w:pPr>
            <w:r>
              <w:rPr>
                <w:rFonts w:hint="eastAsia" w:eastAsia="宋体"/>
                <w:b w:val="0"/>
                <w:bCs w:val="0"/>
                <w:sz w:val="24"/>
                <w:lang w:val="en-US" w:eastAsia="zh-CN"/>
              </w:rPr>
              <w:t>序号</w:t>
            </w:r>
          </w:p>
        </w:tc>
        <w:tc>
          <w:tcPr>
            <w:tcW w:w="2150" w:type="dxa"/>
            <w:noWrap w:val="0"/>
            <w:vAlign w:val="center"/>
          </w:tcPr>
          <w:p w14:paraId="3A111592">
            <w:pPr>
              <w:numPr>
                <w:ilvl w:val="0"/>
                <w:numId w:val="0"/>
              </w:numPr>
              <w:adjustRightInd w:val="0"/>
              <w:snapToGrid w:val="0"/>
              <w:spacing w:line="400" w:lineRule="atLeast"/>
              <w:ind w:firstLine="480" w:firstLineChars="200"/>
              <w:jc w:val="center"/>
              <w:rPr>
                <w:rFonts w:hint="eastAsia" w:eastAsia="宋体"/>
                <w:b w:val="0"/>
                <w:bCs w:val="0"/>
                <w:sz w:val="24"/>
                <w:lang w:val="en-US" w:eastAsia="zh-CN"/>
              </w:rPr>
            </w:pPr>
            <w:r>
              <w:rPr>
                <w:rFonts w:hint="eastAsia" w:eastAsia="宋体"/>
                <w:b w:val="0"/>
                <w:bCs w:val="0"/>
                <w:sz w:val="24"/>
                <w:lang w:val="en-US" w:eastAsia="zh-CN"/>
              </w:rPr>
              <w:t>模块</w:t>
            </w:r>
          </w:p>
        </w:tc>
        <w:tc>
          <w:tcPr>
            <w:tcW w:w="6413" w:type="dxa"/>
            <w:noWrap w:val="0"/>
            <w:vAlign w:val="center"/>
          </w:tcPr>
          <w:p w14:paraId="1DB7CD63">
            <w:pPr>
              <w:numPr>
                <w:ilvl w:val="0"/>
                <w:numId w:val="0"/>
              </w:numPr>
              <w:adjustRightInd w:val="0"/>
              <w:snapToGrid w:val="0"/>
              <w:spacing w:line="400" w:lineRule="atLeast"/>
              <w:ind w:firstLine="480" w:firstLineChars="200"/>
              <w:jc w:val="center"/>
              <w:rPr>
                <w:rFonts w:hint="eastAsia" w:eastAsia="宋体"/>
                <w:b w:val="0"/>
                <w:bCs w:val="0"/>
                <w:sz w:val="24"/>
                <w:lang w:val="en-US" w:eastAsia="zh-CN"/>
              </w:rPr>
            </w:pPr>
            <w:r>
              <w:rPr>
                <w:rFonts w:hint="eastAsia" w:eastAsia="宋体"/>
                <w:b w:val="0"/>
                <w:bCs w:val="0"/>
                <w:sz w:val="24"/>
                <w:lang w:val="en-US" w:eastAsia="zh-CN"/>
              </w:rPr>
              <w:t>详细要求</w:t>
            </w:r>
          </w:p>
        </w:tc>
      </w:tr>
      <w:tr w14:paraId="2A19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77" w:type="dxa"/>
            <w:noWrap w:val="0"/>
            <w:vAlign w:val="center"/>
          </w:tcPr>
          <w:p w14:paraId="2710AD7E">
            <w:pPr>
              <w:bidi w:val="0"/>
              <w:spacing w:line="240" w:lineRule="auto"/>
              <w:jc w:val="center"/>
              <w:rPr>
                <w:rFonts w:hint="eastAsia"/>
                <w:sz w:val="21"/>
                <w:szCs w:val="21"/>
              </w:rPr>
            </w:pPr>
            <w:r>
              <w:rPr>
                <w:rFonts w:hint="eastAsia"/>
                <w:sz w:val="21"/>
                <w:szCs w:val="21"/>
              </w:rPr>
              <w:t>1</w:t>
            </w:r>
          </w:p>
        </w:tc>
        <w:tc>
          <w:tcPr>
            <w:tcW w:w="2150" w:type="dxa"/>
            <w:noWrap w:val="0"/>
            <w:vAlign w:val="center"/>
          </w:tcPr>
          <w:p w14:paraId="13C242AF">
            <w:pPr>
              <w:jc w:val="center"/>
              <w:rPr>
                <w:rFonts w:hint="eastAsia"/>
                <w:sz w:val="21"/>
                <w:szCs w:val="21"/>
              </w:rPr>
            </w:pPr>
            <w:r>
              <w:rPr>
                <w:rFonts w:hint="eastAsia"/>
                <w:szCs w:val="21"/>
              </w:rPr>
              <w:t>服务范围</w:t>
            </w:r>
          </w:p>
        </w:tc>
        <w:tc>
          <w:tcPr>
            <w:tcW w:w="6413" w:type="dxa"/>
            <w:noWrap w:val="0"/>
            <w:vAlign w:val="center"/>
          </w:tcPr>
          <w:p w14:paraId="5D3F81DA">
            <w:pPr>
              <w:bidi w:val="0"/>
              <w:spacing w:line="240" w:lineRule="auto"/>
              <w:rPr>
                <w:rFonts w:hint="eastAsia"/>
                <w:sz w:val="21"/>
                <w:szCs w:val="21"/>
              </w:rPr>
            </w:pPr>
            <w:r>
              <w:rPr>
                <w:rFonts w:hint="eastAsia"/>
                <w:szCs w:val="21"/>
              </w:rPr>
              <w:t>对中山大学附属第八医院2024年1月至2026年5月期间提供的医疗业务进行医保基金自查自纠服务，主要包括大数据疑点分析、现场模拟飞行检查、自查自纠报告</w:t>
            </w:r>
            <w:r>
              <w:rPr>
                <w:rFonts w:hint="eastAsia"/>
                <w:szCs w:val="21"/>
                <w:lang w:val="en-US" w:eastAsia="zh-CN"/>
              </w:rPr>
              <w:t>(由中标人</w:t>
            </w:r>
            <w:r>
              <w:rPr>
                <w:rFonts w:hint="eastAsia"/>
              </w:rPr>
              <w:t>撰写自查自纠</w:t>
            </w:r>
            <w:r>
              <w:rPr>
                <w:rFonts w:hint="eastAsia"/>
                <w:szCs w:val="21"/>
                <w:lang w:eastAsia="zh-CN"/>
              </w:rPr>
              <w:t>报告</w:t>
            </w:r>
            <w:r>
              <w:rPr>
                <w:rFonts w:hint="eastAsia"/>
                <w:szCs w:val="21"/>
                <w:lang w:val="en-US" w:eastAsia="zh-CN"/>
              </w:rPr>
              <w:t>)。</w:t>
            </w:r>
          </w:p>
        </w:tc>
      </w:tr>
      <w:tr w14:paraId="0F0E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77" w:type="dxa"/>
            <w:noWrap w:val="0"/>
            <w:vAlign w:val="center"/>
          </w:tcPr>
          <w:p w14:paraId="7246BC7C">
            <w:pPr>
              <w:bidi w:val="0"/>
              <w:spacing w:line="240" w:lineRule="auto"/>
              <w:jc w:val="center"/>
              <w:rPr>
                <w:rFonts w:hint="eastAsia"/>
                <w:sz w:val="21"/>
                <w:szCs w:val="21"/>
                <w:lang w:eastAsia="zh-CN"/>
              </w:rPr>
            </w:pPr>
            <w:r>
              <w:rPr>
                <w:rFonts w:hint="eastAsia"/>
                <w:sz w:val="21"/>
                <w:szCs w:val="21"/>
                <w:lang w:val="en-US" w:eastAsia="zh-CN"/>
              </w:rPr>
              <w:t>2</w:t>
            </w:r>
          </w:p>
        </w:tc>
        <w:tc>
          <w:tcPr>
            <w:tcW w:w="2150" w:type="dxa"/>
            <w:noWrap w:val="0"/>
            <w:vAlign w:val="center"/>
          </w:tcPr>
          <w:p w14:paraId="1827E56E">
            <w:pPr>
              <w:jc w:val="center"/>
              <w:rPr>
                <w:rFonts w:hint="eastAsia"/>
                <w:sz w:val="21"/>
                <w:szCs w:val="21"/>
              </w:rPr>
            </w:pPr>
            <w:r>
              <w:rPr>
                <w:rFonts w:hint="eastAsia"/>
                <w:szCs w:val="21"/>
              </w:rPr>
              <w:t>重点检查内容</w:t>
            </w:r>
          </w:p>
        </w:tc>
        <w:tc>
          <w:tcPr>
            <w:tcW w:w="6413" w:type="dxa"/>
            <w:noWrap w:val="0"/>
            <w:vAlign w:val="center"/>
          </w:tcPr>
          <w:p w14:paraId="54B35070">
            <w:pPr>
              <w:bidi w:val="0"/>
              <w:spacing w:line="240" w:lineRule="auto"/>
              <w:rPr>
                <w:rFonts w:hint="eastAsia"/>
                <w:sz w:val="21"/>
                <w:szCs w:val="21"/>
              </w:rPr>
            </w:pPr>
            <w:r>
              <w:rPr>
                <w:rFonts w:hint="eastAsia"/>
                <w:szCs w:val="21"/>
              </w:rPr>
              <w:t>针对医保局相关自查自纠要求，以医保局下发的《省医保局关于定点医疗机构违法违规使用医保基金典型问题清单》、《国家医保局定点医疗机构违法违规使用医疗保障基金典型问题清单》为重点，结合广东省相关负面清单，全面筛查医院涉嫌违规使用医保基金的相关问题。聚焦医保基金监管重点领域，检查重点针对心血管内科、骨科、血液透析、康复、医学影像、临床检验、肿瘤、麻醉、重症医学、眼科、口腔、普通外科、神经内科等重点领域的可疑行为</w:t>
            </w:r>
            <w:r>
              <w:rPr>
                <w:rFonts w:hint="eastAsia"/>
                <w:sz w:val="21"/>
                <w:szCs w:val="21"/>
                <w:lang w:val="en-US" w:eastAsia="zh-CN"/>
              </w:rPr>
              <w:t>。</w:t>
            </w:r>
          </w:p>
        </w:tc>
      </w:tr>
      <w:tr w14:paraId="37FD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77" w:type="dxa"/>
            <w:noWrap w:val="0"/>
            <w:vAlign w:val="center"/>
          </w:tcPr>
          <w:p w14:paraId="5DB9ECDE">
            <w:pPr>
              <w:bidi w:val="0"/>
              <w:spacing w:line="240" w:lineRule="auto"/>
              <w:jc w:val="center"/>
              <w:rPr>
                <w:rFonts w:hint="eastAsia"/>
                <w:sz w:val="21"/>
                <w:szCs w:val="21"/>
                <w:lang w:eastAsia="zh-CN"/>
              </w:rPr>
            </w:pPr>
            <w:r>
              <w:rPr>
                <w:rFonts w:hint="eastAsia"/>
                <w:sz w:val="21"/>
                <w:szCs w:val="21"/>
                <w:lang w:val="en-US" w:eastAsia="zh-CN"/>
              </w:rPr>
              <w:t>3</w:t>
            </w:r>
          </w:p>
        </w:tc>
        <w:tc>
          <w:tcPr>
            <w:tcW w:w="2150" w:type="dxa"/>
            <w:noWrap w:val="0"/>
            <w:vAlign w:val="center"/>
          </w:tcPr>
          <w:p w14:paraId="48864996">
            <w:pPr>
              <w:bidi w:val="0"/>
              <w:spacing w:line="240" w:lineRule="auto"/>
              <w:jc w:val="center"/>
              <w:rPr>
                <w:rFonts w:hint="eastAsia"/>
                <w:sz w:val="21"/>
                <w:szCs w:val="21"/>
                <w:lang w:val="en-US" w:eastAsia="zh-CN"/>
              </w:rPr>
            </w:pPr>
            <w:r>
              <w:rPr>
                <w:rFonts w:hint="eastAsia"/>
                <w:szCs w:val="21"/>
              </w:rPr>
              <w:t>召开自纠自查见面会</w:t>
            </w:r>
          </w:p>
        </w:tc>
        <w:tc>
          <w:tcPr>
            <w:tcW w:w="6413" w:type="dxa"/>
            <w:noWrap w:val="0"/>
            <w:vAlign w:val="center"/>
          </w:tcPr>
          <w:p w14:paraId="617417BC">
            <w:pPr>
              <w:bidi w:val="0"/>
              <w:spacing w:line="240" w:lineRule="auto"/>
              <w:rPr>
                <w:rFonts w:hint="eastAsia"/>
                <w:sz w:val="21"/>
                <w:szCs w:val="21"/>
                <w:lang w:val="en-US" w:eastAsia="zh-CN"/>
              </w:rPr>
            </w:pPr>
            <w:r>
              <w:rPr>
                <w:rFonts w:hint="eastAsia"/>
                <w:szCs w:val="21"/>
              </w:rPr>
              <w:t>在医院召开自纠自查见面会，向院方主要负责人通报检查要求以及检查各小组分组与医院相关对接人。由医院汇报医院情况、医保管理情况等</w:t>
            </w:r>
            <w:r>
              <w:rPr>
                <w:rFonts w:hint="eastAsia"/>
                <w:sz w:val="21"/>
                <w:szCs w:val="21"/>
                <w:lang w:val="en-US" w:eastAsia="zh-CN"/>
              </w:rPr>
              <w:t>。</w:t>
            </w:r>
          </w:p>
        </w:tc>
      </w:tr>
      <w:tr w14:paraId="3411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77" w:type="dxa"/>
            <w:noWrap w:val="0"/>
            <w:vAlign w:val="center"/>
          </w:tcPr>
          <w:p w14:paraId="3928A5BF">
            <w:pPr>
              <w:bidi w:val="0"/>
              <w:spacing w:line="240" w:lineRule="auto"/>
              <w:jc w:val="center"/>
              <w:rPr>
                <w:rFonts w:hint="eastAsia"/>
                <w:sz w:val="21"/>
                <w:szCs w:val="21"/>
                <w:lang w:eastAsia="zh-CN"/>
              </w:rPr>
            </w:pPr>
            <w:r>
              <w:rPr>
                <w:rFonts w:hint="eastAsia"/>
                <w:sz w:val="21"/>
                <w:szCs w:val="21"/>
                <w:lang w:val="en-US" w:eastAsia="zh-CN"/>
              </w:rPr>
              <w:t>4</w:t>
            </w:r>
          </w:p>
        </w:tc>
        <w:tc>
          <w:tcPr>
            <w:tcW w:w="2150" w:type="dxa"/>
            <w:noWrap w:val="0"/>
            <w:vAlign w:val="center"/>
          </w:tcPr>
          <w:p w14:paraId="7B4EAD1C">
            <w:pPr>
              <w:bidi w:val="0"/>
              <w:spacing w:line="240" w:lineRule="auto"/>
              <w:jc w:val="center"/>
              <w:rPr>
                <w:rFonts w:hint="eastAsia"/>
                <w:sz w:val="21"/>
                <w:szCs w:val="21"/>
              </w:rPr>
            </w:pPr>
            <w:r>
              <w:rPr>
                <w:rFonts w:hint="eastAsia"/>
                <w:szCs w:val="21"/>
              </w:rPr>
              <w:t>走访在院病人</w:t>
            </w:r>
          </w:p>
        </w:tc>
        <w:tc>
          <w:tcPr>
            <w:tcW w:w="6413" w:type="dxa"/>
            <w:noWrap w:val="0"/>
            <w:vAlign w:val="center"/>
          </w:tcPr>
          <w:p w14:paraId="54383FCF">
            <w:pPr>
              <w:bidi w:val="0"/>
              <w:spacing w:line="240" w:lineRule="auto"/>
              <w:rPr>
                <w:rFonts w:hint="eastAsia"/>
                <w:szCs w:val="21"/>
                <w:highlight w:val="none"/>
              </w:rPr>
            </w:pPr>
            <w:r>
              <w:rPr>
                <w:rFonts w:hint="eastAsia"/>
                <w:szCs w:val="21"/>
                <w:highlight w:val="none"/>
              </w:rPr>
              <w:t>①核对在院病人姓名、身份证号、入院时间、入院诊断，做到人、证、系统记录一致；</w:t>
            </w:r>
          </w:p>
          <w:p w14:paraId="33B4778C">
            <w:pPr>
              <w:bidi w:val="0"/>
              <w:spacing w:line="240" w:lineRule="auto"/>
              <w:rPr>
                <w:rFonts w:hint="eastAsia"/>
                <w:szCs w:val="21"/>
                <w:highlight w:val="none"/>
              </w:rPr>
            </w:pPr>
            <w:r>
              <w:rPr>
                <w:rFonts w:hint="eastAsia"/>
                <w:szCs w:val="21"/>
                <w:highlight w:val="none"/>
              </w:rPr>
              <w:t>②询问入院情况，判断是否受诱导、骗取住院，医院医保服务是否满意（注意问话语气及角度，避免生硬直接，引起病人反感）；</w:t>
            </w:r>
          </w:p>
          <w:p w14:paraId="1A362EE6">
            <w:pPr>
              <w:bidi w:val="0"/>
              <w:spacing w:line="240" w:lineRule="auto"/>
              <w:rPr>
                <w:rFonts w:hint="eastAsia"/>
                <w:szCs w:val="21"/>
                <w:highlight w:val="none"/>
              </w:rPr>
            </w:pPr>
            <w:r>
              <w:rPr>
                <w:rFonts w:hint="eastAsia"/>
                <w:szCs w:val="21"/>
                <w:highlight w:val="none"/>
              </w:rPr>
              <w:t>③本人证件是否被医院留存（视当地政策规定）；</w:t>
            </w:r>
          </w:p>
          <w:p w14:paraId="03329A71">
            <w:pPr>
              <w:bidi w:val="0"/>
              <w:spacing w:line="240" w:lineRule="auto"/>
              <w:rPr>
                <w:rFonts w:hint="eastAsia"/>
                <w:szCs w:val="21"/>
                <w:highlight w:val="none"/>
              </w:rPr>
            </w:pPr>
            <w:r>
              <w:rPr>
                <w:rFonts w:hint="eastAsia"/>
                <w:szCs w:val="21"/>
                <w:highlight w:val="none"/>
              </w:rPr>
              <w:t>④当日医嘱执行情况，目录外费用是否告知本人；</w:t>
            </w:r>
          </w:p>
          <w:p w14:paraId="450870E6">
            <w:pPr>
              <w:bidi w:val="0"/>
              <w:spacing w:line="240" w:lineRule="auto"/>
              <w:rPr>
                <w:rFonts w:hint="eastAsia"/>
                <w:szCs w:val="21"/>
                <w:highlight w:val="none"/>
              </w:rPr>
            </w:pPr>
            <w:r>
              <w:rPr>
                <w:rFonts w:hint="eastAsia"/>
                <w:szCs w:val="21"/>
                <w:highlight w:val="none"/>
              </w:rPr>
              <w:t>⑤个人预交自费费用情况（判断是否医院以减免费用诱导住院）；</w:t>
            </w:r>
          </w:p>
          <w:p w14:paraId="129B9E8B">
            <w:pPr>
              <w:bidi w:val="0"/>
              <w:spacing w:line="240" w:lineRule="auto"/>
              <w:rPr>
                <w:rFonts w:hint="eastAsia"/>
                <w:sz w:val="21"/>
                <w:szCs w:val="21"/>
                <w:highlight w:val="none"/>
                <w:lang w:val="en-US" w:eastAsia="zh-CN"/>
              </w:rPr>
            </w:pPr>
            <w:r>
              <w:rPr>
                <w:rFonts w:hint="eastAsia"/>
                <w:szCs w:val="21"/>
                <w:highlight w:val="none"/>
              </w:rPr>
              <w:t>⑥询问其他情况</w:t>
            </w:r>
            <w:r>
              <w:rPr>
                <w:rFonts w:hint="eastAsia"/>
                <w:sz w:val="21"/>
                <w:szCs w:val="21"/>
                <w:highlight w:val="none"/>
                <w:lang w:val="en-US" w:eastAsia="zh-CN"/>
              </w:rPr>
              <w:t>。</w:t>
            </w:r>
          </w:p>
        </w:tc>
      </w:tr>
      <w:tr w14:paraId="41C9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center"/>
          </w:tcPr>
          <w:p w14:paraId="4E58655D">
            <w:pPr>
              <w:bidi w:val="0"/>
              <w:spacing w:line="240" w:lineRule="auto"/>
              <w:jc w:val="center"/>
              <w:rPr>
                <w:rFonts w:hint="eastAsia"/>
                <w:sz w:val="21"/>
                <w:szCs w:val="21"/>
                <w:lang w:eastAsia="zh-CN"/>
              </w:rPr>
            </w:pPr>
            <w:r>
              <w:rPr>
                <w:rFonts w:hint="eastAsia"/>
                <w:sz w:val="21"/>
                <w:szCs w:val="21"/>
                <w:lang w:val="en-US" w:eastAsia="zh-CN"/>
              </w:rPr>
              <w:t>5</w:t>
            </w:r>
          </w:p>
        </w:tc>
        <w:tc>
          <w:tcPr>
            <w:tcW w:w="2150" w:type="dxa"/>
            <w:noWrap w:val="0"/>
            <w:vAlign w:val="center"/>
          </w:tcPr>
          <w:p w14:paraId="2A41F2FE">
            <w:pPr>
              <w:bidi w:val="0"/>
              <w:spacing w:line="240" w:lineRule="auto"/>
              <w:jc w:val="center"/>
              <w:rPr>
                <w:rFonts w:hint="eastAsia"/>
                <w:sz w:val="21"/>
                <w:szCs w:val="21"/>
              </w:rPr>
            </w:pPr>
            <w:r>
              <w:rPr>
                <w:rFonts w:hint="eastAsia"/>
                <w:szCs w:val="21"/>
              </w:rPr>
              <w:t>检查重点科室</w:t>
            </w:r>
          </w:p>
        </w:tc>
        <w:tc>
          <w:tcPr>
            <w:tcW w:w="6413" w:type="dxa"/>
            <w:noWrap w:val="0"/>
            <w:vAlign w:val="center"/>
          </w:tcPr>
          <w:p w14:paraId="7B991CCB">
            <w:pPr>
              <w:bidi w:val="0"/>
              <w:spacing w:line="240" w:lineRule="auto"/>
              <w:rPr>
                <w:rFonts w:hint="eastAsia"/>
                <w:sz w:val="21"/>
                <w:szCs w:val="21"/>
                <w:highlight w:val="none"/>
              </w:rPr>
            </w:pPr>
            <w:r>
              <w:rPr>
                <w:rFonts w:hint="eastAsia"/>
                <w:szCs w:val="21"/>
                <w:highlight w:val="none"/>
              </w:rPr>
              <w:t>对可疑重点科室在院病人治疗情况进行现场检查，重点核对科室所用诊疗设备、耗材是否存在违规收费或者串换收费行为，根据病案检查中医疗机构耗材使用贴标、登记情况进行检查。</w:t>
            </w:r>
          </w:p>
        </w:tc>
      </w:tr>
      <w:tr w14:paraId="1784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center"/>
          </w:tcPr>
          <w:p w14:paraId="1A6A8452">
            <w:pPr>
              <w:bidi w:val="0"/>
              <w:spacing w:line="240" w:lineRule="auto"/>
              <w:jc w:val="center"/>
              <w:rPr>
                <w:rFonts w:hint="eastAsia"/>
                <w:sz w:val="21"/>
                <w:szCs w:val="21"/>
                <w:lang w:val="en-US" w:eastAsia="zh-CN"/>
              </w:rPr>
            </w:pPr>
            <w:r>
              <w:rPr>
                <w:rFonts w:hint="eastAsia"/>
                <w:sz w:val="21"/>
                <w:szCs w:val="21"/>
                <w:lang w:val="en-US" w:eastAsia="zh-CN"/>
              </w:rPr>
              <w:t>6</w:t>
            </w:r>
          </w:p>
        </w:tc>
        <w:tc>
          <w:tcPr>
            <w:tcW w:w="2150" w:type="dxa"/>
            <w:noWrap w:val="0"/>
            <w:vAlign w:val="center"/>
          </w:tcPr>
          <w:p w14:paraId="1265FA51">
            <w:pPr>
              <w:bidi w:val="0"/>
              <w:spacing w:line="240" w:lineRule="auto"/>
              <w:jc w:val="center"/>
              <w:rPr>
                <w:rFonts w:hint="eastAsia"/>
                <w:sz w:val="21"/>
                <w:szCs w:val="21"/>
              </w:rPr>
            </w:pPr>
            <w:r>
              <w:rPr>
                <w:rFonts w:hint="eastAsia"/>
                <w:szCs w:val="21"/>
              </w:rPr>
              <w:t>核查数据组提供的疑点数据</w:t>
            </w:r>
          </w:p>
        </w:tc>
        <w:tc>
          <w:tcPr>
            <w:tcW w:w="6413" w:type="dxa"/>
            <w:noWrap w:val="0"/>
            <w:vAlign w:val="center"/>
          </w:tcPr>
          <w:p w14:paraId="43C32B05">
            <w:pPr>
              <w:bidi w:val="0"/>
              <w:spacing w:line="240" w:lineRule="auto"/>
              <w:rPr>
                <w:rFonts w:hint="eastAsia"/>
                <w:sz w:val="21"/>
                <w:szCs w:val="21"/>
                <w:lang w:val="en-US" w:eastAsia="zh-CN"/>
              </w:rPr>
            </w:pPr>
            <w:r>
              <w:rPr>
                <w:rFonts w:hint="eastAsia"/>
                <w:szCs w:val="21"/>
              </w:rPr>
              <w:t>通过抽调病案（医学组每位专家每天抽取不少于5份住院病历），查看费用是否真实。医嘱、病程记录、处方、辅助检查结果（含原始电子数据记录、影像图文记录等，下同）、治疗记录（含医嘱执行记录、手术记录、理疗记录等，下同）、票据和费用清单是否“七吻合”，并与参保人员实际使用情况是否相符合</w:t>
            </w:r>
            <w:r>
              <w:rPr>
                <w:rFonts w:hint="eastAsia"/>
                <w:sz w:val="21"/>
                <w:szCs w:val="21"/>
                <w:lang w:val="en-US" w:eastAsia="zh-CN"/>
              </w:rPr>
              <w:t>。</w:t>
            </w:r>
          </w:p>
        </w:tc>
      </w:tr>
      <w:tr w14:paraId="7761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center"/>
          </w:tcPr>
          <w:p w14:paraId="348D6265">
            <w:pPr>
              <w:bidi w:val="0"/>
              <w:spacing w:line="240" w:lineRule="auto"/>
              <w:jc w:val="center"/>
              <w:rPr>
                <w:rFonts w:hint="default"/>
                <w:sz w:val="21"/>
                <w:szCs w:val="21"/>
                <w:lang w:val="en-US" w:eastAsia="zh-CN"/>
              </w:rPr>
            </w:pPr>
            <w:r>
              <w:rPr>
                <w:rFonts w:hint="eastAsia"/>
                <w:sz w:val="21"/>
                <w:szCs w:val="21"/>
                <w:lang w:val="en-US" w:eastAsia="zh-CN"/>
              </w:rPr>
              <w:t>7</w:t>
            </w:r>
          </w:p>
        </w:tc>
        <w:tc>
          <w:tcPr>
            <w:tcW w:w="2150" w:type="dxa"/>
            <w:noWrap w:val="0"/>
            <w:vAlign w:val="center"/>
          </w:tcPr>
          <w:p w14:paraId="72BCC7D8">
            <w:pPr>
              <w:jc w:val="center"/>
            </w:pPr>
            <w:r>
              <w:rPr>
                <w:rFonts w:hint="eastAsia"/>
                <w:szCs w:val="21"/>
              </w:rPr>
              <w:t>检查检验项目</w:t>
            </w:r>
          </w:p>
          <w:p w14:paraId="16901B2D">
            <w:pPr>
              <w:bidi w:val="0"/>
              <w:spacing w:line="240" w:lineRule="auto"/>
              <w:jc w:val="center"/>
              <w:rPr>
                <w:rFonts w:hint="eastAsia"/>
                <w:sz w:val="21"/>
                <w:szCs w:val="21"/>
              </w:rPr>
            </w:pPr>
          </w:p>
        </w:tc>
        <w:tc>
          <w:tcPr>
            <w:tcW w:w="6413" w:type="dxa"/>
            <w:noWrap w:val="0"/>
            <w:vAlign w:val="center"/>
          </w:tcPr>
          <w:p w14:paraId="3A820E34">
            <w:pPr>
              <w:bidi w:val="0"/>
              <w:spacing w:line="240" w:lineRule="auto"/>
              <w:rPr>
                <w:rFonts w:hint="eastAsia"/>
                <w:sz w:val="21"/>
                <w:szCs w:val="21"/>
                <w:lang w:val="en-US" w:eastAsia="zh-CN"/>
              </w:rPr>
            </w:pPr>
            <w:r>
              <w:rPr>
                <w:rFonts w:hint="eastAsia"/>
                <w:szCs w:val="21"/>
              </w:rPr>
              <w:t>是否存在对无指征开具诊疗项目的行为，在基础检查、检验项目中是否存在阳性指标，查看检查、检验项目的合理性</w:t>
            </w:r>
            <w:r>
              <w:rPr>
                <w:rFonts w:hint="eastAsia"/>
                <w:sz w:val="21"/>
                <w:szCs w:val="21"/>
                <w:lang w:val="en-US" w:eastAsia="zh-CN"/>
              </w:rPr>
              <w:t>。</w:t>
            </w:r>
          </w:p>
        </w:tc>
      </w:tr>
      <w:tr w14:paraId="7520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77" w:type="dxa"/>
            <w:noWrap w:val="0"/>
            <w:vAlign w:val="center"/>
          </w:tcPr>
          <w:p w14:paraId="2E9B41A4">
            <w:pPr>
              <w:bidi w:val="0"/>
              <w:spacing w:line="240" w:lineRule="auto"/>
              <w:jc w:val="center"/>
              <w:rPr>
                <w:rFonts w:hint="default"/>
                <w:sz w:val="21"/>
                <w:szCs w:val="21"/>
                <w:lang w:val="en-US" w:eastAsia="zh-CN"/>
              </w:rPr>
            </w:pPr>
            <w:r>
              <w:rPr>
                <w:rFonts w:hint="eastAsia"/>
                <w:sz w:val="21"/>
                <w:szCs w:val="21"/>
                <w:lang w:val="en-US" w:eastAsia="zh-CN"/>
              </w:rPr>
              <w:t>8</w:t>
            </w:r>
          </w:p>
        </w:tc>
        <w:tc>
          <w:tcPr>
            <w:tcW w:w="2150" w:type="dxa"/>
            <w:noWrap w:val="0"/>
            <w:vAlign w:val="center"/>
          </w:tcPr>
          <w:p w14:paraId="67744F7E">
            <w:pPr>
              <w:bidi w:val="0"/>
              <w:spacing w:line="240" w:lineRule="auto"/>
              <w:jc w:val="center"/>
              <w:rPr>
                <w:rFonts w:hint="eastAsia"/>
                <w:sz w:val="21"/>
                <w:szCs w:val="21"/>
              </w:rPr>
            </w:pPr>
            <w:r>
              <w:rPr>
                <w:rFonts w:hint="eastAsia"/>
                <w:szCs w:val="21"/>
              </w:rPr>
              <w:t>药品、耗材进销存情况进行检查</w:t>
            </w:r>
          </w:p>
        </w:tc>
        <w:tc>
          <w:tcPr>
            <w:tcW w:w="6413" w:type="dxa"/>
            <w:noWrap w:val="0"/>
            <w:vAlign w:val="center"/>
          </w:tcPr>
          <w:p w14:paraId="15F1E5E9">
            <w:pPr>
              <w:bidi w:val="0"/>
              <w:spacing w:line="240" w:lineRule="auto"/>
              <w:rPr>
                <w:rFonts w:hint="eastAsia"/>
                <w:sz w:val="21"/>
                <w:szCs w:val="21"/>
                <w:lang w:val="en-US" w:eastAsia="zh-CN"/>
              </w:rPr>
            </w:pPr>
            <w:r>
              <w:rPr>
                <w:rFonts w:hint="eastAsia"/>
                <w:szCs w:val="21"/>
              </w:rPr>
              <w:t>主要检查使用量大的药品、耗材的情况。调取医院药品、耗材进销存管理系统，对使用数量或金额较大的药品、耗材进行排名后与医保系统中的药品、耗材使用排名进行比对，比对结果差距较大的，由医学组核查参保人员就诊记录，核实是否存在特殊病种药品、耗材串换为非特殊病种药品、耗材；是否存在医保药品、耗材串换为非医保药品、耗材的情况。将医院药品、耗材进销存管理系统中的药品进销存报表，与医院财务存货、应付账款及药品、耗材收入等账簿记录进行比对</w:t>
            </w:r>
            <w:r>
              <w:rPr>
                <w:rFonts w:hint="eastAsia"/>
                <w:sz w:val="21"/>
                <w:szCs w:val="21"/>
                <w:lang w:val="en-US" w:eastAsia="zh-CN"/>
              </w:rPr>
              <w:t>。</w:t>
            </w:r>
          </w:p>
        </w:tc>
      </w:tr>
      <w:tr w14:paraId="1FD0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center"/>
          </w:tcPr>
          <w:p w14:paraId="55F1B92D">
            <w:pPr>
              <w:bidi w:val="0"/>
              <w:spacing w:line="240" w:lineRule="auto"/>
              <w:jc w:val="center"/>
              <w:rPr>
                <w:rFonts w:hint="default"/>
                <w:sz w:val="21"/>
                <w:szCs w:val="21"/>
                <w:lang w:val="en-US" w:eastAsia="zh-CN"/>
              </w:rPr>
            </w:pPr>
            <w:r>
              <w:rPr>
                <w:rFonts w:hint="eastAsia"/>
                <w:sz w:val="21"/>
                <w:szCs w:val="21"/>
                <w:lang w:val="en-US" w:eastAsia="zh-CN"/>
              </w:rPr>
              <w:t>9</w:t>
            </w:r>
          </w:p>
        </w:tc>
        <w:tc>
          <w:tcPr>
            <w:tcW w:w="2150" w:type="dxa"/>
            <w:noWrap w:val="0"/>
            <w:vAlign w:val="center"/>
          </w:tcPr>
          <w:p w14:paraId="3C041CEE">
            <w:pPr>
              <w:jc w:val="center"/>
            </w:pPr>
            <w:r>
              <w:rPr>
                <w:rFonts w:hint="eastAsia"/>
                <w:szCs w:val="21"/>
              </w:rPr>
              <w:t>检查财务收支和物价管理</w:t>
            </w:r>
          </w:p>
          <w:p w14:paraId="177C0BAA">
            <w:pPr>
              <w:bidi w:val="0"/>
              <w:spacing w:line="240" w:lineRule="auto"/>
              <w:jc w:val="center"/>
              <w:rPr>
                <w:rFonts w:hint="eastAsia"/>
                <w:sz w:val="21"/>
                <w:szCs w:val="21"/>
              </w:rPr>
            </w:pPr>
          </w:p>
        </w:tc>
        <w:tc>
          <w:tcPr>
            <w:tcW w:w="6413" w:type="dxa"/>
            <w:noWrap w:val="0"/>
            <w:vAlign w:val="center"/>
          </w:tcPr>
          <w:p w14:paraId="75EE17C1">
            <w:pPr>
              <w:bidi w:val="0"/>
              <w:spacing w:line="240" w:lineRule="auto"/>
              <w:rPr>
                <w:rFonts w:hint="eastAsia"/>
                <w:szCs w:val="21"/>
              </w:rPr>
            </w:pPr>
            <w:r>
              <w:rPr>
                <w:rFonts w:hint="eastAsia"/>
                <w:szCs w:val="21"/>
              </w:rPr>
              <w:t>①检查医院财务收支。主要检查医院应收医保费用结算款及医院支出等。查阅医院财务账簿，核实医院应收医保费用结算款与医保部门结算报表对应情况，医院与医保部门定期对账情况。</w:t>
            </w:r>
          </w:p>
          <w:p w14:paraId="0E8FCC39">
            <w:pPr>
              <w:bidi w:val="0"/>
              <w:spacing w:line="240" w:lineRule="auto"/>
              <w:rPr>
                <w:rFonts w:hint="eastAsia"/>
                <w:sz w:val="21"/>
                <w:szCs w:val="21"/>
                <w:lang w:val="en-US" w:eastAsia="zh-CN"/>
              </w:rPr>
            </w:pPr>
            <w:r>
              <w:rPr>
                <w:rFonts w:hint="eastAsia"/>
                <w:szCs w:val="21"/>
              </w:rPr>
              <w:t>②检查医院物价管理。主要检查医院物价管理的人员配置情况、内部控制流程等。查阅医院物价管理的组织结构设置、科室分工、人员权限设置。将医院管理系统中的物价管理模块中的医院收费价格目录与当地制定的医疗服务价格或药品价格标准进行比对，将收费较频繁的项目或价格较高的收费项目与医疗费用清单进行比对，收集整理可疑之处。</w:t>
            </w:r>
          </w:p>
        </w:tc>
      </w:tr>
      <w:tr w14:paraId="2688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center"/>
          </w:tcPr>
          <w:p w14:paraId="50BF5E47">
            <w:pPr>
              <w:bidi w:val="0"/>
              <w:spacing w:line="240" w:lineRule="auto"/>
              <w:jc w:val="center"/>
              <w:rPr>
                <w:rFonts w:hint="default"/>
                <w:strike w:val="0"/>
                <w:dstrike w:val="0"/>
                <w:sz w:val="21"/>
                <w:szCs w:val="21"/>
                <w:lang w:val="en-US" w:eastAsia="zh-CN"/>
              </w:rPr>
            </w:pPr>
            <w:r>
              <w:rPr>
                <w:rFonts w:hint="eastAsia"/>
                <w:strike w:val="0"/>
                <w:dstrike w:val="0"/>
                <w:sz w:val="21"/>
                <w:szCs w:val="21"/>
                <w:lang w:val="en-US" w:eastAsia="zh-CN"/>
              </w:rPr>
              <w:t>10</w:t>
            </w:r>
          </w:p>
        </w:tc>
        <w:tc>
          <w:tcPr>
            <w:tcW w:w="2150" w:type="dxa"/>
            <w:noWrap w:val="0"/>
            <w:vAlign w:val="center"/>
          </w:tcPr>
          <w:p w14:paraId="0073CA1D">
            <w:pPr>
              <w:bidi w:val="0"/>
              <w:spacing w:line="240" w:lineRule="auto"/>
              <w:jc w:val="center"/>
              <w:rPr>
                <w:rFonts w:hint="eastAsia"/>
                <w:strike w:val="0"/>
                <w:dstrike w:val="0"/>
                <w:sz w:val="21"/>
                <w:szCs w:val="21"/>
              </w:rPr>
            </w:pPr>
            <w:r>
              <w:rPr>
                <w:rFonts w:hint="eastAsia"/>
                <w:szCs w:val="21"/>
              </w:rPr>
              <w:t>对临床试验项目进行检查</w:t>
            </w:r>
          </w:p>
        </w:tc>
        <w:tc>
          <w:tcPr>
            <w:tcW w:w="6413" w:type="dxa"/>
            <w:noWrap w:val="0"/>
            <w:vAlign w:val="center"/>
          </w:tcPr>
          <w:p w14:paraId="5F4EEBD4">
            <w:pPr>
              <w:bidi w:val="0"/>
              <w:spacing w:line="240" w:lineRule="auto"/>
              <w:rPr>
                <w:rFonts w:hint="eastAsia"/>
                <w:strike w:val="0"/>
                <w:dstrike w:val="0"/>
                <w:sz w:val="21"/>
                <w:szCs w:val="21"/>
                <w:lang w:val="en-US" w:eastAsia="zh-CN"/>
              </w:rPr>
            </w:pPr>
            <w:r>
              <w:rPr>
                <w:rFonts w:hint="eastAsia"/>
                <w:szCs w:val="21"/>
              </w:rPr>
              <w:t>现场发现的共性违规行为及时通报信息组形成数据筛查规则，信息组对规则进行开发调整，新疑点数据产生后再次通过病案检查进行校验，如校验结果存在偏差或无法确保准确及时告知数据组。</w:t>
            </w:r>
          </w:p>
        </w:tc>
      </w:tr>
      <w:tr w14:paraId="39E4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7" w:type="dxa"/>
            <w:noWrap w:val="0"/>
            <w:vAlign w:val="center"/>
          </w:tcPr>
          <w:p w14:paraId="240B0972">
            <w:pPr>
              <w:bidi w:val="0"/>
              <w:spacing w:line="240" w:lineRule="auto"/>
              <w:jc w:val="center"/>
              <w:rPr>
                <w:rFonts w:hint="default"/>
                <w:sz w:val="21"/>
                <w:szCs w:val="21"/>
                <w:lang w:val="en-US" w:eastAsia="zh-CN"/>
              </w:rPr>
            </w:pPr>
            <w:r>
              <w:rPr>
                <w:rFonts w:hint="eastAsia"/>
                <w:sz w:val="21"/>
                <w:szCs w:val="21"/>
                <w:lang w:val="en-US" w:eastAsia="zh-CN"/>
              </w:rPr>
              <w:t>11</w:t>
            </w:r>
          </w:p>
        </w:tc>
        <w:tc>
          <w:tcPr>
            <w:tcW w:w="2150" w:type="dxa"/>
            <w:noWrap w:val="0"/>
            <w:vAlign w:val="center"/>
          </w:tcPr>
          <w:p w14:paraId="131E8482">
            <w:pPr>
              <w:bidi w:val="0"/>
              <w:spacing w:line="240" w:lineRule="auto"/>
              <w:jc w:val="center"/>
              <w:rPr>
                <w:rFonts w:hint="eastAsia"/>
                <w:sz w:val="21"/>
                <w:szCs w:val="21"/>
              </w:rPr>
            </w:pPr>
            <w:r>
              <w:rPr>
                <w:rFonts w:hint="eastAsia"/>
                <w:szCs w:val="21"/>
              </w:rPr>
              <w:t>反馈意见</w:t>
            </w:r>
          </w:p>
        </w:tc>
        <w:tc>
          <w:tcPr>
            <w:tcW w:w="6413" w:type="dxa"/>
            <w:noWrap w:val="0"/>
            <w:vAlign w:val="center"/>
          </w:tcPr>
          <w:p w14:paraId="12C09066">
            <w:pPr>
              <w:bidi w:val="0"/>
              <w:spacing w:line="240" w:lineRule="auto"/>
              <w:rPr>
                <w:rFonts w:hint="eastAsia"/>
                <w:szCs w:val="21"/>
              </w:rPr>
            </w:pPr>
            <w:r>
              <w:rPr>
                <w:rFonts w:hint="eastAsia"/>
                <w:szCs w:val="21"/>
              </w:rPr>
              <w:t>①《反馈意见》拟定：综合组牵头拟定《反馈意见》，《反馈意见》需征求组长意见并由组长审定。</w:t>
            </w:r>
          </w:p>
          <w:p w14:paraId="609BFB62">
            <w:pPr>
              <w:bidi w:val="0"/>
              <w:spacing w:line="240" w:lineRule="auto"/>
              <w:rPr>
                <w:rFonts w:hint="eastAsia"/>
                <w:szCs w:val="21"/>
                <w:lang w:val="en-US" w:eastAsia="zh-CN"/>
              </w:rPr>
            </w:pPr>
            <w:r>
              <w:rPr>
                <w:rFonts w:hint="eastAsia"/>
                <w:szCs w:val="21"/>
              </w:rPr>
              <w:t>②进行反馈：召开反馈会议，由组长牵头进行反馈，并听取院方的意见。</w:t>
            </w:r>
          </w:p>
        </w:tc>
      </w:tr>
      <w:tr w14:paraId="5A29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center"/>
          </w:tcPr>
          <w:p w14:paraId="743DF618">
            <w:pPr>
              <w:bidi w:val="0"/>
              <w:spacing w:line="240" w:lineRule="auto"/>
              <w:jc w:val="center"/>
              <w:rPr>
                <w:rFonts w:hint="default"/>
                <w:sz w:val="21"/>
                <w:szCs w:val="21"/>
                <w:lang w:val="en-US" w:eastAsia="zh-CN"/>
              </w:rPr>
            </w:pPr>
            <w:r>
              <w:rPr>
                <w:rFonts w:hint="eastAsia"/>
                <w:sz w:val="21"/>
                <w:szCs w:val="21"/>
                <w:lang w:val="en-US" w:eastAsia="zh-CN"/>
              </w:rPr>
              <w:t>12</w:t>
            </w:r>
          </w:p>
        </w:tc>
        <w:tc>
          <w:tcPr>
            <w:tcW w:w="2150" w:type="dxa"/>
            <w:noWrap w:val="0"/>
            <w:vAlign w:val="center"/>
          </w:tcPr>
          <w:p w14:paraId="49DD6452">
            <w:pPr>
              <w:bidi w:val="0"/>
              <w:spacing w:line="240" w:lineRule="auto"/>
              <w:jc w:val="center"/>
              <w:rPr>
                <w:rFonts w:hint="eastAsia"/>
                <w:sz w:val="21"/>
                <w:szCs w:val="21"/>
              </w:rPr>
            </w:pPr>
            <w:r>
              <w:rPr>
                <w:rFonts w:hint="eastAsia"/>
                <w:szCs w:val="21"/>
              </w:rPr>
              <w:t>数据管理</w:t>
            </w:r>
          </w:p>
        </w:tc>
        <w:tc>
          <w:tcPr>
            <w:tcW w:w="6413" w:type="dxa"/>
            <w:noWrap w:val="0"/>
            <w:vAlign w:val="center"/>
          </w:tcPr>
          <w:p w14:paraId="351F85E0">
            <w:pPr>
              <w:bidi w:val="0"/>
              <w:spacing w:line="240" w:lineRule="auto"/>
              <w:rPr>
                <w:rFonts w:hint="eastAsia"/>
                <w:sz w:val="21"/>
                <w:szCs w:val="21"/>
                <w:lang w:val="en-US" w:eastAsia="zh-CN"/>
              </w:rPr>
            </w:pPr>
            <w:r>
              <w:rPr>
                <w:rFonts w:hint="eastAsia"/>
                <w:szCs w:val="21"/>
              </w:rPr>
              <w:t>检查结束，数据</w:t>
            </w:r>
            <w:r>
              <w:rPr>
                <w:rFonts w:hint="eastAsia"/>
                <w:szCs w:val="21"/>
                <w:lang w:val="en-US" w:eastAsia="zh-CN"/>
              </w:rPr>
              <w:t>全部移交</w:t>
            </w:r>
            <w:r>
              <w:rPr>
                <w:rFonts w:hint="eastAsia"/>
                <w:szCs w:val="21"/>
              </w:rPr>
              <w:t>中山大学附属第八医院统一管理。</w:t>
            </w:r>
          </w:p>
        </w:tc>
      </w:tr>
    </w:tbl>
    <w:p w14:paraId="5DEC3B3D">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82" w:firstLineChars="200"/>
        <w:textAlignment w:val="auto"/>
        <w:rPr>
          <w:rFonts w:hint="eastAsia" w:ascii="Times New Roman" w:hAnsi="Times New Roman" w:eastAsia="宋体" w:cs="Times New Roman"/>
          <w:b/>
          <w:bCs/>
          <w:kern w:val="2"/>
          <w:sz w:val="24"/>
          <w:szCs w:val="24"/>
          <w:lang w:val="en-US" w:eastAsia="zh-CN" w:bidi="ar-SA"/>
        </w:rPr>
      </w:pPr>
    </w:p>
    <w:p w14:paraId="161815B6">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82" w:firstLineChars="200"/>
        <w:textAlignment w:val="auto"/>
        <w:rPr>
          <w:rFonts w:hint="eastAsia" w:ascii="Times New Roman" w:hAnsi="Times New Roman" w:eastAsia="宋体" w:cs="Times New Roman"/>
          <w:b/>
          <w:bCs/>
          <w:kern w:val="2"/>
          <w:sz w:val="24"/>
          <w:szCs w:val="24"/>
          <w:lang w:val="en-US" w:eastAsia="zh-CN" w:bidi="ar-SA"/>
        </w:rPr>
      </w:pPr>
    </w:p>
    <w:p w14:paraId="74F9A7C7">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82" w:firstLineChars="200"/>
        <w:textAlignment w:val="auto"/>
        <w:rPr>
          <w:rFonts w:hint="eastAsia" w:eastAsia="宋体"/>
          <w:b/>
          <w:bCs/>
          <w:sz w:val="24"/>
        </w:rPr>
      </w:pPr>
      <w:r>
        <w:rPr>
          <w:rFonts w:hint="eastAsia" w:ascii="Times New Roman" w:hAnsi="Times New Roman" w:eastAsia="宋体" w:cs="Times New Roman"/>
          <w:b/>
          <w:bCs/>
          <w:kern w:val="2"/>
          <w:sz w:val="24"/>
          <w:szCs w:val="24"/>
          <w:lang w:val="en-US" w:eastAsia="zh-CN" w:bidi="ar-SA"/>
        </w:rPr>
        <w:t>三</w:t>
      </w:r>
      <w:r>
        <w:rPr>
          <w:rFonts w:hint="eastAsia" w:cs="Times New Roman"/>
          <w:b/>
          <w:bCs/>
          <w:kern w:val="2"/>
          <w:sz w:val="24"/>
          <w:szCs w:val="24"/>
          <w:lang w:val="en-US" w:eastAsia="zh-CN" w:bidi="ar-SA"/>
        </w:rPr>
        <w:t>、</w:t>
      </w:r>
      <w:r>
        <w:rPr>
          <w:rFonts w:hint="eastAsia" w:eastAsia="宋体"/>
          <w:b/>
          <w:bCs/>
          <w:sz w:val="24"/>
          <w:lang w:val="en-US" w:eastAsia="zh-CN"/>
        </w:rPr>
        <w:t>人员</w:t>
      </w:r>
      <w:r>
        <w:rPr>
          <w:rFonts w:hint="eastAsia" w:eastAsia="宋体"/>
          <w:b/>
          <w:bCs/>
          <w:sz w:val="24"/>
        </w:rPr>
        <w:t>要求</w:t>
      </w:r>
    </w:p>
    <w:p w14:paraId="5879372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（一）团队组成要求</w:t>
      </w:r>
    </w:p>
    <w:p w14:paraId="07732D9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中标方应成立专项服务团队，团队应包括但不限于以下人员：项目负责人、</w:t>
      </w:r>
      <w:r>
        <w:rPr>
          <w:rFonts w:hint="eastAsia" w:asciiTheme="minorEastAsia" w:hAnsiTheme="minorEastAsia" w:eastAsiaTheme="minorEastAsia" w:cstheme="minorEastAsia"/>
          <w:color w:val="auto"/>
          <w:kern w:val="0"/>
          <w:sz w:val="24"/>
          <w:lang w:val="en-US" w:eastAsia="zh-CN"/>
        </w:rPr>
        <w:t>信息人员</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财务人员</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医学人员</w:t>
      </w:r>
      <w:r>
        <w:rPr>
          <w:rFonts w:hint="eastAsia" w:asciiTheme="minorEastAsia" w:hAnsiTheme="minorEastAsia" w:eastAsiaTheme="minorEastAsia" w:cstheme="minorEastAsia"/>
          <w:color w:val="auto"/>
          <w:kern w:val="0"/>
          <w:sz w:val="24"/>
        </w:rPr>
        <w:t>等，形成多人团队，有效地对项目目标和各用户的需求做出反应并且实现。</w:t>
      </w:r>
    </w:p>
    <w:p w14:paraId="1918329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（二）项目负责人要求（仅限1人）</w:t>
      </w:r>
    </w:p>
    <w:p w14:paraId="0FA6C17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 项目负责人应具有</w:t>
      </w:r>
      <w:r>
        <w:rPr>
          <w:rFonts w:hint="eastAsia" w:asciiTheme="minorEastAsia" w:hAnsiTheme="minorEastAsia" w:eastAsiaTheme="minorEastAsia" w:cstheme="minorEastAsia"/>
          <w:color w:val="auto"/>
          <w:kern w:val="0"/>
          <w:sz w:val="24"/>
          <w:lang w:val="en-US" w:eastAsia="zh-CN"/>
        </w:rPr>
        <w:t>国家飞检检查工作经验</w:t>
      </w:r>
      <w:r>
        <w:rPr>
          <w:rFonts w:hint="eastAsia" w:asciiTheme="minorEastAsia" w:hAnsiTheme="minorEastAsia" w:eastAsiaTheme="minorEastAsia" w:cstheme="minorEastAsia"/>
          <w:color w:val="auto"/>
          <w:kern w:val="0"/>
          <w:sz w:val="24"/>
        </w:rPr>
        <w:t>；</w:t>
      </w:r>
    </w:p>
    <w:p w14:paraId="571ACCC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 项目负责人应</w:t>
      </w:r>
      <w:r>
        <w:rPr>
          <w:rFonts w:hint="eastAsia" w:asciiTheme="minorEastAsia" w:hAnsiTheme="minorEastAsia" w:eastAsiaTheme="minorEastAsia" w:cstheme="minorEastAsia"/>
          <w:color w:val="auto"/>
          <w:kern w:val="0"/>
          <w:sz w:val="24"/>
          <w:lang w:val="en-US" w:eastAsia="zh-CN"/>
        </w:rPr>
        <w:t>至少</w:t>
      </w:r>
      <w:r>
        <w:rPr>
          <w:rFonts w:hint="eastAsia" w:asciiTheme="minorEastAsia" w:hAnsiTheme="minorEastAsia" w:eastAsiaTheme="minorEastAsia" w:cstheme="minorEastAsia"/>
          <w:color w:val="auto"/>
          <w:kern w:val="0"/>
          <w:sz w:val="24"/>
        </w:rPr>
        <w:t>具有</w:t>
      </w:r>
      <w:r>
        <w:rPr>
          <w:rFonts w:hint="eastAsia" w:asciiTheme="minorEastAsia" w:hAnsiTheme="minorEastAsia" w:eastAsiaTheme="minorEastAsia" w:cstheme="minorEastAsia"/>
          <w:color w:val="auto"/>
          <w:kern w:val="0"/>
          <w:sz w:val="24"/>
          <w:lang w:val="en-US" w:eastAsia="zh-CN"/>
        </w:rPr>
        <w:t>3次省飞检检查工作经验</w:t>
      </w:r>
      <w:r>
        <w:rPr>
          <w:rFonts w:hint="eastAsia" w:asciiTheme="minorEastAsia" w:hAnsiTheme="minorEastAsia" w:eastAsiaTheme="minorEastAsia" w:cstheme="minorEastAsia"/>
          <w:color w:val="auto"/>
          <w:kern w:val="0"/>
          <w:sz w:val="24"/>
        </w:rPr>
        <w:t>；</w:t>
      </w:r>
    </w:p>
    <w:p w14:paraId="4BC7BCE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3. 项目负责人</w:t>
      </w:r>
      <w:r>
        <w:rPr>
          <w:rFonts w:hint="eastAsia" w:asciiTheme="minorEastAsia" w:hAnsiTheme="minorEastAsia" w:eastAsiaTheme="minorEastAsia" w:cstheme="minorEastAsia"/>
          <w:color w:val="auto"/>
          <w:kern w:val="0"/>
          <w:sz w:val="24"/>
          <w:lang w:val="en-US" w:eastAsia="zh-CN"/>
        </w:rPr>
        <w:t>应至少具有2次三甲医院检查工作经验</w:t>
      </w:r>
      <w:r>
        <w:rPr>
          <w:rFonts w:hint="eastAsia" w:asciiTheme="minorEastAsia" w:hAnsiTheme="minorEastAsia" w:eastAsiaTheme="minorEastAsia" w:cstheme="minorEastAsia"/>
          <w:color w:val="auto"/>
          <w:kern w:val="0"/>
          <w:sz w:val="24"/>
        </w:rPr>
        <w:t>。</w:t>
      </w:r>
    </w:p>
    <w:p w14:paraId="79548C9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（三）团队核心成员要求</w:t>
      </w:r>
    </w:p>
    <w:p w14:paraId="5616333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rPr>
        <w:t>1. 团队核心成员（含项目负责人）中具有计算机</w:t>
      </w:r>
      <w:r>
        <w:rPr>
          <w:rFonts w:hint="eastAsia" w:asciiTheme="minorEastAsia" w:hAnsiTheme="minorEastAsia" w:eastAsiaTheme="minorEastAsia" w:cstheme="minorEastAsia"/>
          <w:color w:val="auto"/>
          <w:kern w:val="0"/>
          <w:sz w:val="24"/>
          <w:lang w:val="en-US" w:eastAsia="zh-CN"/>
        </w:rPr>
        <w:t>或信息专业（中级职称或以上资格）、医学专业（主治医师或以上资格）、财务专业（中级职称或以上资格）</w:t>
      </w:r>
      <w:r>
        <w:rPr>
          <w:rFonts w:hint="eastAsia" w:asciiTheme="minorEastAsia" w:hAnsiTheme="minorEastAsia" w:eastAsiaTheme="minorEastAsia" w:cstheme="minorEastAsia"/>
          <w:color w:val="auto"/>
          <w:kern w:val="0"/>
          <w:sz w:val="24"/>
        </w:rPr>
        <w:t>的人员。</w:t>
      </w:r>
    </w:p>
    <w:p w14:paraId="5ABAF79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 团队成员需提供学位证书</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lang w:val="en-US" w:eastAsia="zh-CN"/>
        </w:rPr>
        <w:t>资格证书</w:t>
      </w:r>
      <w:r>
        <w:rPr>
          <w:rFonts w:hint="eastAsia" w:asciiTheme="minorEastAsia" w:hAnsiTheme="minorEastAsia" w:eastAsiaTheme="minorEastAsia" w:cstheme="minorEastAsia"/>
          <w:color w:val="auto"/>
          <w:kern w:val="0"/>
          <w:sz w:val="24"/>
        </w:rPr>
        <w:t>。</w:t>
      </w:r>
    </w:p>
    <w:p w14:paraId="3D02FE8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四</w:t>
      </w:r>
      <w:r>
        <w:rPr>
          <w:rFonts w:hint="eastAsia" w:asciiTheme="minorEastAsia" w:hAnsiTheme="minorEastAsia" w:eastAsiaTheme="minorEastAsia" w:cstheme="minorEastAsia"/>
          <w:color w:val="auto"/>
          <w:kern w:val="0"/>
          <w:sz w:val="24"/>
        </w:rPr>
        <w:t>）人员稳定性要求</w:t>
      </w:r>
    </w:p>
    <w:p w14:paraId="44DC919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 中标后，中标人应按照投标文件承诺配置项目团队；</w:t>
      </w:r>
    </w:p>
    <w:p w14:paraId="25FFE3B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 项目负责人在验收前未经采购人同意不可更换；确需更换的书面征得采购人同意后更换；</w:t>
      </w:r>
    </w:p>
    <w:p w14:paraId="162CE09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3. 核心团队成员如需更换，应提前通知采购人并征得同意，更换人员的资质不得低于原人员。</w:t>
      </w:r>
    </w:p>
    <w:p w14:paraId="6AA01E5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五</w:t>
      </w:r>
      <w:r>
        <w:rPr>
          <w:rFonts w:hint="eastAsia" w:asciiTheme="minorEastAsia" w:hAnsiTheme="minorEastAsia" w:eastAsiaTheme="minorEastAsia" w:cstheme="minorEastAsia"/>
          <w:color w:val="auto"/>
          <w:kern w:val="0"/>
          <w:sz w:val="24"/>
        </w:rPr>
        <w:t>）违约责任</w:t>
      </w:r>
    </w:p>
    <w:p w14:paraId="50AB319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中标方如未按照招标文件及投标承诺配置人员，或擅自更换项目负责人及核心团队成员的，采购人有权要求中标方支付违约金，并有权解除合同。</w:t>
      </w:r>
    </w:p>
    <w:p w14:paraId="1587C7BA">
      <w:pPr>
        <w:adjustRightInd w:val="0"/>
        <w:snapToGrid w:val="0"/>
        <w:spacing w:line="400" w:lineRule="atLeast"/>
        <w:ind w:firstLine="482" w:firstLineChars="200"/>
        <w:rPr>
          <w:rFonts w:hint="default" w:asciiTheme="minorEastAsia" w:hAnsiTheme="minorEastAsia" w:eastAsiaTheme="minorEastAsia" w:cstheme="minorEastAsia"/>
          <w:color w:val="auto"/>
          <w:kern w:val="0"/>
          <w:sz w:val="24"/>
          <w:lang w:val="en-US"/>
        </w:rPr>
      </w:pPr>
      <w:r>
        <w:rPr>
          <w:rFonts w:hint="eastAsia" w:eastAsia="宋体"/>
          <w:b/>
          <w:bCs/>
          <w:sz w:val="24"/>
          <w:lang w:val="en-US" w:eastAsia="zh-CN"/>
        </w:rPr>
        <w:t>四</w:t>
      </w:r>
      <w:r>
        <w:rPr>
          <w:rFonts w:eastAsia="宋体"/>
          <w:b/>
          <w:bCs/>
          <w:sz w:val="24"/>
        </w:rPr>
        <w:t>、★</w:t>
      </w:r>
      <w:r>
        <w:rPr>
          <w:rFonts w:hint="eastAsia" w:asciiTheme="minorEastAsia" w:hAnsiTheme="minorEastAsia" w:eastAsiaTheme="minorEastAsia" w:cstheme="minorEastAsia"/>
          <w:color w:val="auto"/>
          <w:kern w:val="0"/>
          <w:sz w:val="24"/>
        </w:rPr>
        <w:t>商务条款</w:t>
      </w:r>
      <w:bookmarkStart w:id="26" w:name="_GoBack"/>
      <w:bookmarkEnd w:id="26"/>
    </w:p>
    <w:p w14:paraId="6A1E8BC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（一）项目开发进度安排（每一阶段只有通过采购人认可后才能计入下一阶段）</w:t>
      </w:r>
    </w:p>
    <w:p w14:paraId="1C39EC8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1、实施准备：</w:t>
      </w:r>
      <w:r>
        <w:rPr>
          <w:rFonts w:hint="eastAsia" w:asciiTheme="minorEastAsia" w:hAnsiTheme="minorEastAsia" w:eastAsiaTheme="minorEastAsia" w:cstheme="minorEastAsia"/>
          <w:color w:val="auto"/>
          <w:kern w:val="0"/>
          <w:sz w:val="24"/>
          <w:lang w:val="en-US" w:eastAsia="zh-CN"/>
        </w:rPr>
        <w:t>中标</w:t>
      </w:r>
      <w:r>
        <w:rPr>
          <w:rFonts w:hint="eastAsia" w:asciiTheme="minorEastAsia" w:hAnsiTheme="minorEastAsia" w:eastAsiaTheme="minorEastAsia" w:cstheme="minorEastAsia"/>
          <w:color w:val="auto"/>
          <w:kern w:val="0"/>
          <w:sz w:val="24"/>
        </w:rPr>
        <w:t>人协助采购人确定实施范围，拟定《实施计划》由双方签字确认，作为项目实施的直接依据。</w:t>
      </w:r>
      <w:r>
        <w:rPr>
          <w:rFonts w:hint="eastAsia" w:asciiTheme="minorEastAsia" w:hAnsiTheme="minorEastAsia" w:eastAsiaTheme="minorEastAsia" w:cstheme="minorEastAsia"/>
          <w:color w:val="auto"/>
          <w:kern w:val="0"/>
          <w:sz w:val="24"/>
          <w:lang w:eastAsia="zh-CN"/>
        </w:rPr>
        <w:t>自合同签订之日起</w:t>
      </w:r>
      <w:r>
        <w:rPr>
          <w:rFonts w:hint="eastAsia" w:asciiTheme="minorEastAsia" w:hAnsiTheme="minorEastAsia" w:eastAsiaTheme="minorEastAsia" w:cstheme="minorEastAsia"/>
          <w:color w:val="auto"/>
          <w:kern w:val="0"/>
          <w:sz w:val="24"/>
          <w:lang w:val="en-US" w:eastAsia="zh-CN"/>
        </w:rPr>
        <w:t>1个月</w:t>
      </w:r>
      <w:r>
        <w:rPr>
          <w:rFonts w:hint="eastAsia" w:asciiTheme="minorEastAsia" w:hAnsiTheme="minorEastAsia" w:eastAsiaTheme="minorEastAsia" w:cstheme="minorEastAsia"/>
          <w:color w:val="auto"/>
          <w:kern w:val="0"/>
          <w:sz w:val="24"/>
          <w:lang w:eastAsia="zh-CN"/>
        </w:rPr>
        <w:t>内完成</w:t>
      </w:r>
      <w:r>
        <w:rPr>
          <w:rFonts w:hint="eastAsia" w:asciiTheme="minorEastAsia" w:hAnsiTheme="minorEastAsia" w:eastAsiaTheme="minorEastAsia" w:cstheme="minorEastAsia"/>
          <w:color w:val="auto"/>
          <w:kern w:val="0"/>
          <w:sz w:val="24"/>
        </w:rPr>
        <w:t>；</w:t>
      </w:r>
    </w:p>
    <w:p w14:paraId="019CBBE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w:t>
      </w:r>
      <w:r>
        <w:rPr>
          <w:rFonts w:hint="eastAsia" w:asciiTheme="minorEastAsia" w:hAnsiTheme="minorEastAsia" w:eastAsiaTheme="minorEastAsia" w:cstheme="minorEastAsia"/>
          <w:color w:val="auto"/>
          <w:kern w:val="0"/>
          <w:sz w:val="24"/>
          <w:lang w:val="en-US" w:eastAsia="zh-CN"/>
        </w:rPr>
        <w:t>服务</w:t>
      </w:r>
      <w:r>
        <w:rPr>
          <w:rFonts w:hint="eastAsia" w:asciiTheme="minorEastAsia" w:hAnsiTheme="minorEastAsia" w:eastAsiaTheme="minorEastAsia" w:cstheme="minorEastAsia"/>
          <w:color w:val="auto"/>
          <w:kern w:val="0"/>
          <w:sz w:val="24"/>
        </w:rPr>
        <w:t>实施：自实施计划确认之日起，</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按照拟定的《实施计划》进行数据实施工作，由双方对完成的结果双方进行核对，双方签字确认</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lang w:val="en-US" w:eastAsia="zh-CN"/>
        </w:rPr>
        <w:t>服务期限为1</w:t>
      </w:r>
      <w:r>
        <w:rPr>
          <w:rFonts w:hint="eastAsia" w:asciiTheme="minorEastAsia" w:hAnsiTheme="minorEastAsia" w:eastAsiaTheme="minorEastAsia" w:cstheme="minorEastAsia"/>
          <w:color w:val="auto"/>
          <w:kern w:val="0"/>
          <w:sz w:val="24"/>
        </w:rPr>
        <w:t>个月</w:t>
      </w:r>
      <w:r>
        <w:rPr>
          <w:rFonts w:hint="eastAsia" w:asciiTheme="minorEastAsia" w:hAnsiTheme="minorEastAsia" w:eastAsiaTheme="minorEastAsia" w:cstheme="minorEastAsia"/>
          <w:color w:val="auto"/>
          <w:kern w:val="0"/>
          <w:sz w:val="24"/>
          <w:lang w:eastAsia="zh-CN"/>
        </w:rPr>
        <w:t>。</w:t>
      </w:r>
    </w:p>
    <w:p w14:paraId="5CDD482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lang w:val="en-US" w:eastAsia="zh-CN"/>
        </w:rPr>
        <w:t>服务期限</w:t>
      </w:r>
      <w:r>
        <w:rPr>
          <w:rFonts w:hint="eastAsia" w:asciiTheme="minorEastAsia" w:hAnsiTheme="minorEastAsia" w:eastAsiaTheme="minorEastAsia" w:cstheme="minorEastAsia"/>
          <w:color w:val="auto"/>
          <w:kern w:val="0"/>
          <w:sz w:val="24"/>
        </w:rPr>
        <w:t>: 自合同签订之日起</w:t>
      </w:r>
      <w:r>
        <w:rPr>
          <w:rFonts w:hint="eastAsia" w:asciiTheme="minorEastAsia" w:hAnsiTheme="minorEastAsia" w:eastAsiaTheme="minorEastAsia" w:cstheme="minorEastAsia"/>
          <w:color w:val="auto"/>
          <w:kern w:val="0"/>
          <w:sz w:val="24"/>
          <w:lang w:val="en-US" w:eastAsia="zh-CN"/>
        </w:rPr>
        <w:t>2个月</w:t>
      </w:r>
      <w:r>
        <w:rPr>
          <w:rFonts w:hint="eastAsia" w:asciiTheme="minorEastAsia" w:hAnsiTheme="minorEastAsia" w:eastAsiaTheme="minorEastAsia" w:cstheme="minorEastAsia"/>
          <w:color w:val="auto"/>
          <w:kern w:val="0"/>
          <w:sz w:val="24"/>
        </w:rPr>
        <w:t>内完成</w:t>
      </w:r>
      <w:r>
        <w:rPr>
          <w:rFonts w:hint="eastAsia" w:asciiTheme="minorEastAsia" w:hAnsiTheme="minorEastAsia" w:eastAsiaTheme="minorEastAsia" w:cstheme="minorEastAsia"/>
          <w:color w:val="auto"/>
          <w:kern w:val="0"/>
          <w:sz w:val="24"/>
          <w:lang w:val="en-US" w:eastAsia="zh-CN"/>
        </w:rPr>
        <w:t>服务</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 xml:space="preserve"> </w:t>
      </w:r>
    </w:p>
    <w:p w14:paraId="21FC4D4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（二）</w:t>
      </w:r>
      <w:r>
        <w:rPr>
          <w:rFonts w:hint="eastAsia" w:asciiTheme="minorEastAsia" w:hAnsiTheme="minorEastAsia" w:eastAsiaTheme="minorEastAsia" w:cstheme="minorEastAsia"/>
          <w:color w:val="auto"/>
          <w:kern w:val="0"/>
          <w:sz w:val="24"/>
          <w:lang w:val="en-US" w:eastAsia="zh-CN"/>
        </w:rPr>
        <w:t>服务地点</w:t>
      </w:r>
      <w:r>
        <w:rPr>
          <w:rFonts w:hint="eastAsia" w:asciiTheme="minorEastAsia" w:hAnsiTheme="minorEastAsia" w:eastAsiaTheme="minorEastAsia" w:cstheme="minorEastAsia"/>
          <w:color w:val="auto"/>
          <w:kern w:val="0"/>
          <w:sz w:val="24"/>
        </w:rPr>
        <w:t>地点：中山大学附属第八医院（深圳福田）</w:t>
      </w:r>
    </w:p>
    <w:p w14:paraId="67F7AD5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三</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报价要求：</w:t>
      </w:r>
    </w:p>
    <w:p w14:paraId="1BE31FF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 xml:space="preserve">1. </w:t>
      </w:r>
      <w:r>
        <w:rPr>
          <w:rFonts w:hint="eastAsia" w:asciiTheme="minorEastAsia" w:hAnsiTheme="minorEastAsia" w:eastAsiaTheme="minorEastAsia" w:cstheme="minorEastAsia"/>
          <w:color w:val="auto"/>
          <w:kern w:val="0"/>
          <w:sz w:val="24"/>
        </w:rPr>
        <w:t>投标总价必须是完成该项目的一切费用总和，包括人工费、保险费、管理费、技术培训费、咨询服务费、差旅费、国家规定的各项税费等全部费用</w:t>
      </w:r>
      <w:r>
        <w:rPr>
          <w:rFonts w:hint="eastAsia" w:asciiTheme="minorEastAsia" w:hAnsiTheme="minorEastAsia" w:eastAsiaTheme="minorEastAsia" w:cstheme="minorEastAsia"/>
          <w:color w:val="auto"/>
          <w:kern w:val="0"/>
          <w:sz w:val="24"/>
          <w:lang w:eastAsia="zh-CN"/>
        </w:rPr>
        <w:t>。</w:t>
      </w:r>
    </w:p>
    <w:p w14:paraId="0BA3699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 xml:space="preserve">2.投标供应商应当根据本企业的成本自行决定报价，但不得低于其企业成本的报价也不得超过项目预算金额。 </w:t>
      </w:r>
    </w:p>
    <w:p w14:paraId="4E79FAF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3.投标供应商的报价，应当是本项目采购范围和采购文件及合同条款上所列的各项内容中所述的全部，不得以任何理由予以重复。</w:t>
      </w:r>
    </w:p>
    <w:p w14:paraId="1B1515F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四</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付款方式：</w:t>
      </w:r>
    </w:p>
    <w:p w14:paraId="1E98DCC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1.合同生效且采购人收到中标人开具的合规增值税发票后，10个工作日内支付合同总金额70%;</w:t>
      </w:r>
    </w:p>
    <w:p w14:paraId="14DBAB7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rPr>
        <w:t>2.项目全部服务完成、验收合格，采购人收到中标人开具剩余款项合规发票后，10个工作日内支付剩余30%</w:t>
      </w:r>
      <w:r>
        <w:rPr>
          <w:rFonts w:hint="eastAsia" w:asciiTheme="minorEastAsia" w:hAnsiTheme="minorEastAsia" w:eastAsiaTheme="minorEastAsia" w:cstheme="minorEastAsia"/>
          <w:color w:val="auto"/>
          <w:kern w:val="0"/>
          <w:sz w:val="24"/>
          <w:lang w:eastAsia="zh-CN"/>
        </w:rPr>
        <w:t>。</w:t>
      </w:r>
    </w:p>
    <w:p w14:paraId="2A12762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五</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 xml:space="preserve">验收要求 </w:t>
      </w:r>
    </w:p>
    <w:p w14:paraId="64DB735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 xml:space="preserve">1、服务经过双方认可后，签署验收报告。 </w:t>
      </w:r>
    </w:p>
    <w:p w14:paraId="2B12D2A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2、中标人在项目验收通过后向采购人提供该项目形成的成果和相关文档。中标人向采购人提供的成果和文档资料不得人为设置技术障碍影响采购人的正常应用。</w:t>
      </w:r>
    </w:p>
    <w:p w14:paraId="43CEA5D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本项目交付成果（包括但不限于以下内容）：</w:t>
      </w:r>
    </w:p>
    <w:p w14:paraId="78A334D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（1）2024.01-2026.05 医保基金疑点数据分析报告；</w:t>
      </w:r>
    </w:p>
    <w:p w14:paraId="618CCE7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（2）全院医保自查自纠总报告及整改建议清单。</w:t>
      </w:r>
    </w:p>
    <w:p w14:paraId="18346CF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六</w:t>
      </w:r>
      <w:r>
        <w:rPr>
          <w:rFonts w:hint="eastAsia" w:asciiTheme="minorEastAsia" w:hAnsiTheme="minorEastAsia" w:eastAsiaTheme="minorEastAsia" w:cstheme="minorEastAsia"/>
          <w:color w:val="auto"/>
          <w:kern w:val="0"/>
          <w:sz w:val="24"/>
        </w:rPr>
        <w:t>）质量考核验收标准及违约金：</w:t>
      </w:r>
    </w:p>
    <w:p w14:paraId="7B83BDC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1. 质量考核验收标准：中标人以书面方式通知采购人，中标人需按照产出物的要求提交响应的文档，向采购人递交验收请求。采购人按照对产出物进行核对后，签署验收报告。</w:t>
      </w:r>
    </w:p>
    <w:p w14:paraId="37E8AD1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 违约金：中标人如有违反则应当承担违约责任。</w:t>
      </w:r>
    </w:p>
    <w:p w14:paraId="1953B11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 xml:space="preserve">3. </w:t>
      </w:r>
      <w:r>
        <w:rPr>
          <w:rFonts w:hint="eastAsia" w:asciiTheme="minorEastAsia" w:hAnsiTheme="minorEastAsia" w:eastAsiaTheme="minorEastAsia" w:cstheme="minorEastAsia"/>
          <w:color w:val="auto"/>
          <w:kern w:val="0"/>
          <w:sz w:val="24"/>
        </w:rPr>
        <w:t>中标方提供的各种文件、报告、方案等成果文件载明的内容必须真实、准确。采购人对中标方提供的咨询报告、方案文档等成果质量有疑问时，有权要求中标方提供相关依据、数据来源或补充说明。对于涉及国家标准、测评规范等内容，中标方应提供权威文件依据（如国家卫生健康委发布的测评方案、相关国家标准文件等）。如发现中标方故意提供虚假信息或严重误导性内容的，视为不合格。</w:t>
      </w:r>
    </w:p>
    <w:p w14:paraId="5B3F244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七</w:t>
      </w:r>
      <w:r>
        <w:rPr>
          <w:rFonts w:hint="eastAsia" w:asciiTheme="minorEastAsia" w:hAnsiTheme="minorEastAsia" w:eastAsiaTheme="minorEastAsia" w:cstheme="minorEastAsia"/>
          <w:color w:val="auto"/>
          <w:kern w:val="0"/>
          <w:sz w:val="24"/>
        </w:rPr>
        <w:t>）售后服务要求</w:t>
      </w:r>
    </w:p>
    <w:p w14:paraId="5457968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1、服务期限：本项目售后服务期限共计 2 个月，自项目验收合格之日起算。服务期内供方提供的咨询、培训、技术指导等全部服务内容，其对应费用均已包含在合同总金额之中，采购人不再承担任何额外费用。</w:t>
      </w:r>
    </w:p>
    <w:p w14:paraId="70A56F8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2、服务方式：中标方应按照"六、人员安排"要求配置项目团队，每阶段做好质量把控、文档整理，从项目进场实施到项目终验提供全流程服务。</w:t>
      </w:r>
    </w:p>
    <w:p w14:paraId="2E93C68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3、响应时间：中标方应提供及时的咨询支持服务。采购人提出咨询需求或问题后，中标方应在2个工作小时内响应，对于需要现场支持的，应在24小时内到达现场提供服务。</w:t>
      </w:r>
    </w:p>
    <w:p w14:paraId="09AD328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4、文档交付与更新：中标方应按照项目要求及时提交各类咨询报告、方案文档、培训材料等成果文件。如因采购人需求变化需要修改相关文档的，中标方应在1周内完成文档更新并提交采购人。</w:t>
      </w:r>
    </w:p>
    <w:p w14:paraId="11BA4E45">
      <w:pPr>
        <w:pStyle w:val="10"/>
        <w:ind w:firstLine="240" w:firstLineChars="100"/>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5、本次服务医院检测过的数据及项目如依旧发生扣款，按照合同金额的</w:t>
      </w:r>
      <w:r>
        <w:rPr>
          <w:rFonts w:hint="eastAsia" w:asciiTheme="minorEastAsia" w:hAnsiTheme="minorEastAsia" w:cstheme="minorEastAsia"/>
          <w:color w:val="auto"/>
          <w:kern w:val="0"/>
          <w:sz w:val="24"/>
          <w:szCs w:val="24"/>
        </w:rPr>
        <w:t>百分之一</w:t>
      </w:r>
      <w:r>
        <w:rPr>
          <w:rFonts w:hint="eastAsia" w:asciiTheme="minorEastAsia" w:hAnsiTheme="minorEastAsia" w:eastAsiaTheme="minorEastAsia" w:cstheme="minorEastAsia"/>
          <w:color w:val="auto"/>
          <w:kern w:val="0"/>
          <w:sz w:val="24"/>
          <w:szCs w:val="24"/>
          <w:lang w:val="en-US" w:eastAsia="zh-CN" w:bidi="ar-SA"/>
        </w:rPr>
        <w:t>扣款，扣款由中标人承担。</w:t>
      </w:r>
    </w:p>
    <w:p w14:paraId="163CBCB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6</w:t>
      </w:r>
      <w:r>
        <w:rPr>
          <w:rFonts w:hint="eastAsia" w:asciiTheme="minorEastAsia" w:hAnsiTheme="minorEastAsia" w:eastAsiaTheme="minorEastAsia" w:cstheme="minorEastAsia"/>
          <w:color w:val="auto"/>
          <w:kern w:val="0"/>
          <w:sz w:val="24"/>
          <w:lang w:val="en-US" w:eastAsia="zh-CN"/>
        </w:rPr>
        <w:t>、服务期内免费提供医保政策答疑、自查整改辅导</w:t>
      </w:r>
    </w:p>
    <w:p w14:paraId="049307B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八</w:t>
      </w:r>
      <w:r>
        <w:rPr>
          <w:rFonts w:hint="eastAsia" w:asciiTheme="minorEastAsia" w:hAnsiTheme="minorEastAsia" w:eastAsiaTheme="minorEastAsia" w:cstheme="minorEastAsia"/>
          <w:color w:val="auto"/>
          <w:kern w:val="0"/>
          <w:sz w:val="24"/>
        </w:rPr>
        <w:t>）质量保证</w:t>
      </w:r>
    </w:p>
    <w:p w14:paraId="231DF52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中标方需保证其提供的咨询服务、培训材料、方案文档等成果不会以任何形式侵犯他人合法的知识产权。如中标方提供的服务或成果侵犯他人知识产权，因侵权行为造成的一切经济和法律责任均由中标方自行承担，且中标方应承担因此给采购人造成的一切损失（提供承诺函（格式自拟）加盖中标方公章）。</w:t>
      </w:r>
    </w:p>
    <w:p w14:paraId="6D69C96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九</w:t>
      </w:r>
      <w:r>
        <w:rPr>
          <w:rFonts w:hint="eastAsia" w:asciiTheme="minorEastAsia" w:hAnsiTheme="minorEastAsia" w:eastAsiaTheme="minorEastAsia" w:cstheme="minorEastAsia"/>
          <w:color w:val="auto"/>
          <w:kern w:val="0"/>
          <w:sz w:val="24"/>
        </w:rPr>
        <w:t>）违约责任</w:t>
      </w:r>
    </w:p>
    <w:p w14:paraId="0D811AB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未按合同的规定和采购人的要求履行义务或履行不合要求的，采购人有权在合同履行过程中或在验收时扣减项目费用，具体扣减费用由采购人根据实际情况确定。</w:t>
      </w:r>
    </w:p>
    <w:p w14:paraId="405231C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2、因</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人员工作失误原因造成采购人损失的，由</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予以赔偿，具体扣减费用由采购人根据实际情况确定。</w:t>
      </w:r>
    </w:p>
    <w:p w14:paraId="1B27644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3、中标方所交付项目的品类、规格、型号、质量、功能、技术参数方面不能实质性满足招标文件要求或不符合合同约定的，采购人有权拒绝收货，中标方需向采购人支付合同总金额5%的违约金，同时中标方需在采购人要求的时限内重新供货或完成整改。</w:t>
      </w:r>
    </w:p>
    <w:p w14:paraId="79F44BE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4、验收不合格，中标方必须按照国家相关技术规范和招标文件要求、投标文件承诺限期进行整改，并承担一切费用。若因此导致逾期验收的，每逾期一日，中标方应向采购人支付合同总价款5‰的违约金。逾期超过30日的，中标方需向采购人另行支付合同总金额10%的违约金，且采购人有权单方解除合同，中标方需在收到采购人解除合同通知后3日内无条件退回采购人已经支付的全部款项。</w:t>
      </w:r>
    </w:p>
    <w:p w14:paraId="3FA3512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若中标方履行义务不符合约定，经采购人书面提出后10天内仍没有改正，或整改后仍达不到采购人要求的，采购人有权单方解除合同，并要求中标方承担违约责任。因中标方违约导致采购人提前解除合同的，中标方需退回采购人已经支付的全部款项，且应按本合同总金额10%的比例向采购人支付违约金，并赔偿采购人由此而引起的直接和间接损失。</w:t>
      </w:r>
    </w:p>
    <w:p w14:paraId="18FF73E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6、</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保证采购人在使用</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提供的业务系统软件、硬件、设备或本项目的成果、服务时，不会产生因第三方提出的包括但不限于侵犯其专利权、商标权、工业设计权等知识产权或侵犯其所有权、抵押权等物权或其他权利而引发的纠纷。若有纠纷，</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应承担全部责任（包括一切经济及法律责任），并赔偿给采购人造成的全部损失。</w:t>
      </w:r>
    </w:p>
    <w:p w14:paraId="6064291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7、本合同项下的全部项目成果以及采购人提供给</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的信息、资料等的所有权和知识产权全部归采购人所有。</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除为本合同履行系统交付以外，未经采购人书面同意不得擅自使用上述资料、信息及项目成果，否则</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应承担违约责任，并赔偿因此给采购人及第三方造成的全部损失。</w:t>
      </w:r>
    </w:p>
    <w:p w14:paraId="194AE78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8、中标方不得以任何理由将其在本合同项下的权利或义务全部或部分转让给任何第三方，不得将本项目转包或者分包，否则采购人有权单方解除本合同，中标方需退还采购人已付的全部款项，并向采购人支付本合同总金额30%的违约金。</w:t>
      </w:r>
    </w:p>
    <w:p w14:paraId="56795D8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 xml:space="preserve">9、 </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所交付的货物、工程或服务不符合其投标承诺的，或在投标阶段为中标而盲目虚假承诺、低价恶性竞争的，或在履行合同阶段通过偷工减料、以次充好获取利润的，并交有关机关依法依规处理，全部责任由</w:t>
      </w:r>
      <w:r>
        <w:rPr>
          <w:rFonts w:hint="eastAsia" w:asciiTheme="minorEastAsia" w:hAnsiTheme="minorEastAsia" w:eastAsiaTheme="minorEastAsia" w:cstheme="minorEastAsia"/>
          <w:color w:val="auto"/>
          <w:kern w:val="0"/>
          <w:sz w:val="24"/>
          <w:lang w:eastAsia="zh-CN"/>
        </w:rPr>
        <w:t>中标方</w:t>
      </w:r>
      <w:r>
        <w:rPr>
          <w:rFonts w:hint="eastAsia" w:asciiTheme="minorEastAsia" w:hAnsiTheme="minorEastAsia" w:eastAsiaTheme="minorEastAsia" w:cstheme="minorEastAsia"/>
          <w:color w:val="auto"/>
          <w:kern w:val="0"/>
          <w:sz w:val="24"/>
        </w:rPr>
        <w:t>自行承担。</w:t>
      </w:r>
    </w:p>
    <w:p w14:paraId="44D8A34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10、本项目成果（包括但不限于软件、系统等）因系统漏洞等原因被国家、省、市、区等各级行政相关部门通报的，中标方需配合采购人整改，并不得收取任何费用，直到达到政府相关部门要求为止；给采购人或第三方造成直接或间接经济损失的，由中标方负责赔偿并承担一切经济及法律责任。</w:t>
      </w:r>
    </w:p>
    <w:p w14:paraId="4D342B4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11、本项目在</w:t>
      </w:r>
      <w:r>
        <w:rPr>
          <w:rFonts w:hint="eastAsia" w:asciiTheme="minorEastAsia" w:hAnsiTheme="minorEastAsia" w:eastAsiaTheme="minorEastAsia" w:cstheme="minorEastAsia"/>
          <w:color w:val="auto"/>
          <w:kern w:val="0"/>
          <w:sz w:val="24"/>
          <w:lang w:val="en-US" w:eastAsia="zh-CN"/>
        </w:rPr>
        <w:t>项目实施期间</w:t>
      </w:r>
      <w:r>
        <w:rPr>
          <w:rFonts w:hint="eastAsia" w:asciiTheme="minorEastAsia" w:hAnsiTheme="minorEastAsia" w:eastAsiaTheme="minorEastAsia" w:cstheme="minorEastAsia"/>
          <w:color w:val="auto"/>
          <w:kern w:val="0"/>
          <w:sz w:val="24"/>
        </w:rPr>
        <w:t>，中标方提供的</w:t>
      </w:r>
      <w:r>
        <w:rPr>
          <w:rFonts w:hint="eastAsia" w:asciiTheme="minorEastAsia" w:hAnsiTheme="minorEastAsia" w:eastAsiaTheme="minorEastAsia" w:cstheme="minorEastAsia"/>
          <w:color w:val="auto"/>
          <w:kern w:val="0"/>
          <w:sz w:val="24"/>
          <w:lang w:val="en-US" w:eastAsia="zh-CN"/>
        </w:rPr>
        <w:t>服务</w:t>
      </w:r>
      <w:r>
        <w:rPr>
          <w:rFonts w:hint="eastAsia" w:asciiTheme="minorEastAsia" w:hAnsiTheme="minorEastAsia" w:eastAsiaTheme="minorEastAsia" w:cstheme="minorEastAsia"/>
          <w:color w:val="auto"/>
          <w:kern w:val="0"/>
          <w:sz w:val="24"/>
        </w:rPr>
        <w:t>及与该</w:t>
      </w:r>
      <w:r>
        <w:rPr>
          <w:rFonts w:hint="eastAsia" w:asciiTheme="minorEastAsia" w:hAnsiTheme="minorEastAsia" w:eastAsiaTheme="minorEastAsia" w:cstheme="minorEastAsia"/>
          <w:color w:val="auto"/>
          <w:kern w:val="0"/>
          <w:sz w:val="24"/>
          <w:lang w:val="en-US" w:eastAsia="zh-CN"/>
        </w:rPr>
        <w:t>服务</w:t>
      </w:r>
      <w:r>
        <w:rPr>
          <w:rFonts w:hint="eastAsia" w:asciiTheme="minorEastAsia" w:hAnsiTheme="minorEastAsia" w:eastAsiaTheme="minorEastAsia" w:cstheme="minorEastAsia"/>
          <w:color w:val="auto"/>
          <w:kern w:val="0"/>
          <w:sz w:val="24"/>
        </w:rPr>
        <w:t>有关的技术、总设备等存在瑕疵从而在使用过程中给采购人或任何第三方以及患者造成任何人身、财产、名誉损失、民事纠纷的，中标方需负责全部赔偿并承担一切经济及法律责任(包括但不限于中标方应承担生效的法院判决/仲裁裁决确定的应由中标方承担的责任)。</w:t>
      </w:r>
    </w:p>
    <w:p w14:paraId="2C22155E">
      <w:pPr>
        <w:spacing w:line="360" w:lineRule="auto"/>
        <w:ind w:left="420" w:firstLine="210" w:firstLineChars="100"/>
      </w:pP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515E573B">
      <w:pPr>
        <w:adjustRightInd w:val="0"/>
        <w:snapToGrid w:val="0"/>
        <w:spacing w:line="520" w:lineRule="atLeast"/>
        <w:rPr>
          <w:rFonts w:eastAsia="方正小标宋简体"/>
          <w:kern w:val="0"/>
          <w:sz w:val="44"/>
          <w:szCs w:val="36"/>
        </w:rPr>
      </w:pPr>
      <w:bookmarkStart w:id="0" w:name="_Toc22206"/>
      <w:bookmarkStart w:id="1" w:name="_Toc57128626"/>
      <w:bookmarkStart w:id="2" w:name="_Toc8307306"/>
      <w:bookmarkStart w:id="3" w:name="_Toc435115056"/>
      <w:bookmarkStart w:id="4" w:name="_Toc24338"/>
      <w:bookmarkStart w:id="5" w:name="_Toc435514851"/>
      <w:bookmarkStart w:id="6" w:name="_Toc9128_WPSOffice_Level1"/>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435514852"/>
      <w:bookmarkStart w:id="8" w:name="_Toc435515292"/>
      <w:bookmarkStart w:id="9" w:name="_Toc8080"/>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729CA406">
      <w:pP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7"/>
        </w:numPr>
        <w:rPr>
          <w:rFonts w:eastAsia="黑体"/>
          <w:snapToGrid w:val="0"/>
          <w:kern w:val="0"/>
          <w:sz w:val="28"/>
          <w:szCs w:val="28"/>
        </w:rPr>
      </w:pPr>
      <w:r>
        <w:rPr>
          <w:rFonts w:eastAsia="黑体"/>
          <w:snapToGrid w:val="0"/>
          <w:kern w:val="0"/>
          <w:sz w:val="28"/>
          <w:szCs w:val="28"/>
        </w:rPr>
        <w:t>开标一览表</w:t>
      </w:r>
    </w:p>
    <w:p w14:paraId="08FFFA69">
      <w:pPr>
        <w:pStyle w:val="42"/>
        <w:numPr>
          <w:ilvl w:val="0"/>
          <w:numId w:val="7"/>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2"/>
        <w:numPr>
          <w:ilvl w:val="0"/>
          <w:numId w:val="7"/>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7"/>
        </w:numPr>
        <w:rPr>
          <w:rFonts w:eastAsia="黑体"/>
          <w:snapToGrid w:val="0"/>
          <w:kern w:val="0"/>
          <w:sz w:val="28"/>
          <w:szCs w:val="28"/>
        </w:rPr>
      </w:pPr>
      <w:r>
        <w:rPr>
          <w:rFonts w:eastAsia="黑体"/>
          <w:snapToGrid w:val="0"/>
          <w:kern w:val="0"/>
          <w:sz w:val="28"/>
          <w:szCs w:val="28"/>
        </w:rPr>
        <w:t>营业执照等证明材料</w:t>
      </w:r>
    </w:p>
    <w:p w14:paraId="71580A82">
      <w:pPr>
        <w:pStyle w:val="42"/>
        <w:numPr>
          <w:ilvl w:val="0"/>
          <w:numId w:val="7"/>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7"/>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7"/>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7"/>
        </w:numPr>
        <w:adjustRightInd w:val="0"/>
        <w:spacing w:line="360" w:lineRule="auto"/>
        <w:rPr>
          <w:rFonts w:eastAsia="黑体"/>
          <w:bCs/>
          <w:sz w:val="28"/>
          <w:szCs w:val="28"/>
        </w:rPr>
      </w:pPr>
      <w:r>
        <w:rPr>
          <w:rFonts w:eastAsia="黑体"/>
          <w:bCs/>
          <w:sz w:val="28"/>
          <w:szCs w:val="28"/>
        </w:rPr>
        <w:t>实施方案</w:t>
      </w:r>
    </w:p>
    <w:p w14:paraId="5122C42D">
      <w:pPr>
        <w:numPr>
          <w:ilvl w:val="0"/>
          <w:numId w:val="7"/>
        </w:numPr>
        <w:adjustRightInd w:val="0"/>
        <w:spacing w:line="360" w:lineRule="auto"/>
        <w:rPr>
          <w:rFonts w:eastAsia="黑体"/>
          <w:bCs/>
          <w:sz w:val="28"/>
          <w:szCs w:val="28"/>
        </w:rPr>
      </w:pPr>
      <w:r>
        <w:rPr>
          <w:rFonts w:eastAsia="黑体"/>
          <w:bCs/>
          <w:sz w:val="28"/>
          <w:szCs w:val="28"/>
        </w:rPr>
        <w:t>售后服务承诺</w:t>
      </w:r>
    </w:p>
    <w:p w14:paraId="0C2F5BEA">
      <w:pPr>
        <w:pStyle w:val="42"/>
        <w:numPr>
          <w:ilvl w:val="0"/>
          <w:numId w:val="7"/>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2"/>
        <w:numPr>
          <w:ilvl w:val="0"/>
          <w:numId w:val="7"/>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2"/>
        <w:numPr>
          <w:ilvl w:val="0"/>
          <w:numId w:val="7"/>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7"/>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7"/>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7"/>
        </w:numPr>
        <w:rPr>
          <w:rFonts w:eastAsia="黑体"/>
          <w:snapToGrid w:val="0"/>
          <w:kern w:val="0"/>
          <w:sz w:val="28"/>
          <w:szCs w:val="28"/>
        </w:rPr>
      </w:pPr>
      <w:r>
        <w:rPr>
          <w:rFonts w:eastAsia="黑体"/>
          <w:snapToGrid w:val="0"/>
          <w:kern w:val="0"/>
          <w:sz w:val="28"/>
          <w:szCs w:val="28"/>
        </w:rPr>
        <w:t>诚信承诺函</w:t>
      </w:r>
    </w:p>
    <w:p w14:paraId="54E057F0">
      <w:pPr>
        <w:pStyle w:val="2"/>
        <w:numPr>
          <w:ilvl w:val="0"/>
          <w:numId w:val="7"/>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2"/>
        <w:numPr>
          <w:ilvl w:val="0"/>
          <w:numId w:val="7"/>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2"/>
        <w:numPr>
          <w:ilvl w:val="0"/>
          <w:numId w:val="7"/>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8"/>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8"/>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8"/>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4"/>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2"/>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2"/>
        <w:rPr>
          <w:b/>
          <w:bCs/>
        </w:rPr>
      </w:pPr>
      <w:r>
        <w:rPr>
          <w:b/>
          <w:bCs/>
        </w:rPr>
        <w:t>备注：</w:t>
      </w:r>
    </w:p>
    <w:p w14:paraId="19A2D45A">
      <w:pPr>
        <w:numPr>
          <w:ilvl w:val="1"/>
          <w:numId w:val="9"/>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9"/>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9"/>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9"/>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9"/>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9"/>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9"/>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2"/>
        <w:rPr>
          <w:b/>
          <w:bCs/>
        </w:rPr>
      </w:pPr>
    </w:p>
    <w:p w14:paraId="103D1342">
      <w:pPr>
        <w:rPr>
          <w:rFonts w:eastAsia="宋体"/>
          <w:b/>
          <w:bCs/>
        </w:rPr>
      </w:pPr>
    </w:p>
    <w:p w14:paraId="7B0A66FA">
      <w:pPr>
        <w:pStyle w:val="2"/>
        <w:rPr>
          <w:b/>
          <w:bCs/>
        </w:rPr>
      </w:pPr>
    </w:p>
    <w:p w14:paraId="12A8ECA5">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Cs w:val="21"/>
        </w:rPr>
      </w:pPr>
      <w:r>
        <w:rPr>
          <w:b/>
          <w:szCs w:val="21"/>
        </w:rPr>
        <w:t>（此处加盖投标人单位公章）</w:t>
      </w:r>
    </w:p>
    <w:p w14:paraId="7C7E98F2">
      <w:pPr>
        <w:pStyle w:val="2"/>
        <w:rPr>
          <w:b/>
          <w:szCs w:val="21"/>
        </w:rPr>
      </w:pPr>
    </w:p>
    <w:p w14:paraId="3065468B">
      <w:pPr>
        <w:rPr>
          <w:b/>
          <w:szCs w:val="21"/>
        </w:rPr>
      </w:pPr>
    </w:p>
    <w:p w14:paraId="7DDD55F5">
      <w:pPr>
        <w:pStyle w:val="2"/>
        <w:rPr>
          <w:b/>
          <w:szCs w:val="21"/>
        </w:rPr>
      </w:pPr>
    </w:p>
    <w:p w14:paraId="43C8219A">
      <w:pPr>
        <w:rPr>
          <w:b/>
          <w:szCs w:val="21"/>
        </w:rPr>
      </w:pPr>
    </w:p>
    <w:p w14:paraId="485F5289">
      <w:pPr>
        <w:pStyle w:val="2"/>
        <w:rPr>
          <w:b/>
          <w:szCs w:val="21"/>
        </w:rPr>
      </w:pPr>
    </w:p>
    <w:p w14:paraId="005FEDAB">
      <w:pPr>
        <w:rPr>
          <w:b/>
          <w:szCs w:val="21"/>
        </w:rPr>
      </w:pPr>
    </w:p>
    <w:p w14:paraId="678F6193">
      <w:pPr>
        <w:pStyle w:val="2"/>
        <w:rPr>
          <w:b/>
          <w:szCs w:val="21"/>
        </w:rPr>
      </w:pPr>
    </w:p>
    <w:p w14:paraId="344B1E9C">
      <w:pPr>
        <w:rPr>
          <w:b/>
          <w:szCs w:val="21"/>
        </w:rPr>
      </w:pPr>
    </w:p>
    <w:p w14:paraId="0F9D5808">
      <w:pPr>
        <w:pStyle w:val="2"/>
      </w:pPr>
    </w:p>
    <w:p w14:paraId="1DAF20EA">
      <w:pPr>
        <w:adjustRightInd w:val="0"/>
        <w:snapToGrid w:val="0"/>
        <w:outlineLvl w:val="1"/>
        <w:rPr>
          <w:rFonts w:hint="eastAsia"/>
          <w:b/>
          <w:szCs w:val="21"/>
          <w:lang w:val="en-US" w:eastAsia="zh-CN"/>
        </w:rPr>
      </w:pPr>
      <w:r>
        <w:rPr>
          <w:rFonts w:hint="eastAsia"/>
          <w:b/>
          <w:szCs w:val="21"/>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7"/>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7"/>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7"/>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7"/>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7"/>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7"/>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7"/>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7"/>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2"/>
        <w:numPr>
          <w:ilvl w:val="0"/>
          <w:numId w:val="9"/>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7"/>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7"/>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7"/>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7"/>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24650"/>
      <w:bookmarkStart w:id="17" w:name="_Toc435515295"/>
      <w:bookmarkStart w:id="18" w:name="_Toc435514855"/>
      <w:bookmarkStart w:id="19" w:name="_Toc275865606"/>
      <w:bookmarkStart w:id="20" w:name="_Toc57128632"/>
      <w:r>
        <w:rPr>
          <w:rFonts w:ascii="Times New Roman" w:hAnsi="Times New Roman" w:cs="Times New Roman"/>
          <w:sz w:val="30"/>
          <w:szCs w:val="30"/>
        </w:rPr>
        <w:t>（七</w:t>
      </w:r>
      <w:r>
        <w:rPr>
          <w:rFonts w:ascii="Times New Roman" w:hAnsi="Times New Roman" w:eastAsia="宋体" w:cs="Times New Roman"/>
          <w:sz w:val="30"/>
          <w:szCs w:val="30"/>
        </w:rPr>
        <w:t>）</w:t>
      </w:r>
      <w:r>
        <w:rPr>
          <w:rStyle w:val="32"/>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2"/>
        <w:numPr>
          <w:ilvl w:val="0"/>
          <w:numId w:val="10"/>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0"/>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1"/>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1"/>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1"/>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1"/>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1"/>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1"/>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1"/>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1"/>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1"/>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1"/>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1"/>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5845B36">
      <w:pPr>
        <w:widowControl/>
        <w:jc w:val="left"/>
        <w:rPr>
          <w:rFonts w:eastAsia="宋体"/>
          <w:szCs w:val="21"/>
        </w:rPr>
      </w:pPr>
      <w:r>
        <w:rPr>
          <w:rFonts w:eastAsiaTheme="majorEastAsia"/>
          <w:sz w:val="30"/>
          <w:szCs w:val="30"/>
        </w:rPr>
        <w:br w:type="page"/>
      </w: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2"/>
        <w:numPr>
          <w:ilvl w:val="3"/>
          <w:numId w:val="1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2"/>
        <w:numPr>
          <w:ilvl w:val="3"/>
          <w:numId w:val="1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2"/>
        <w:numPr>
          <w:ilvl w:val="3"/>
          <w:numId w:val="1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153234E9">
      <w:pPr>
        <w:pStyle w:val="21"/>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7"/>
              <w:numPr>
                <w:ilvl w:val="0"/>
                <w:numId w:val="13"/>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7"/>
              <w:numPr>
                <w:ilvl w:val="0"/>
                <w:numId w:val="13"/>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7"/>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A485F68">
      <w:pPr>
        <w:pStyle w:val="2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1"/>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3233678F">
      <w:pPr>
        <w:pStyle w:val="21"/>
        <w:numPr>
          <w:ilvl w:val="0"/>
          <w:numId w:val="0"/>
        </w:numPr>
        <w:jc w:val="center"/>
        <w:rPr>
          <w:rFonts w:hint="default" w:ascii="宋体" w:hAnsi="宋体" w:cs="宋体"/>
          <w:b/>
          <w:szCs w:val="21"/>
          <w:highlight w:val="none"/>
          <w:lang w:val="en-US" w:eastAsia="zh-CN"/>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64CEF5-0CFD-4203-B567-5D74508962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330661C8-DB9A-4AA7-8991-5945A76CDDBF}"/>
  </w:font>
  <w:font w:name="华文中宋">
    <w:panose1 w:val="02010600040101010101"/>
    <w:charset w:val="86"/>
    <w:family w:val="auto"/>
    <w:pitch w:val="default"/>
    <w:sig w:usb0="00000287" w:usb1="080F0000" w:usb2="00000000" w:usb3="00000000" w:csb0="0004009F" w:csb1="DFD70000"/>
    <w:embedRegular r:id="rId3" w:fontKey="{114A6968-5588-4C31-BE17-7B27DFA39B3C}"/>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46ED73C0-C3AF-4112-BFED-250C08E5AC53}"/>
  </w:font>
  <w:font w:name="楷体_GB2312">
    <w:panose1 w:val="02010609030101010101"/>
    <w:charset w:val="86"/>
    <w:family w:val="modern"/>
    <w:pitch w:val="default"/>
    <w:sig w:usb0="00000001" w:usb1="080E0000" w:usb2="00000000" w:usb3="00000000" w:csb0="00040000" w:csb1="00000000"/>
    <w:embedRegular r:id="rId5" w:fontKey="{25892281-D66A-4EF2-981C-06CA2C11DC10}"/>
  </w:font>
  <w:font w:name="仿宋">
    <w:panose1 w:val="02010609060101010101"/>
    <w:charset w:val="86"/>
    <w:family w:val="auto"/>
    <w:pitch w:val="default"/>
    <w:sig w:usb0="800002BF" w:usb1="38CF7CFA" w:usb2="00000016" w:usb3="00000000" w:csb0="00040001" w:csb1="00000000"/>
    <w:embedRegular r:id="rId6" w:fontKey="{CEA09D10-5376-4AAB-9098-ACDAD58B1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30"/>
      </w:rPr>
      <w:instrText xml:space="preserve"> PAGE </w:instrText>
    </w:r>
    <w:r>
      <w:fldChar w:fldCharType="separate"/>
    </w:r>
    <w:r>
      <w:rPr>
        <w:rStyle w:val="30"/>
      </w:rPr>
      <w:t>4</w:t>
    </w:r>
    <w:r>
      <w:fldChar w:fldCharType="end"/>
    </w:r>
    <w:r>
      <w:rPr>
        <w:rStyle w:val="30"/>
        <w:rFonts w:hint="eastAsia"/>
      </w:rPr>
      <w:t>页，共</w:t>
    </w:r>
    <w:r>
      <w:fldChar w:fldCharType="begin"/>
    </w:r>
    <w:r>
      <w:rPr>
        <w:rStyle w:val="30"/>
      </w:rPr>
      <w:instrText xml:space="preserve"> NUMPAGES </w:instrText>
    </w:r>
    <w:r>
      <w:fldChar w:fldCharType="separate"/>
    </w:r>
    <w:r>
      <w:rPr>
        <w:rStyle w:val="30"/>
      </w:rPr>
      <w:t>32</w:t>
    </w:r>
    <w:r>
      <w:fldChar w:fldCharType="end"/>
    </w:r>
    <w:r>
      <w:rPr>
        <w:rStyle w:val="30"/>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30"/>
      </w:rPr>
      <w:instrText xml:space="preserve"> PAGE </w:instrText>
    </w:r>
    <w:r>
      <w:fldChar w:fldCharType="separate"/>
    </w:r>
    <w:r>
      <w:rPr>
        <w:rStyle w:val="30"/>
      </w:rPr>
      <w:t>28</w:t>
    </w:r>
    <w:r>
      <w:fldChar w:fldCharType="end"/>
    </w:r>
    <w:r>
      <w:rPr>
        <w:rStyle w:val="30"/>
        <w:rFonts w:hint="eastAsia"/>
      </w:rPr>
      <w:t>页，共</w:t>
    </w:r>
    <w:r>
      <w:fldChar w:fldCharType="begin"/>
    </w:r>
    <w:r>
      <w:rPr>
        <w:rStyle w:val="30"/>
      </w:rPr>
      <w:instrText xml:space="preserve"> NUMPAGES </w:instrText>
    </w:r>
    <w:r>
      <w:fldChar w:fldCharType="separate"/>
    </w:r>
    <w:r>
      <w:rPr>
        <w:rStyle w:val="30"/>
      </w:rPr>
      <w:t>32</w:t>
    </w:r>
    <w:r>
      <w:fldChar w:fldCharType="end"/>
    </w:r>
    <w:r>
      <w:rPr>
        <w:rStyle w:val="30"/>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8E6E473"/>
    <w:multiLevelType w:val="singleLevel"/>
    <w:tmpl w:val="68E6E473"/>
    <w:lvl w:ilvl="0" w:tentative="0">
      <w:start w:val="1"/>
      <w:numFmt w:val="chineseCounting"/>
      <w:suff w:val="nothing"/>
      <w:lvlText w:val="%1、"/>
      <w:lvlJc w:val="left"/>
      <w:rPr>
        <w:rFonts w:hint="eastAsia"/>
      </w:rPr>
    </w:lvl>
  </w:abstractNum>
  <w:abstractNum w:abstractNumId="12">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3"/>
  </w:num>
  <w:num w:numId="2">
    <w:abstractNumId w:val="5"/>
  </w:num>
  <w:num w:numId="3">
    <w:abstractNumId w:val="2"/>
  </w:num>
  <w:num w:numId="4">
    <w:abstractNumId w:val="1"/>
  </w:num>
  <w:num w:numId="5">
    <w:abstractNumId w:val="11"/>
  </w:num>
  <w:num w:numId="6">
    <w:abstractNumId w:val="3"/>
  </w:num>
  <w:num w:numId="7">
    <w:abstractNumId w:val="6"/>
  </w:num>
  <w:num w:numId="8">
    <w:abstractNumId w:val="8"/>
  </w:num>
  <w:num w:numId="9">
    <w:abstractNumId w:val="7"/>
  </w:num>
  <w:num w:numId="10">
    <w:abstractNumId w:val="12"/>
  </w:num>
  <w:num w:numId="11">
    <w:abstractNumId w:val="9"/>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5F28B4"/>
    <w:rsid w:val="02D7761B"/>
    <w:rsid w:val="03192E2A"/>
    <w:rsid w:val="034D503F"/>
    <w:rsid w:val="036B37DD"/>
    <w:rsid w:val="039C3694"/>
    <w:rsid w:val="03AE2DEF"/>
    <w:rsid w:val="03BD1657"/>
    <w:rsid w:val="03E10C5F"/>
    <w:rsid w:val="03E526DB"/>
    <w:rsid w:val="04304C90"/>
    <w:rsid w:val="0438786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7F9414A"/>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E567D5"/>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7B5486"/>
    <w:rsid w:val="13A4281C"/>
    <w:rsid w:val="13AC7DF0"/>
    <w:rsid w:val="13DA4490"/>
    <w:rsid w:val="14037C87"/>
    <w:rsid w:val="141E08AE"/>
    <w:rsid w:val="142150CF"/>
    <w:rsid w:val="14851297"/>
    <w:rsid w:val="148937C0"/>
    <w:rsid w:val="14AF4635"/>
    <w:rsid w:val="14D13799"/>
    <w:rsid w:val="14DF2C5D"/>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9631B0"/>
    <w:rsid w:val="20D01727"/>
    <w:rsid w:val="2144482B"/>
    <w:rsid w:val="219244B5"/>
    <w:rsid w:val="2223023E"/>
    <w:rsid w:val="222C434F"/>
    <w:rsid w:val="223C0717"/>
    <w:rsid w:val="22B07719"/>
    <w:rsid w:val="22F9493A"/>
    <w:rsid w:val="230A5806"/>
    <w:rsid w:val="23197DA7"/>
    <w:rsid w:val="234B498E"/>
    <w:rsid w:val="23704E35"/>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7576F"/>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20267DC"/>
    <w:rsid w:val="4246491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8D61E2F"/>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BF24768"/>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821CF"/>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4A029C"/>
    <w:rsid w:val="5C584438"/>
    <w:rsid w:val="5CA208D6"/>
    <w:rsid w:val="5CCE4F13"/>
    <w:rsid w:val="5DE57087"/>
    <w:rsid w:val="5E4E0E30"/>
    <w:rsid w:val="5E72408D"/>
    <w:rsid w:val="5E88684D"/>
    <w:rsid w:val="5F5B292D"/>
    <w:rsid w:val="5F633A8F"/>
    <w:rsid w:val="5FA83FE4"/>
    <w:rsid w:val="5FC02406"/>
    <w:rsid w:val="5FD650D9"/>
    <w:rsid w:val="5FED01FF"/>
    <w:rsid w:val="60583D40"/>
    <w:rsid w:val="608C1C3B"/>
    <w:rsid w:val="60A418CC"/>
    <w:rsid w:val="60A50413"/>
    <w:rsid w:val="60B151FE"/>
    <w:rsid w:val="60E24008"/>
    <w:rsid w:val="60FE4811"/>
    <w:rsid w:val="613100ED"/>
    <w:rsid w:val="614D2D24"/>
    <w:rsid w:val="617A1A94"/>
    <w:rsid w:val="61C708F5"/>
    <w:rsid w:val="626471E8"/>
    <w:rsid w:val="626A5FE2"/>
    <w:rsid w:val="629425AC"/>
    <w:rsid w:val="62BC7E8A"/>
    <w:rsid w:val="62CC50D9"/>
    <w:rsid w:val="630E06E5"/>
    <w:rsid w:val="63195E00"/>
    <w:rsid w:val="634D7439"/>
    <w:rsid w:val="635F780C"/>
    <w:rsid w:val="63D47B81"/>
    <w:rsid w:val="63E241B8"/>
    <w:rsid w:val="641002D9"/>
    <w:rsid w:val="64680B6A"/>
    <w:rsid w:val="64922D17"/>
    <w:rsid w:val="649E1F3D"/>
    <w:rsid w:val="64D05AAE"/>
    <w:rsid w:val="64DA7FF3"/>
    <w:rsid w:val="651560CD"/>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43515"/>
    <w:rsid w:val="6F971D06"/>
    <w:rsid w:val="6FB8593D"/>
    <w:rsid w:val="6FE73A98"/>
    <w:rsid w:val="70636AF0"/>
    <w:rsid w:val="71625016"/>
    <w:rsid w:val="71686ACA"/>
    <w:rsid w:val="71970440"/>
    <w:rsid w:val="71A16BC9"/>
    <w:rsid w:val="71AC254F"/>
    <w:rsid w:val="71DF4525"/>
    <w:rsid w:val="72283CD1"/>
    <w:rsid w:val="722C0B88"/>
    <w:rsid w:val="72563E57"/>
    <w:rsid w:val="72590C3F"/>
    <w:rsid w:val="72877709"/>
    <w:rsid w:val="72B77A32"/>
    <w:rsid w:val="72D65595"/>
    <w:rsid w:val="72FD42D3"/>
    <w:rsid w:val="732D0CFA"/>
    <w:rsid w:val="7337437A"/>
    <w:rsid w:val="7346211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BFC2D8E"/>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7"/>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3"/>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5"/>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rPr>
      <w:rFonts w:eastAsia="宋体"/>
    </w:rPr>
  </w:style>
  <w:style w:type="paragraph" w:styleId="8">
    <w:name w:val="Normal Indent"/>
    <w:basedOn w:val="1"/>
    <w:next w:val="1"/>
    <w:link w:val="51"/>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0"/>
    <w:semiHidden/>
    <w:qFormat/>
    <w:uiPriority w:val="0"/>
    <w:pPr>
      <w:shd w:val="clear" w:color="auto" w:fill="000080"/>
    </w:pPr>
    <w:rPr>
      <w:rFonts w:eastAsia="宋体"/>
    </w:rPr>
  </w:style>
  <w:style w:type="paragraph" w:styleId="10">
    <w:name w:val="annotation text"/>
    <w:basedOn w:val="1"/>
    <w:link w:val="46"/>
    <w:qFormat/>
    <w:uiPriority w:val="0"/>
    <w:pPr>
      <w:jc w:val="left"/>
    </w:pPr>
    <w:rPr>
      <w:rFonts w:ascii="Calibri" w:hAnsi="Calibri"/>
      <w:szCs w:val="20"/>
    </w:rPr>
  </w:style>
  <w:style w:type="paragraph" w:styleId="11">
    <w:name w:val="Body Text 3"/>
    <w:basedOn w:val="1"/>
    <w:link w:val="81"/>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6"/>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40"/>
    <w:autoRedefine/>
    <w:qFormat/>
    <w:uiPriority w:val="99"/>
    <w:pPr>
      <w:tabs>
        <w:tab w:val="center" w:pos="4153"/>
        <w:tab w:val="right" w:pos="8306"/>
      </w:tabs>
      <w:snapToGrid w:val="0"/>
      <w:jc w:val="left"/>
    </w:pPr>
    <w:rPr>
      <w:sz w:val="18"/>
      <w:szCs w:val="18"/>
    </w:rPr>
  </w:style>
  <w:style w:type="paragraph" w:styleId="18">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70"/>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locked/>
    <w:uiPriority w:val="0"/>
    <w:rPr>
      <w:b/>
    </w:rPr>
  </w:style>
  <w:style w:type="character" w:styleId="30">
    <w:name w:val="page number"/>
    <w:basedOn w:val="28"/>
    <w:autoRedefine/>
    <w:qFormat/>
    <w:uiPriority w:val="0"/>
  </w:style>
  <w:style w:type="character" w:styleId="31">
    <w:name w:val="Emphasis"/>
    <w:autoRedefine/>
    <w:qFormat/>
    <w:locked/>
    <w:uiPriority w:val="0"/>
    <w:rPr>
      <w:i/>
      <w:iCs/>
    </w:rPr>
  </w:style>
  <w:style w:type="character" w:styleId="32">
    <w:name w:val="Hyperlink"/>
    <w:autoRedefine/>
    <w:qFormat/>
    <w:uiPriority w:val="99"/>
    <w:rPr>
      <w:color w:val="0000FF"/>
      <w:u w:val="single"/>
    </w:rPr>
  </w:style>
  <w:style w:type="character" w:styleId="33">
    <w:name w:val="annotation reference"/>
    <w:autoRedefine/>
    <w:qFormat/>
    <w:uiPriority w:val="99"/>
    <w:rPr>
      <w:sz w:val="21"/>
      <w:szCs w:val="21"/>
    </w:rPr>
  </w:style>
  <w:style w:type="paragraph" w:customStyle="1" w:styleId="34">
    <w:name w:val="表格文字"/>
    <w:basedOn w:val="1"/>
    <w:autoRedefine/>
    <w:qFormat/>
    <w:uiPriority w:val="0"/>
    <w:pPr>
      <w:adjustRightInd w:val="0"/>
      <w:spacing w:line="420" w:lineRule="atLeast"/>
      <w:jc w:val="left"/>
      <w:textAlignment w:val="baseline"/>
    </w:pPr>
    <w:rPr>
      <w:kern w:val="0"/>
      <w:szCs w:val="20"/>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纯文本 字符"/>
    <w:basedOn w:val="28"/>
    <w:link w:val="14"/>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8"/>
    <w:autoRedefine/>
    <w:qFormat/>
    <w:locked/>
    <w:uiPriority w:val="99"/>
    <w:rPr>
      <w:rFonts w:ascii="Times New Roman" w:hAnsi="Times New Roman" w:eastAsia="宋体" w:cs="Times New Roman"/>
      <w:sz w:val="18"/>
      <w:szCs w:val="18"/>
    </w:rPr>
  </w:style>
  <w:style w:type="character" w:customStyle="1" w:styleId="40">
    <w:name w:val="页脚 字符"/>
    <w:basedOn w:val="28"/>
    <w:link w:val="17"/>
    <w:autoRedefine/>
    <w:qFormat/>
    <w:locked/>
    <w:uiPriority w:val="99"/>
    <w:rPr>
      <w:rFonts w:ascii="Times New Roman" w:hAnsi="Times New Roman" w:eastAsia="宋体" w:cs="Times New Roman"/>
      <w:sz w:val="18"/>
      <w:szCs w:val="18"/>
    </w:rPr>
  </w:style>
  <w:style w:type="paragraph" w:customStyle="1" w:styleId="41">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8"/>
    <w:link w:val="10"/>
    <w:autoRedefine/>
    <w:semiHidden/>
    <w:qFormat/>
    <w:uiPriority w:val="99"/>
    <w:rPr>
      <w:rFonts w:ascii="Times New Roman" w:hAnsi="Times New Roman"/>
      <w:kern w:val="2"/>
      <w:sz w:val="21"/>
      <w:szCs w:val="24"/>
    </w:rPr>
  </w:style>
  <w:style w:type="character" w:customStyle="1" w:styleId="47">
    <w:name w:val="标题 1 字符"/>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8"/>
    <w:autoRedefine/>
    <w:qFormat/>
    <w:uiPriority w:val="0"/>
    <w:rPr>
      <w:rFonts w:ascii="Times New Roman" w:hAnsi="Times New Roman" w:eastAsia="宋体"/>
      <w:kern w:val="2"/>
      <w:sz w:val="24"/>
    </w:rPr>
  </w:style>
  <w:style w:type="character" w:customStyle="1" w:styleId="52">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5"/>
    <w:autoRedefine/>
    <w:qFormat/>
    <w:uiPriority w:val="0"/>
    <w:rPr>
      <w:rFonts w:ascii="Times New Roman" w:hAnsi="Times New Roman" w:eastAsia="宋体"/>
      <w:b/>
      <w:bCs/>
      <w:kern w:val="2"/>
      <w:sz w:val="32"/>
      <w:szCs w:val="32"/>
    </w:rPr>
  </w:style>
  <w:style w:type="character" w:customStyle="1" w:styleId="54">
    <w:name w:val="批注框文本 字符"/>
    <w:basedOn w:val="28"/>
    <w:link w:val="16"/>
    <w:autoRedefine/>
    <w:semiHidden/>
    <w:qFormat/>
    <w:uiPriority w:val="99"/>
    <w:rPr>
      <w:rFonts w:ascii="Times New Roman" w:hAnsi="Times New Roman"/>
      <w:kern w:val="2"/>
      <w:sz w:val="18"/>
      <w:szCs w:val="18"/>
    </w:rPr>
  </w:style>
  <w:style w:type="character" w:customStyle="1" w:styleId="55">
    <w:name w:val="标题 4 字符"/>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8"/>
    <w:link w:val="2"/>
    <w:autoRedefine/>
    <w:qFormat/>
    <w:uiPriority w:val="0"/>
    <w:rPr>
      <w:kern w:val="2"/>
      <w:sz w:val="21"/>
      <w:szCs w:val="24"/>
    </w:rPr>
  </w:style>
  <w:style w:type="paragraph" w:customStyle="1" w:styleId="65">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autoRedefine/>
    <w:semiHidden/>
    <w:qFormat/>
    <w:uiPriority w:val="99"/>
    <w:rPr>
      <w:rFonts w:ascii="Times New Roman" w:hAnsi="Times New Roman" w:eastAsiaTheme="minorEastAsia"/>
      <w:b/>
      <w:bCs/>
      <w:kern w:val="2"/>
      <w:sz w:val="21"/>
      <w:szCs w:val="24"/>
    </w:rPr>
  </w:style>
  <w:style w:type="table" w:customStyle="1" w:styleId="71">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1"/>
    <w:autoRedefine/>
    <w:qFormat/>
    <w:uiPriority w:val="0"/>
    <w:rPr>
      <w:kern w:val="2"/>
      <w:sz w:val="16"/>
      <w:szCs w:val="16"/>
    </w:rPr>
  </w:style>
  <w:style w:type="character" w:customStyle="1" w:styleId="82">
    <w:name w:val="标题 5 字符"/>
    <w:basedOn w:val="28"/>
    <w:link w:val="7"/>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6">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7">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8">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89">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90">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37</Pages>
  <Words>8136</Words>
  <Characters>8293</Characters>
  <Lines>87</Lines>
  <Paragraphs>24</Paragraphs>
  <TotalTime>8</TotalTime>
  <ScaleCrop>false</ScaleCrop>
  <LinksUpToDate>false</LinksUpToDate>
  <CharactersWithSpaces>8690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2026-06-18T04:02:00Z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3A01A409D221416B9C0A73651BA4932D_13</vt:lpwstr>
  </property>
  <property fmtid="{D5CDD505-2E9C-101B-9397-08002B2CF9AE}" pid="4" name="KSOTemplateDocerSaveRecord">
    <vt:lpwstr>eyJoZGlkIjoiYmZmNjk3NGJjYmI3ZGI4NGVkNDViNWY4OTE4OTQ3MzQiLCJ1c2VySWQiOiIzMTE0NTAxNDYifQ==</vt:lpwstr>
  </property>
</Properties>
</file>