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C210C">
      <w:pPr>
        <w:spacing w:line="640" w:lineRule="exact"/>
        <w:jc w:val="center"/>
        <w:rPr>
          <w:rFonts w:hint="eastAsia" w:ascii="华文行楷" w:hAnsi="华文行楷" w:eastAsia="华文行楷" w:cs="华文行楷"/>
          <w:b w:val="0"/>
          <w:bCs w:val="0"/>
          <w:sz w:val="44"/>
          <w:szCs w:val="44"/>
          <w:highlight w:val="none"/>
        </w:rPr>
      </w:pPr>
      <w:r>
        <w:rPr>
          <w:rFonts w:hint="eastAsia" w:ascii="华文行楷" w:hAnsi="华文行楷" w:eastAsia="华文行楷" w:cs="华文行楷"/>
          <w:b w:val="0"/>
          <w:bCs w:val="0"/>
          <w:sz w:val="44"/>
          <w:szCs w:val="44"/>
          <w:highlight w:val="none"/>
          <w:lang w:eastAsia="zh-CN"/>
        </w:rPr>
        <w:t>中山大学附属第八医院</w:t>
      </w:r>
      <w:r>
        <w:rPr>
          <w:rFonts w:hint="eastAsia" w:ascii="华文行楷" w:hAnsi="华文行楷" w:eastAsia="华文行楷" w:cs="华文行楷"/>
          <w:b w:val="0"/>
          <w:bCs w:val="0"/>
          <w:sz w:val="44"/>
          <w:szCs w:val="44"/>
          <w:highlight w:val="none"/>
          <w:lang w:val="en-US" w:eastAsia="zh-CN"/>
        </w:rPr>
        <w:t>服务</w:t>
      </w:r>
      <w:r>
        <w:rPr>
          <w:rFonts w:hint="eastAsia" w:ascii="华文行楷" w:hAnsi="华文行楷" w:eastAsia="华文行楷" w:cs="华文行楷"/>
          <w:b w:val="0"/>
          <w:bCs w:val="0"/>
          <w:sz w:val="44"/>
          <w:szCs w:val="44"/>
          <w:highlight w:val="none"/>
        </w:rPr>
        <w:t>类</w:t>
      </w:r>
    </w:p>
    <w:p w14:paraId="064B9F5C">
      <w:pPr>
        <w:spacing w:line="640" w:lineRule="exact"/>
        <w:jc w:val="center"/>
        <w:rPr>
          <w:rFonts w:hint="eastAsia" w:ascii="华文行楷" w:hAnsi="华文行楷" w:eastAsia="华文行楷" w:cs="华文行楷"/>
          <w:b w:val="0"/>
          <w:bCs w:val="0"/>
          <w:sz w:val="44"/>
          <w:szCs w:val="44"/>
          <w:highlight w:val="none"/>
        </w:rPr>
      </w:pPr>
      <w:r>
        <w:rPr>
          <w:rFonts w:hint="eastAsia" w:ascii="华文行楷" w:hAnsi="华文行楷" w:eastAsia="华文行楷" w:cs="华文行楷"/>
          <w:b w:val="0"/>
          <w:bCs w:val="0"/>
          <w:sz w:val="44"/>
          <w:szCs w:val="44"/>
          <w:highlight w:val="none"/>
        </w:rPr>
        <w:t>招标需求</w:t>
      </w:r>
    </w:p>
    <w:p w14:paraId="7F7D4769">
      <w:pPr>
        <w:spacing w:line="540" w:lineRule="exact"/>
        <w:ind w:firstLine="440" w:firstLineChars="100"/>
        <w:jc w:val="center"/>
        <w:rPr>
          <w:rFonts w:hint="eastAsia" w:ascii="华文行楷" w:hAnsi="华文行楷" w:eastAsia="华文行楷" w:cs="华文行楷"/>
          <w:b w:val="0"/>
          <w:bCs w:val="0"/>
          <w:sz w:val="44"/>
          <w:szCs w:val="44"/>
          <w:highlight w:val="none"/>
        </w:rPr>
      </w:pPr>
    </w:p>
    <w:p w14:paraId="77996D22">
      <w:pPr>
        <w:spacing w:line="540" w:lineRule="exact"/>
        <w:ind w:firstLine="320" w:firstLineChars="100"/>
        <w:jc w:val="center"/>
        <w:rPr>
          <w:rFonts w:hint="eastAsia" w:ascii="华文行楷" w:hAnsi="华文行楷" w:eastAsia="华文行楷" w:cs="华文行楷"/>
          <w:b w:val="0"/>
          <w:bCs w:val="0"/>
          <w:sz w:val="32"/>
          <w:szCs w:val="32"/>
          <w:highlight w:val="none"/>
        </w:rPr>
      </w:pPr>
      <w:r>
        <w:rPr>
          <w:rFonts w:hint="eastAsia" w:ascii="华文行楷" w:hAnsi="华文行楷" w:eastAsia="华文行楷" w:cs="华文行楷"/>
          <w:b w:val="0"/>
          <w:bCs w:val="0"/>
          <w:sz w:val="32"/>
          <w:szCs w:val="32"/>
          <w:highlight w:val="none"/>
        </w:rPr>
        <w:t>第一部分 项目基本要求</w:t>
      </w:r>
    </w:p>
    <w:p w14:paraId="24640080">
      <w:pPr>
        <w:widowControl/>
        <w:spacing w:before="100" w:beforeAutospacing="1" w:after="100" w:afterAutospacing="1" w:line="360" w:lineRule="auto"/>
        <w:ind w:firstLine="560" w:firstLineChars="200"/>
        <w:rPr>
          <w:rFonts w:hint="eastAsia" w:ascii="华文行楷" w:hAnsi="华文行楷" w:eastAsia="华文行楷" w:cs="华文行楷"/>
          <w:b w:val="0"/>
          <w:bCs w:val="0"/>
          <w:kern w:val="0"/>
          <w:sz w:val="28"/>
          <w:szCs w:val="28"/>
          <w:highlight w:val="none"/>
          <w:lang w:eastAsia="zh-CN"/>
        </w:rPr>
      </w:pPr>
      <w:r>
        <w:rPr>
          <w:rFonts w:hint="eastAsia" w:ascii="华文行楷" w:hAnsi="华文行楷" w:eastAsia="华文行楷" w:cs="华文行楷"/>
          <w:b w:val="0"/>
          <w:bCs w:val="0"/>
          <w:sz w:val="28"/>
          <w:szCs w:val="28"/>
          <w:highlight w:val="none"/>
          <w:shd w:val="clear" w:color="auto" w:fill="FFFFFF"/>
        </w:rPr>
        <w:t>一</w:t>
      </w:r>
      <w:r>
        <w:rPr>
          <w:rFonts w:hint="eastAsia" w:ascii="华文行楷" w:hAnsi="华文行楷" w:eastAsia="华文行楷" w:cs="华文行楷"/>
          <w:b w:val="0"/>
          <w:bCs w:val="0"/>
          <w:sz w:val="24"/>
          <w:szCs w:val="24"/>
          <w:highlight w:val="none"/>
          <w:shd w:val="clear" w:color="auto" w:fill="FFFFFF"/>
        </w:rPr>
        <w:t>、项目基本</w:t>
      </w:r>
      <w:r>
        <w:rPr>
          <w:rFonts w:hint="eastAsia" w:ascii="华文行楷" w:hAnsi="华文行楷" w:eastAsia="华文行楷" w:cs="华文行楷"/>
          <w:b w:val="0"/>
          <w:bCs w:val="0"/>
          <w:sz w:val="24"/>
          <w:szCs w:val="24"/>
          <w:highlight w:val="none"/>
          <w:shd w:val="clear" w:color="auto" w:fill="FFFFFF"/>
          <w:lang w:eastAsia="zh-CN"/>
        </w:rPr>
        <w:t>信息</w:t>
      </w:r>
    </w:p>
    <w:p w14:paraId="3859F2AA">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采购项目名称：</w:t>
      </w:r>
      <w:r>
        <w:rPr>
          <w:rFonts w:hint="eastAsia" w:ascii="宋体" w:hAnsi="宋体" w:eastAsia="宋体" w:cs="宋体"/>
          <w:bCs/>
          <w:sz w:val="24"/>
          <w:szCs w:val="24"/>
          <w:highlight w:val="none"/>
          <w:lang w:eastAsia="zh-CN"/>
        </w:rPr>
        <w:t>第三方陪护服务</w:t>
      </w:r>
      <w:r>
        <w:rPr>
          <w:rFonts w:hint="eastAsia" w:ascii="宋体" w:hAnsi="宋体" w:eastAsia="宋体" w:cs="宋体"/>
          <w:bCs/>
          <w:sz w:val="24"/>
          <w:szCs w:val="24"/>
          <w:highlight w:val="none"/>
          <w:lang w:val="en-US" w:eastAsia="zh-CN"/>
        </w:rPr>
        <w:t>供应商</w:t>
      </w:r>
      <w:r>
        <w:rPr>
          <w:rFonts w:hint="eastAsia" w:ascii="宋体" w:hAnsi="宋体" w:eastAsia="宋体" w:cs="宋体"/>
          <w:bCs/>
          <w:sz w:val="24"/>
          <w:szCs w:val="24"/>
          <w:highlight w:val="none"/>
          <w:lang w:eastAsia="zh-CN"/>
        </w:rPr>
        <w:t>采购</w:t>
      </w:r>
    </w:p>
    <w:p w14:paraId="1986E2E2">
      <w:pPr>
        <w:numPr>
          <w:ilvl w:val="0"/>
          <w:numId w:val="1"/>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bCs/>
          <w:sz w:val="24"/>
          <w:szCs w:val="24"/>
          <w:highlight w:val="none"/>
        </w:rPr>
        <w:t>采购需求：</w:t>
      </w:r>
    </w:p>
    <w:tbl>
      <w:tblPr>
        <w:tblStyle w:val="14"/>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1125"/>
        <w:gridCol w:w="3090"/>
        <w:gridCol w:w="2574"/>
      </w:tblGrid>
      <w:tr w14:paraId="61D1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2508" w:type="dxa"/>
            <w:shd w:val="clear" w:color="auto" w:fill="EEECE1"/>
            <w:vAlign w:val="center"/>
          </w:tcPr>
          <w:p w14:paraId="050EF05F">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采购内容</w:t>
            </w:r>
          </w:p>
        </w:tc>
        <w:tc>
          <w:tcPr>
            <w:tcW w:w="1125" w:type="dxa"/>
            <w:shd w:val="clear" w:color="auto" w:fill="EEECE1"/>
            <w:vAlign w:val="center"/>
          </w:tcPr>
          <w:p w14:paraId="723C4E78">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3090" w:type="dxa"/>
            <w:shd w:val="clear" w:color="auto" w:fill="EEECE1"/>
            <w:vAlign w:val="center"/>
          </w:tcPr>
          <w:p w14:paraId="306AAA6F">
            <w:pPr>
              <w:jc w:val="center"/>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rPr>
              <w:t>简要技术需求</w:t>
            </w:r>
          </w:p>
        </w:tc>
        <w:tc>
          <w:tcPr>
            <w:tcW w:w="2574" w:type="dxa"/>
            <w:shd w:val="clear" w:color="auto" w:fill="EEECE1"/>
            <w:vAlign w:val="center"/>
          </w:tcPr>
          <w:p w14:paraId="0C589A55">
            <w:pPr>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备注</w:t>
            </w:r>
          </w:p>
        </w:tc>
      </w:tr>
      <w:tr w14:paraId="4039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2508" w:type="dxa"/>
            <w:vAlign w:val="center"/>
          </w:tcPr>
          <w:p w14:paraId="393E4ECD">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第三方陪护服务</w:t>
            </w:r>
            <w:r>
              <w:rPr>
                <w:rFonts w:hint="eastAsia" w:ascii="宋体" w:hAnsi="宋体" w:eastAsia="宋体" w:cs="宋体"/>
                <w:bCs/>
                <w:sz w:val="24"/>
                <w:szCs w:val="24"/>
                <w:highlight w:val="none"/>
                <w:lang w:val="en-US" w:eastAsia="zh-CN"/>
              </w:rPr>
              <w:t>供应商</w:t>
            </w:r>
            <w:r>
              <w:rPr>
                <w:rFonts w:hint="eastAsia" w:ascii="宋体" w:hAnsi="宋体" w:eastAsia="宋体" w:cs="宋体"/>
                <w:sz w:val="24"/>
                <w:szCs w:val="24"/>
                <w:highlight w:val="none"/>
                <w:lang w:val="en-US" w:eastAsia="zh-CN"/>
              </w:rPr>
              <w:t>采购</w:t>
            </w:r>
          </w:p>
        </w:tc>
        <w:tc>
          <w:tcPr>
            <w:tcW w:w="1125" w:type="dxa"/>
            <w:vAlign w:val="center"/>
          </w:tcPr>
          <w:p w14:paraId="604F1EDB">
            <w:pPr>
              <w:jc w:val="center"/>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1家</w:t>
            </w:r>
          </w:p>
        </w:tc>
        <w:tc>
          <w:tcPr>
            <w:tcW w:w="3090" w:type="dxa"/>
            <w:vAlign w:val="center"/>
          </w:tcPr>
          <w:p w14:paraId="46A74F44">
            <w:pPr>
              <w:pStyle w:val="21"/>
              <w:spacing w:line="240" w:lineRule="auto"/>
              <w:ind w:hanging="67"/>
              <w:rPr>
                <w:rFonts w:hint="eastAsia" w:ascii="宋体" w:hAnsi="宋体" w:eastAsia="宋体" w:cs="宋体"/>
                <w:spacing w:val="0"/>
                <w:kern w:val="2"/>
                <w:sz w:val="24"/>
                <w:szCs w:val="24"/>
                <w:highlight w:val="none"/>
                <w:lang w:eastAsia="zh-CN"/>
              </w:rPr>
            </w:pPr>
            <w:r>
              <w:rPr>
                <w:rFonts w:hint="eastAsia" w:ascii="宋体" w:hAnsi="宋体" w:eastAsia="宋体" w:cs="宋体"/>
                <w:spacing w:val="0"/>
                <w:kern w:val="2"/>
                <w:sz w:val="24"/>
                <w:szCs w:val="24"/>
                <w:highlight w:val="none"/>
              </w:rPr>
              <w:t>详见采购项目内容</w:t>
            </w:r>
          </w:p>
        </w:tc>
        <w:tc>
          <w:tcPr>
            <w:tcW w:w="2574" w:type="dxa"/>
            <w:vAlign w:val="center"/>
          </w:tcPr>
          <w:p w14:paraId="3B77E78D">
            <w:pPr>
              <w:pStyle w:val="21"/>
              <w:spacing w:line="240" w:lineRule="auto"/>
              <w:ind w:firstLine="120"/>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val="en-US" w:eastAsia="zh-CN"/>
              </w:rPr>
              <w:t>服务</w:t>
            </w:r>
            <w:r>
              <w:rPr>
                <w:rFonts w:hint="eastAsia" w:ascii="宋体" w:hAnsi="宋体" w:eastAsia="宋体" w:cs="宋体"/>
                <w:snapToGrid/>
                <w:spacing w:val="0"/>
                <w:kern w:val="2"/>
                <w:sz w:val="24"/>
                <w:szCs w:val="24"/>
                <w:highlight w:val="none"/>
                <w:lang w:eastAsia="zh-CN"/>
              </w:rPr>
              <w:t>类</w:t>
            </w:r>
          </w:p>
        </w:tc>
      </w:tr>
    </w:tbl>
    <w:p w14:paraId="19AB750E">
      <w:pPr>
        <w:numPr>
          <w:ilvl w:val="0"/>
          <w:numId w:val="0"/>
        </w:numPr>
        <w:tabs>
          <w:tab w:val="left" w:pos="567"/>
        </w:tabs>
        <w:adjustRightInd w:val="0"/>
        <w:snapToGrid w:val="0"/>
        <w:spacing w:line="360" w:lineRule="auto"/>
        <w:ind w:left="400" w:leftChars="0"/>
        <w:rPr>
          <w:color w:val="000000"/>
          <w:kern w:val="0"/>
          <w:sz w:val="24"/>
          <w:szCs w:val="22"/>
          <w:highlight w:val="none"/>
        </w:rPr>
      </w:pPr>
    </w:p>
    <w:p w14:paraId="3ACB8338">
      <w:pPr>
        <w:numPr>
          <w:ilvl w:val="0"/>
          <w:numId w:val="1"/>
        </w:numPr>
        <w:tabs>
          <w:tab w:val="left" w:pos="567"/>
        </w:tabs>
        <w:adjustRightInd w:val="0"/>
        <w:snapToGrid w:val="0"/>
        <w:spacing w:line="360" w:lineRule="auto"/>
        <w:ind w:left="0" w:leftChars="0" w:firstLine="400" w:firstLineChars="0"/>
        <w:rPr>
          <w:color w:val="000000"/>
          <w:kern w:val="0"/>
          <w:sz w:val="24"/>
          <w:szCs w:val="22"/>
          <w:highlight w:val="none"/>
        </w:rPr>
      </w:pPr>
      <w:r>
        <w:rPr>
          <w:rFonts w:hint="eastAsia" w:ascii="宋体" w:hAnsi="宋体" w:eastAsia="宋体" w:cs="宋体"/>
          <w:sz w:val="24"/>
          <w:szCs w:val="24"/>
          <w:highlight w:val="none"/>
          <w:lang w:val="en-US" w:eastAsia="zh-CN"/>
        </w:rPr>
        <w:t>协议</w:t>
      </w:r>
      <w:r>
        <w:rPr>
          <w:rFonts w:hint="eastAsia" w:ascii="宋体" w:hAnsi="宋体" w:eastAsia="宋体" w:cs="宋体"/>
          <w:sz w:val="24"/>
          <w:szCs w:val="24"/>
          <w:highlight w:val="none"/>
        </w:rPr>
        <w:t>期限：</w:t>
      </w:r>
      <w:r>
        <w:rPr>
          <w:rFonts w:hint="eastAsia" w:eastAsia="宋体"/>
          <w:b w:val="0"/>
          <w:bCs w:val="0"/>
          <w:sz w:val="24"/>
          <w:highlight w:val="none"/>
          <w:lang w:val="en-US" w:eastAsia="zh-CN"/>
        </w:rPr>
        <w:t>本项目合同期限为一年，</w:t>
      </w:r>
      <w:r>
        <w:rPr>
          <w:rFonts w:hint="eastAsia" w:eastAsia="宋体" w:asciiTheme="minorHAnsi" w:hAnsiTheme="minorHAnsi" w:cstheme="minorBidi"/>
          <w:b w:val="0"/>
          <w:bCs w:val="0"/>
          <w:kern w:val="2"/>
          <w:sz w:val="24"/>
          <w:szCs w:val="24"/>
          <w:highlight w:val="none"/>
          <w:lang w:val="en-US" w:eastAsia="zh-CN" w:bidi="ar-SA"/>
        </w:rPr>
        <w:t>项目为服务类项目，第一年为本次招标的中标服务期限</w:t>
      </w:r>
      <w:r>
        <w:rPr>
          <w:rFonts w:hint="eastAsia" w:eastAsia="宋体" w:cstheme="minorBidi"/>
          <w:b w:val="0"/>
          <w:bCs w:val="0"/>
          <w:kern w:val="2"/>
          <w:sz w:val="24"/>
          <w:szCs w:val="24"/>
          <w:highlight w:val="none"/>
          <w:lang w:val="en-US" w:eastAsia="zh-CN" w:bidi="ar-SA"/>
        </w:rPr>
        <w:t>。</w:t>
      </w:r>
      <w:r>
        <w:rPr>
          <w:rFonts w:hint="eastAsia" w:eastAsia="宋体"/>
          <w:b w:val="0"/>
          <w:bCs w:val="0"/>
          <w:sz w:val="24"/>
          <w:highlight w:val="none"/>
          <w:lang w:val="en-US" w:eastAsia="zh-CN"/>
        </w:rPr>
        <w:t>期满后，采购人可根据中标人履约情况确定合同期限是否延长，但最长不超过三年，合同一年一签。</w:t>
      </w:r>
    </w:p>
    <w:p w14:paraId="4BCA3438">
      <w:pPr>
        <w:widowControl/>
        <w:numPr>
          <w:ilvl w:val="0"/>
          <w:numId w:val="2"/>
        </w:numPr>
        <w:spacing w:before="100" w:beforeAutospacing="1" w:after="100" w:afterAutospacing="1" w:line="360" w:lineRule="auto"/>
        <w:ind w:left="420" w:leftChars="200"/>
        <w:rPr>
          <w:rFonts w:hint="eastAsia" w:ascii="华文行楷" w:hAnsi="华文行楷" w:eastAsia="华文行楷" w:cs="华文行楷"/>
          <w:sz w:val="24"/>
          <w:szCs w:val="24"/>
          <w:highlight w:val="none"/>
        </w:rPr>
      </w:pPr>
      <w:r>
        <w:rPr>
          <w:rFonts w:hint="eastAsia" w:ascii="华文行楷" w:hAnsi="华文行楷" w:eastAsia="华文行楷" w:cs="华文行楷"/>
          <w:b w:val="0"/>
          <w:bCs w:val="0"/>
          <w:sz w:val="24"/>
          <w:szCs w:val="24"/>
          <w:highlight w:val="none"/>
          <w:shd w:val="clear" w:color="auto" w:fill="FFFFFF"/>
        </w:rPr>
        <w:t>投标人资格要求</w:t>
      </w:r>
    </w:p>
    <w:p w14:paraId="54B7FC5E">
      <w:pPr>
        <w:widowControl/>
        <w:numPr>
          <w:ilvl w:val="0"/>
          <w:numId w:val="3"/>
        </w:numPr>
        <w:adjustRightInd w:val="0"/>
        <w:snapToGrid w:val="0"/>
        <w:spacing w:line="360" w:lineRule="auto"/>
        <w:ind w:left="0" w:leftChars="0"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符合《中华人民共和国政府采购法》第二十二条规定条件。</w:t>
      </w:r>
    </w:p>
    <w:p w14:paraId="7E3386B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）具有</w:t>
      </w:r>
      <w:r>
        <w:rPr>
          <w:rFonts w:hint="eastAsia" w:ascii="宋体" w:hAnsi="宋体" w:eastAsia="宋体" w:cs="宋体"/>
          <w:color w:val="000000"/>
          <w:kern w:val="0"/>
          <w:sz w:val="24"/>
          <w:szCs w:val="24"/>
          <w:highlight w:val="none"/>
        </w:rPr>
        <w:t>中华人民共和国境内注册的合法经营资格的国内独立法人</w:t>
      </w:r>
      <w:r>
        <w:rPr>
          <w:rFonts w:hint="eastAsia" w:ascii="宋体" w:hAnsi="宋体" w:eastAsia="宋体" w:cs="宋体"/>
          <w:color w:val="000000"/>
          <w:kern w:val="0"/>
          <w:sz w:val="24"/>
          <w:szCs w:val="24"/>
          <w:highlight w:val="none"/>
          <w:lang w:eastAsia="zh-CN"/>
        </w:rPr>
        <w:t>，</w:t>
      </w:r>
      <w:r>
        <w:rPr>
          <w:rFonts w:hint="eastAsia" w:ascii="宋体" w:hAnsi="宋体" w:eastAsia="宋体" w:cs="宋体"/>
          <w:sz w:val="24"/>
          <w:szCs w:val="24"/>
        </w:rPr>
        <w:t>独立承担民事责任的能力</w:t>
      </w:r>
      <w:r>
        <w:rPr>
          <w:rFonts w:hint="eastAsia" w:ascii="宋体" w:hAnsi="宋体" w:eastAsia="宋体" w:cs="宋体"/>
          <w:color w:val="000000"/>
          <w:kern w:val="0"/>
          <w:sz w:val="24"/>
          <w:szCs w:val="24"/>
          <w:highlight w:val="none"/>
        </w:rPr>
        <w:t>（提供合法有效的营业执照原件扫描件）</w:t>
      </w:r>
      <w:r>
        <w:rPr>
          <w:rFonts w:hint="eastAsia" w:ascii="宋体" w:hAnsi="宋体" w:eastAsia="宋体" w:cs="宋体"/>
          <w:sz w:val="24"/>
          <w:szCs w:val="24"/>
        </w:rPr>
        <w:t>；</w:t>
      </w:r>
    </w:p>
    <w:p w14:paraId="0FFF7A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）具有良好的商业信誉和健全的财务会计制度（</w:t>
      </w:r>
      <w:r>
        <w:rPr>
          <w:rFonts w:hint="eastAsia" w:ascii="宋体" w:hAnsi="宋体" w:eastAsia="宋体" w:cs="宋体"/>
          <w:bCs/>
          <w:sz w:val="24"/>
          <w:szCs w:val="24"/>
        </w:rPr>
        <w:t>提供</w:t>
      </w:r>
      <w:r>
        <w:rPr>
          <w:rFonts w:hint="eastAsia" w:ascii="宋体" w:hAnsi="宋体" w:eastAsia="宋体" w:cs="宋体"/>
          <w:color w:val="000000" w:themeColor="text1"/>
          <w:sz w:val="24"/>
          <w:szCs w:val="24"/>
          <w:highlight w:val="none"/>
          <w:lang w:val="zh-CN"/>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zh-CN"/>
          <w14:textFill>
            <w14:solidFill>
              <w14:schemeClr w14:val="tx1"/>
            </w14:solidFill>
          </w14:textFill>
        </w:rPr>
        <w:t>年度或202</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zh-CN"/>
          <w14:textFill>
            <w14:solidFill>
              <w14:schemeClr w14:val="tx1"/>
            </w14:solidFill>
          </w14:textFill>
        </w:rPr>
        <w:t>年度</w:t>
      </w:r>
      <w:r>
        <w:rPr>
          <w:rFonts w:hint="eastAsia" w:ascii="宋体" w:hAnsi="宋体" w:eastAsia="宋体" w:cs="宋体"/>
          <w:bCs/>
          <w:sz w:val="24"/>
          <w:szCs w:val="24"/>
        </w:rPr>
        <w:t>经审计的财务报告或公告发布之后的基本户开户银行开具的资信证明</w:t>
      </w:r>
      <w:r>
        <w:rPr>
          <w:rFonts w:hint="eastAsia" w:ascii="宋体" w:hAnsi="宋体" w:eastAsia="宋体" w:cs="宋体"/>
          <w:sz w:val="24"/>
          <w:szCs w:val="24"/>
        </w:rPr>
        <w:t>）；</w:t>
      </w:r>
    </w:p>
    <w:p w14:paraId="6B3E98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）具有履行合同所必需的设备和专业技术能力（</w:t>
      </w:r>
      <w:r>
        <w:rPr>
          <w:rFonts w:hint="eastAsia" w:ascii="宋体" w:hAnsi="宋体" w:eastAsia="宋体" w:cs="宋体"/>
          <w:bCs/>
          <w:sz w:val="24"/>
          <w:szCs w:val="24"/>
        </w:rPr>
        <w:t>提供承诺书，格式自拟加盖公章</w:t>
      </w:r>
      <w:r>
        <w:rPr>
          <w:rFonts w:hint="eastAsia" w:ascii="宋体" w:hAnsi="宋体" w:eastAsia="宋体" w:cs="宋体"/>
          <w:sz w:val="24"/>
          <w:szCs w:val="24"/>
        </w:rPr>
        <w:t>）；</w:t>
      </w:r>
    </w:p>
    <w:p w14:paraId="0270AAD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有依法缴纳税收和社会保障资金的良好记录（提供2025年1月1日以来任意一个月依法缴纳税收和社会保障资金的证明材料，依法免税的投标人应提供相应文件证明其依法免税；不需要缴纳社会保障资金的投标人，应提供相应文件证明其不需要缴纳社会保障资金）；</w:t>
      </w:r>
    </w:p>
    <w:p w14:paraId="7700C2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）参加政府采购活动前三年内，在经营活动中没有重大违法记录或不存在被有关部门禁止参与政府采购活动且在有效期内的情况。未被</w:t>
      </w:r>
      <w:r>
        <w:rPr>
          <w:rFonts w:hint="eastAsia" w:ascii="宋体" w:hAnsi="宋体" w:eastAsia="宋体" w:cs="宋体"/>
          <w:color w:val="000000"/>
          <w:kern w:val="0"/>
          <w:sz w:val="24"/>
          <w:szCs w:val="24"/>
          <w:highlight w:val="none"/>
        </w:rPr>
        <w:t>列入违法失信行为记录名单。（投标人出具声明函）</w:t>
      </w:r>
      <w:r>
        <w:rPr>
          <w:rFonts w:hint="eastAsia" w:ascii="宋体" w:hAnsi="宋体" w:eastAsia="宋体" w:cs="宋体"/>
          <w:sz w:val="24"/>
          <w:szCs w:val="24"/>
        </w:rPr>
        <w:t>；</w:t>
      </w:r>
    </w:p>
    <w:p w14:paraId="0D8DD18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）法律、行政法规规定的其他条件。</w:t>
      </w:r>
    </w:p>
    <w:p w14:paraId="69952798">
      <w:pPr>
        <w:widowControl/>
        <w:numPr>
          <w:ilvl w:val="0"/>
          <w:numId w:val="3"/>
        </w:numPr>
        <w:adjustRightInd w:val="0"/>
        <w:snapToGrid w:val="0"/>
        <w:spacing w:line="360" w:lineRule="auto"/>
        <w:ind w:left="0" w:leftChars="0"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投标人须提供与项目相关的特殊资质：</w:t>
      </w:r>
      <w:r>
        <w:rPr>
          <w:rFonts w:hint="eastAsia" w:ascii="宋体" w:hAnsi="宋体" w:eastAsia="宋体" w:cs="宋体"/>
          <w:color w:val="000000"/>
          <w:kern w:val="0"/>
          <w:sz w:val="24"/>
          <w:szCs w:val="24"/>
          <w:highlight w:val="none"/>
          <w:lang w:val="en-US" w:eastAsia="zh-CN"/>
        </w:rPr>
        <w:t>无</w:t>
      </w:r>
    </w:p>
    <w:p w14:paraId="31AAF800">
      <w:pPr>
        <w:widowControl/>
        <w:numPr>
          <w:ilvl w:val="0"/>
          <w:numId w:val="3"/>
        </w:numPr>
        <w:adjustRightInd w:val="0"/>
        <w:snapToGrid w:val="0"/>
        <w:spacing w:line="360" w:lineRule="auto"/>
        <w:ind w:left="0" w:leftChars="0"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投标人须提供法人授权委托证明书原件，法定代表人身份证复印件，被授权人身份证复印件（加盖公章）。</w:t>
      </w:r>
    </w:p>
    <w:p w14:paraId="0F6F12AB">
      <w:pPr>
        <w:widowControl/>
        <w:numPr>
          <w:ilvl w:val="0"/>
          <w:numId w:val="3"/>
        </w:numPr>
        <w:adjustRightInd w:val="0"/>
        <w:snapToGrid w:val="0"/>
        <w:spacing w:line="360" w:lineRule="auto"/>
        <w:ind w:left="0" w:leftChars="0"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投标人未被列入失信被执行人、重大税收违法案件当事人名单、政府采购严重违法失信行为记录名单。（“信用中国”、“中国政府采购网”以及“</w:t>
      </w:r>
      <w:r>
        <w:rPr>
          <w:rFonts w:hint="eastAsia" w:ascii="宋体" w:hAnsi="宋体" w:eastAsia="宋体" w:cs="宋体"/>
          <w:color w:val="000000"/>
          <w:kern w:val="0"/>
          <w:sz w:val="24"/>
          <w:szCs w:val="24"/>
          <w:highlight w:val="none"/>
          <w:lang w:eastAsia="zh-CN"/>
        </w:rPr>
        <w:t>深圳</w:t>
      </w:r>
      <w:r>
        <w:rPr>
          <w:rFonts w:hint="eastAsia" w:ascii="宋体" w:hAnsi="宋体" w:eastAsia="宋体" w:cs="宋体"/>
          <w:color w:val="000000"/>
          <w:kern w:val="0"/>
          <w:sz w:val="24"/>
          <w:szCs w:val="24"/>
          <w:highlight w:val="none"/>
        </w:rPr>
        <w:t>市政府采购监管网”为投标人信用信息的查询渠道，并提供截图，相关信息以中标通知书发出前的查询结果为准）</w:t>
      </w:r>
      <w:r>
        <w:rPr>
          <w:rFonts w:hint="eastAsia" w:ascii="宋体" w:hAnsi="宋体" w:eastAsia="宋体" w:cs="宋体"/>
          <w:kern w:val="0"/>
          <w:sz w:val="24"/>
          <w:szCs w:val="24"/>
          <w:highlight w:val="none"/>
        </w:rPr>
        <w:t>（投标人出具声明函）</w:t>
      </w:r>
      <w:r>
        <w:rPr>
          <w:rFonts w:hint="eastAsia" w:ascii="宋体" w:hAnsi="宋体" w:eastAsia="宋体" w:cs="宋体"/>
          <w:color w:val="000000"/>
          <w:kern w:val="0"/>
          <w:sz w:val="24"/>
          <w:szCs w:val="24"/>
          <w:highlight w:val="none"/>
        </w:rPr>
        <w:t>。</w:t>
      </w:r>
    </w:p>
    <w:p w14:paraId="63934635">
      <w:pPr>
        <w:widowControl/>
        <w:numPr>
          <w:ilvl w:val="0"/>
          <w:numId w:val="3"/>
        </w:numPr>
        <w:adjustRightInd w:val="0"/>
        <w:snapToGrid w:val="0"/>
        <w:spacing w:line="360" w:lineRule="auto"/>
        <w:ind w:left="0" w:leftChars="0"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单位负责人为同一人或者存在直接控股、管理关系的不同供应商，不得参加同一包号投标或者未划分包号的同一招标项目投标（投标人出具声明函）。</w:t>
      </w:r>
    </w:p>
    <w:p w14:paraId="1080E008">
      <w:pPr>
        <w:widowControl/>
        <w:numPr>
          <w:ilvl w:val="0"/>
          <w:numId w:val="3"/>
        </w:numPr>
        <w:adjustRightInd w:val="0"/>
        <w:snapToGrid w:val="0"/>
        <w:spacing w:line="360" w:lineRule="auto"/>
        <w:ind w:left="0" w:leftChars="0"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本项目不接受联合体投标，不允许转包、分包。</w:t>
      </w:r>
    </w:p>
    <w:p w14:paraId="6EB8A4FF">
      <w:pPr>
        <w:spacing w:line="360" w:lineRule="auto"/>
        <w:ind w:left="420" w:leftChars="200"/>
        <w:rPr>
          <w:rFonts w:hint="eastAsia" w:ascii="宋体" w:hAnsi="宋体" w:eastAsia="宋体" w:cs="宋体"/>
          <w:sz w:val="24"/>
          <w:szCs w:val="24"/>
          <w:highlight w:val="none"/>
        </w:rPr>
      </w:pPr>
    </w:p>
    <w:p w14:paraId="4374C31E">
      <w:pPr>
        <w:pStyle w:val="7"/>
        <w:rPr>
          <w:highlight w:val="none"/>
        </w:rPr>
      </w:pPr>
    </w:p>
    <w:p w14:paraId="36838DFC">
      <w:pPr>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rPr>
        <w:br w:type="page"/>
      </w:r>
    </w:p>
    <w:p w14:paraId="6D429F4D">
      <w:pPr>
        <w:numPr>
          <w:ilvl w:val="0"/>
          <w:numId w:val="4"/>
        </w:numPr>
        <w:spacing w:line="540" w:lineRule="exact"/>
        <w:jc w:val="center"/>
        <w:rPr>
          <w:rFonts w:hint="eastAsia" w:ascii="华文行楷" w:hAnsi="华文行楷" w:eastAsia="华文行楷" w:cs="华文行楷"/>
          <w:sz w:val="32"/>
          <w:szCs w:val="32"/>
          <w:highlight w:val="none"/>
          <w:lang w:eastAsia="zh-CN"/>
        </w:rPr>
      </w:pPr>
      <w:r>
        <w:rPr>
          <w:rFonts w:hint="eastAsia" w:ascii="华文行楷" w:hAnsi="华文行楷" w:eastAsia="华文行楷" w:cs="华文行楷"/>
          <w:sz w:val="32"/>
          <w:szCs w:val="32"/>
          <w:highlight w:val="none"/>
        </w:rPr>
        <w:t>采购项目</w:t>
      </w:r>
      <w:r>
        <w:rPr>
          <w:rFonts w:hint="eastAsia" w:ascii="华文行楷" w:hAnsi="华文行楷" w:eastAsia="华文行楷" w:cs="华文行楷"/>
          <w:sz w:val="32"/>
          <w:szCs w:val="32"/>
          <w:highlight w:val="none"/>
          <w:lang w:eastAsia="zh-CN"/>
        </w:rPr>
        <w:t>需求（用户需求书）</w:t>
      </w:r>
    </w:p>
    <w:p w14:paraId="0098B578">
      <w:pPr>
        <w:pStyle w:val="7"/>
        <w:numPr>
          <w:ilvl w:val="0"/>
          <w:numId w:val="0"/>
        </w:numPr>
        <w:rPr>
          <w:rFonts w:hint="eastAsia"/>
          <w:highlight w:val="none"/>
          <w:lang w:eastAsia="zh-CN"/>
        </w:rPr>
      </w:pPr>
    </w:p>
    <w:p w14:paraId="06F9EA9F">
      <w:pPr>
        <w:numPr>
          <w:ilvl w:val="0"/>
          <w:numId w:val="0"/>
        </w:numPr>
        <w:tabs>
          <w:tab w:val="left" w:pos="567"/>
        </w:tabs>
        <w:adjustRightInd w:val="0"/>
        <w:snapToGrid w:val="0"/>
        <w:spacing w:line="360" w:lineRule="auto"/>
        <w:ind w:left="400" w:left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说明：</w:t>
      </w:r>
    </w:p>
    <w:p w14:paraId="5EC6B3C5">
      <w:pPr>
        <w:numPr>
          <w:ilvl w:val="0"/>
          <w:numId w:val="5"/>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投标人须对本项目的采购标的或服务内容进行整体响应，任何只对采购标的或服务</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内容其中一部分内容进行的响应都被视为无效投标。</w:t>
      </w:r>
    </w:p>
    <w:p w14:paraId="0F53579C">
      <w:pPr>
        <w:numPr>
          <w:ilvl w:val="0"/>
          <w:numId w:val="5"/>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用户需求书中打“★”号条款为实质性条款，有任何一条负偏离则导致无效投标</w:t>
      </w:r>
      <w:r>
        <w:rPr>
          <w:rFonts w:hint="eastAsia" w:ascii="宋体" w:hAnsi="宋体" w:eastAsia="宋体" w:cs="宋体"/>
          <w:sz w:val="24"/>
          <w:szCs w:val="24"/>
          <w:highlight w:val="none"/>
          <w:lang w:eastAsia="zh-CN"/>
        </w:rPr>
        <w:t>。</w:t>
      </w:r>
    </w:p>
    <w:p w14:paraId="0169AB9B">
      <w:pPr>
        <w:numPr>
          <w:ilvl w:val="0"/>
          <w:numId w:val="5"/>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用户需求书中打“▲”号条款为重要技术参数，但不作为无效投标条款。</w:t>
      </w:r>
    </w:p>
    <w:p w14:paraId="6EBDC99E">
      <w:pPr>
        <w:numPr>
          <w:ilvl w:val="0"/>
          <w:numId w:val="5"/>
        </w:numPr>
        <w:tabs>
          <w:tab w:val="left" w:pos="567"/>
        </w:tabs>
        <w:adjustRightInd w:val="0"/>
        <w:snapToGrid w:val="0"/>
        <w:spacing w:line="360" w:lineRule="auto"/>
        <w:ind w:left="0" w:leftChars="0" w:firstLine="40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用户需求书中打“●”号的为采购的核心产品，投标人应在《投标分项报价表》中清晰列明“产品名称、品牌、型号”。</w:t>
      </w:r>
    </w:p>
    <w:p w14:paraId="6B093D42">
      <w:pPr>
        <w:rPr>
          <w:rFonts w:hint="eastAsia"/>
          <w:highlight w:val="none"/>
        </w:rPr>
      </w:pPr>
    </w:p>
    <w:p w14:paraId="4EE9FD92">
      <w:pPr>
        <w:numPr>
          <w:ilvl w:val="0"/>
          <w:numId w:val="6"/>
        </w:numPr>
        <w:spacing w:line="540" w:lineRule="exact"/>
        <w:ind w:left="0" w:leftChars="0" w:firstLine="420" w:firstLineChars="0"/>
        <w:rPr>
          <w:rFonts w:hint="eastAsia" w:ascii="华文行楷" w:hAnsi="华文行楷" w:eastAsia="华文行楷" w:cs="华文行楷"/>
          <w:b w:val="0"/>
          <w:bCs w:val="0"/>
          <w:sz w:val="24"/>
          <w:szCs w:val="24"/>
          <w:highlight w:val="none"/>
        </w:rPr>
      </w:pPr>
      <w:r>
        <w:rPr>
          <w:rFonts w:hint="eastAsia" w:ascii="华文行楷" w:hAnsi="华文行楷" w:eastAsia="华文行楷" w:cs="华文行楷"/>
          <w:b w:val="0"/>
          <w:bCs w:val="0"/>
          <w:sz w:val="24"/>
          <w:szCs w:val="24"/>
          <w:highlight w:val="none"/>
        </w:rPr>
        <w:t>项目背景</w:t>
      </w:r>
    </w:p>
    <w:p w14:paraId="580820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小标宋简体" w:hAnsi="方正小标宋简体" w:eastAsia="方正小标宋简体" w:cs="方正小标宋简体"/>
          <w:sz w:val="24"/>
          <w:szCs w:val="24"/>
          <w:highlight w:val="none"/>
        </w:rPr>
      </w:pPr>
      <w:r>
        <w:rPr>
          <w:rFonts w:hint="eastAsia" w:ascii="宋体" w:hAnsi="宋体" w:eastAsia="宋体" w:cs="宋体"/>
          <w:sz w:val="24"/>
          <w:szCs w:val="24"/>
          <w:highlight w:val="none"/>
          <w:lang w:val="en-US" w:eastAsia="zh-CN"/>
        </w:rPr>
        <w:t>根据</w:t>
      </w:r>
      <w:r>
        <w:rPr>
          <w:rFonts w:ascii="宋体" w:hAnsi="宋体" w:eastAsia="宋体" w:cs="宋体"/>
          <w:sz w:val="24"/>
          <w:szCs w:val="24"/>
        </w:rPr>
        <w:t>《</w:t>
      </w:r>
      <w:r>
        <w:rPr>
          <w:rFonts w:hint="eastAsia" w:ascii="宋体" w:hAnsi="宋体" w:eastAsia="宋体" w:cs="宋体"/>
          <w:sz w:val="24"/>
          <w:szCs w:val="24"/>
          <w:lang w:eastAsia="zh-CN"/>
        </w:rPr>
        <w:t>深圳</w:t>
      </w:r>
      <w:r>
        <w:rPr>
          <w:rFonts w:ascii="宋体" w:hAnsi="宋体" w:eastAsia="宋体" w:cs="宋体"/>
          <w:sz w:val="24"/>
          <w:szCs w:val="24"/>
        </w:rPr>
        <w:t>市卫生健康委员会等六部门关于印发〈</w:t>
      </w:r>
      <w:r>
        <w:rPr>
          <w:rFonts w:hint="eastAsia" w:ascii="宋体" w:hAnsi="宋体" w:eastAsia="宋体" w:cs="宋体"/>
          <w:sz w:val="24"/>
          <w:szCs w:val="24"/>
          <w:lang w:eastAsia="zh-CN"/>
        </w:rPr>
        <w:t>深圳</w:t>
      </w:r>
      <w:r>
        <w:rPr>
          <w:rFonts w:ascii="宋体" w:hAnsi="宋体" w:eastAsia="宋体" w:cs="宋体"/>
          <w:sz w:val="24"/>
          <w:szCs w:val="24"/>
        </w:rPr>
        <w:t>市医疗机构提供免陪照护服务试点工作方案〉的通知》</w:t>
      </w:r>
      <w:r>
        <w:rPr>
          <w:rFonts w:hint="eastAsia" w:ascii="宋体" w:hAnsi="宋体" w:eastAsia="宋体" w:cs="宋体"/>
          <w:sz w:val="24"/>
          <w:szCs w:val="24"/>
          <w:lang w:eastAsia="zh-CN"/>
        </w:rPr>
        <w:t>、深圳市医疗保障局转发广东省医疗保障局关于公布“免陪照护服务”价格项目的通知【深医保发〔2025〕4号】</w:t>
      </w:r>
      <w:r>
        <w:rPr>
          <w:rFonts w:ascii="宋体" w:hAnsi="宋体" w:eastAsia="宋体" w:cs="宋体"/>
          <w:sz w:val="24"/>
          <w:szCs w:val="24"/>
        </w:rPr>
        <w:t>及国家、省关于加强医疗护理员规范管理的相关要求，进一步规范院内陪护服务行为，保障医疗质量与患者安全，采购人需遴选具备资质、管理规范、服务专业的第三方机构，承接本院陪护驻点服务工作。</w:t>
      </w:r>
    </w:p>
    <w:p w14:paraId="6231CBD0">
      <w:pPr>
        <w:numPr>
          <w:ilvl w:val="0"/>
          <w:numId w:val="6"/>
        </w:numPr>
        <w:spacing w:line="540" w:lineRule="exact"/>
        <w:ind w:left="0" w:leftChars="0" w:firstLine="420" w:firstLineChars="0"/>
        <w:rPr>
          <w:rFonts w:hint="eastAsia" w:ascii="华文行楷" w:hAnsi="华文行楷" w:eastAsia="华文行楷" w:cs="华文行楷"/>
          <w:sz w:val="24"/>
          <w:szCs w:val="24"/>
          <w:highlight w:val="none"/>
        </w:rPr>
      </w:pPr>
      <w:r>
        <w:rPr>
          <w:rFonts w:hint="eastAsia" w:ascii="华文行楷" w:hAnsi="华文行楷" w:eastAsia="华文行楷" w:cs="华文行楷"/>
          <w:sz w:val="24"/>
          <w:szCs w:val="24"/>
          <w:highlight w:val="none"/>
        </w:rPr>
        <w:t>★</w:t>
      </w:r>
      <w:r>
        <w:rPr>
          <w:rFonts w:hint="eastAsia" w:ascii="华文行楷" w:hAnsi="华文行楷" w:eastAsia="华文行楷" w:cs="华文行楷"/>
          <w:sz w:val="24"/>
          <w:szCs w:val="24"/>
          <w:highlight w:val="none"/>
          <w:lang w:eastAsia="zh-CN"/>
        </w:rPr>
        <w:t>采购</w:t>
      </w:r>
      <w:r>
        <w:rPr>
          <w:rFonts w:hint="eastAsia" w:ascii="华文行楷" w:hAnsi="华文行楷" w:eastAsia="华文行楷" w:cs="华文行楷"/>
          <w:sz w:val="24"/>
          <w:szCs w:val="24"/>
          <w:highlight w:val="none"/>
        </w:rPr>
        <w:t>清单</w:t>
      </w:r>
      <w:r>
        <w:rPr>
          <w:rFonts w:hint="eastAsia" w:ascii="华文行楷" w:hAnsi="华文行楷" w:eastAsia="华文行楷" w:cs="华文行楷"/>
          <w:sz w:val="24"/>
          <w:szCs w:val="24"/>
          <w:highlight w:val="none"/>
          <w:lang w:eastAsia="zh-CN"/>
        </w:rPr>
        <w:t>（深医保发〔2025〕4号</w:t>
      </w:r>
      <w:r>
        <w:rPr>
          <w:rFonts w:hint="eastAsia" w:ascii="华文行楷" w:hAnsi="华文行楷" w:eastAsia="华文行楷" w:cs="华文行楷"/>
          <w:sz w:val="24"/>
          <w:szCs w:val="24"/>
          <w:highlight w:val="none"/>
          <w:lang w:val="en-US" w:eastAsia="zh-CN"/>
        </w:rPr>
        <w:t>供参考</w:t>
      </w:r>
      <w:r>
        <w:rPr>
          <w:rFonts w:hint="eastAsia" w:ascii="华文行楷" w:hAnsi="华文行楷" w:eastAsia="华文行楷" w:cs="华文行楷"/>
          <w:sz w:val="24"/>
          <w:szCs w:val="24"/>
          <w:highlight w:val="none"/>
          <w:lang w:eastAsia="zh-CN"/>
        </w:rPr>
        <w:t>）</w:t>
      </w:r>
    </w:p>
    <w:tbl>
      <w:tblPr>
        <w:tblStyle w:val="14"/>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8211"/>
      </w:tblGrid>
      <w:tr w14:paraId="466F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1705" w:type="dxa"/>
            <w:tcBorders>
              <w:top w:val="single" w:color="auto" w:sz="4" w:space="0"/>
              <w:left w:val="single" w:color="auto" w:sz="4" w:space="0"/>
              <w:bottom w:val="single" w:color="auto" w:sz="4" w:space="0"/>
              <w:right w:val="single" w:color="auto" w:sz="4" w:space="0"/>
            </w:tcBorders>
            <w:shd w:val="clear" w:color="auto" w:fill="auto"/>
          </w:tcPr>
          <w:p w14:paraId="1DB4E1E9">
            <w:pPr>
              <w:ind w:firstLine="0" w:firstLineChars="0"/>
              <w:rPr>
                <w:rFonts w:hint="eastAsia" w:ascii="仿宋" w:hAnsi="仿宋" w:eastAsia="仿宋"/>
                <w:sz w:val="28"/>
                <w:szCs w:val="28"/>
              </w:rPr>
            </w:pPr>
            <w:r>
              <w:rPr>
                <w:rFonts w:hint="eastAsia" w:ascii="仿宋" w:hAnsi="仿宋" w:eastAsia="仿宋"/>
                <w:sz w:val="28"/>
                <w:szCs w:val="28"/>
              </w:rPr>
              <w:t>项目名称</w:t>
            </w:r>
          </w:p>
        </w:tc>
        <w:tc>
          <w:tcPr>
            <w:tcW w:w="8211" w:type="dxa"/>
            <w:tcBorders>
              <w:top w:val="single" w:color="auto" w:sz="4" w:space="0"/>
              <w:left w:val="single" w:color="auto" w:sz="4" w:space="0"/>
              <w:bottom w:val="single" w:color="auto" w:sz="4" w:space="0"/>
              <w:right w:val="single" w:color="auto" w:sz="4" w:space="0"/>
            </w:tcBorders>
            <w:shd w:val="clear" w:color="auto" w:fill="auto"/>
          </w:tcPr>
          <w:p w14:paraId="29E51EAC">
            <w:pPr>
              <w:ind w:firstLine="0" w:firstLineChars="0"/>
              <w:rPr>
                <w:rFonts w:hint="eastAsia" w:ascii="仿宋" w:hAnsi="仿宋" w:eastAsia="仿宋"/>
                <w:sz w:val="28"/>
                <w:szCs w:val="28"/>
              </w:rPr>
            </w:pPr>
            <w:r>
              <w:rPr>
                <w:rFonts w:hint="eastAsia" w:ascii="仿宋" w:hAnsi="仿宋" w:eastAsia="仿宋"/>
                <w:sz w:val="28"/>
                <w:szCs w:val="28"/>
                <w:lang w:eastAsia="zh-CN"/>
              </w:rPr>
              <w:t>第三方陪护服务</w:t>
            </w:r>
            <w:r>
              <w:rPr>
                <w:rFonts w:hint="eastAsia" w:ascii="仿宋" w:hAnsi="仿宋" w:eastAsia="仿宋"/>
                <w:sz w:val="28"/>
                <w:szCs w:val="28"/>
                <w:lang w:val="en-US" w:eastAsia="zh-CN"/>
              </w:rPr>
              <w:t>供应商采购</w:t>
            </w:r>
          </w:p>
        </w:tc>
      </w:tr>
      <w:tr w14:paraId="15B3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05" w:type="dxa"/>
            <w:tcBorders>
              <w:top w:val="single" w:color="auto" w:sz="4" w:space="0"/>
              <w:left w:val="single" w:color="auto" w:sz="4" w:space="0"/>
              <w:bottom w:val="single" w:color="auto" w:sz="4" w:space="0"/>
              <w:right w:val="single" w:color="auto" w:sz="4" w:space="0"/>
            </w:tcBorders>
            <w:shd w:val="clear" w:color="auto" w:fill="auto"/>
          </w:tcPr>
          <w:p w14:paraId="27DDF040">
            <w:pPr>
              <w:ind w:firstLine="0" w:firstLineChars="0"/>
              <w:rPr>
                <w:rFonts w:hint="eastAsia" w:ascii="仿宋" w:hAnsi="仿宋" w:eastAsia="仿宋"/>
                <w:sz w:val="28"/>
                <w:szCs w:val="28"/>
              </w:rPr>
            </w:pPr>
            <w:r>
              <w:rPr>
                <w:rFonts w:hint="eastAsia" w:ascii="仿宋" w:hAnsi="仿宋" w:eastAsia="仿宋"/>
                <w:sz w:val="28"/>
                <w:szCs w:val="28"/>
              </w:rPr>
              <w:t>预算金额</w:t>
            </w:r>
          </w:p>
        </w:tc>
        <w:tc>
          <w:tcPr>
            <w:tcW w:w="8211" w:type="dxa"/>
            <w:tcBorders>
              <w:top w:val="single" w:color="auto" w:sz="4" w:space="0"/>
              <w:left w:val="single" w:color="auto" w:sz="4" w:space="0"/>
              <w:bottom w:val="single" w:color="auto" w:sz="4" w:space="0"/>
              <w:right w:val="single" w:color="auto" w:sz="4" w:space="0"/>
            </w:tcBorders>
            <w:shd w:val="clear" w:color="auto" w:fill="auto"/>
          </w:tcPr>
          <w:p w14:paraId="6A36B6E2">
            <w:pPr>
              <w:ind w:firstLine="0" w:firstLineChars="0"/>
              <w:rPr>
                <w:rFonts w:hint="eastAsia" w:ascii="仿宋" w:hAnsi="仿宋" w:eastAsia="仿宋"/>
                <w:lang w:eastAsia="zh-CN"/>
              </w:rPr>
            </w:pPr>
            <w:r>
              <w:rPr>
                <w:rFonts w:hint="eastAsia" w:ascii="仿宋" w:hAnsi="仿宋" w:eastAsia="仿宋"/>
                <w:sz w:val="28"/>
                <w:szCs w:val="28"/>
              </w:rPr>
              <w:t>本项目为</w:t>
            </w:r>
            <w:r>
              <w:rPr>
                <w:rFonts w:hint="eastAsia" w:ascii="仿宋" w:hAnsi="仿宋" w:eastAsia="仿宋"/>
                <w:sz w:val="28"/>
                <w:szCs w:val="28"/>
                <w:lang w:val="en-US" w:eastAsia="zh-CN"/>
              </w:rPr>
              <w:t>需求调研</w:t>
            </w:r>
            <w:r>
              <w:rPr>
                <w:rFonts w:hint="eastAsia" w:ascii="仿宋" w:hAnsi="仿宋" w:eastAsia="仿宋"/>
                <w:sz w:val="28"/>
                <w:szCs w:val="28"/>
              </w:rPr>
              <w:t>项目，无预算</w:t>
            </w:r>
            <w:r>
              <w:rPr>
                <w:rFonts w:hint="eastAsia" w:ascii="仿宋" w:hAnsi="仿宋" w:eastAsia="仿宋"/>
                <w:sz w:val="28"/>
                <w:szCs w:val="28"/>
                <w:lang w:eastAsia="zh-CN"/>
              </w:rPr>
              <w:t>。</w:t>
            </w:r>
          </w:p>
        </w:tc>
      </w:tr>
      <w:tr w14:paraId="719A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05" w:type="dxa"/>
            <w:tcBorders>
              <w:top w:val="single" w:color="auto" w:sz="4" w:space="0"/>
              <w:left w:val="single" w:color="auto" w:sz="4" w:space="0"/>
              <w:bottom w:val="single" w:color="auto" w:sz="4" w:space="0"/>
              <w:right w:val="single" w:color="auto" w:sz="4" w:space="0"/>
            </w:tcBorders>
            <w:shd w:val="clear" w:color="auto" w:fill="auto"/>
          </w:tcPr>
          <w:p w14:paraId="2324A671">
            <w:pPr>
              <w:ind w:firstLine="0" w:firstLineChars="0"/>
              <w:rPr>
                <w:rFonts w:hint="default" w:ascii="仿宋" w:hAnsi="仿宋" w:eastAsia="仿宋"/>
                <w:sz w:val="28"/>
                <w:szCs w:val="28"/>
                <w:lang w:val="en-US" w:eastAsia="zh-CN"/>
              </w:rPr>
            </w:pPr>
            <w:r>
              <w:rPr>
                <w:rFonts w:hint="eastAsia" w:ascii="宋体" w:hAnsi="宋体" w:eastAsia="宋体" w:cs="宋体"/>
                <w:sz w:val="24"/>
                <w:szCs w:val="24"/>
                <w:highlight w:val="none"/>
              </w:rPr>
              <w:t>★</w:t>
            </w:r>
            <w:r>
              <w:rPr>
                <w:rFonts w:hint="eastAsia" w:ascii="仿宋" w:hAnsi="仿宋" w:eastAsia="仿宋"/>
                <w:sz w:val="28"/>
                <w:szCs w:val="28"/>
                <w:lang w:val="en-US" w:eastAsia="zh-CN"/>
              </w:rPr>
              <w:t>收费标准</w:t>
            </w:r>
          </w:p>
        </w:tc>
        <w:tc>
          <w:tcPr>
            <w:tcW w:w="8211" w:type="dxa"/>
            <w:tcBorders>
              <w:top w:val="single" w:color="auto" w:sz="4" w:space="0"/>
              <w:left w:val="single" w:color="auto" w:sz="4" w:space="0"/>
              <w:bottom w:val="single" w:color="auto" w:sz="4" w:space="0"/>
              <w:right w:val="single" w:color="auto" w:sz="4" w:space="0"/>
            </w:tcBorders>
            <w:shd w:val="clear" w:color="auto" w:fill="auto"/>
          </w:tcPr>
          <w:tbl>
            <w:tblPr>
              <w:tblStyle w:val="15"/>
              <w:tblW w:w="7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2280"/>
              <w:gridCol w:w="2208"/>
              <w:gridCol w:w="1550"/>
            </w:tblGrid>
            <w:tr w14:paraId="4132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vAlign w:val="center"/>
                </w:tcPr>
                <w:p w14:paraId="73DC6468">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1"/>
                      <w:szCs w:val="21"/>
                      <w:highlight w:val="none"/>
                      <w:vertAlign w:val="baseline"/>
                      <w:lang w:eastAsia="zh-CN"/>
                    </w:rPr>
                  </w:pPr>
                  <w:r>
                    <w:rPr>
                      <w:rFonts w:hint="eastAsia" w:ascii="宋体" w:hAnsi="宋体" w:eastAsia="宋体" w:cs="宋体"/>
                      <w:b w:val="0"/>
                      <w:bCs/>
                      <w:sz w:val="21"/>
                      <w:szCs w:val="21"/>
                      <w:highlight w:val="none"/>
                      <w:vertAlign w:val="baseline"/>
                      <w:lang w:val="en-US" w:eastAsia="zh-CN"/>
                    </w:rPr>
                    <w:t>序</w:t>
                  </w:r>
                  <w:r>
                    <w:rPr>
                      <w:rFonts w:hint="eastAsia" w:ascii="宋体" w:hAnsi="宋体" w:eastAsia="宋体" w:cs="宋体"/>
                      <w:b w:val="0"/>
                      <w:bCs/>
                      <w:sz w:val="21"/>
                      <w:szCs w:val="21"/>
                      <w:highlight w:val="none"/>
                      <w:vertAlign w:val="baseline"/>
                      <w:lang w:eastAsia="zh-CN"/>
                    </w:rPr>
                    <w:t>号</w:t>
                  </w:r>
                </w:p>
              </w:tc>
              <w:tc>
                <w:tcPr>
                  <w:tcW w:w="2280" w:type="dxa"/>
                  <w:vAlign w:val="center"/>
                </w:tcPr>
                <w:p w14:paraId="6B4A4479">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20" w:firstLineChars="200"/>
                    <w:jc w:val="center"/>
                    <w:textAlignment w:val="auto"/>
                    <w:outlineLvl w:val="9"/>
                    <w:rPr>
                      <w:rFonts w:hint="eastAsia" w:ascii="宋体" w:hAnsi="宋体" w:eastAsia="宋体" w:cs="宋体"/>
                      <w:b w:val="0"/>
                      <w:bCs/>
                      <w:sz w:val="21"/>
                      <w:szCs w:val="21"/>
                      <w:highlight w:val="none"/>
                      <w:vertAlign w:val="baseline"/>
                      <w:lang w:eastAsia="zh-CN"/>
                    </w:rPr>
                  </w:pPr>
                  <w:r>
                    <w:rPr>
                      <w:rFonts w:hint="eastAsia" w:ascii="宋体" w:hAnsi="宋体" w:eastAsia="宋体" w:cs="宋体"/>
                      <w:b w:val="0"/>
                      <w:bCs/>
                      <w:sz w:val="21"/>
                      <w:szCs w:val="21"/>
                      <w:highlight w:val="none"/>
                      <w:vertAlign w:val="baseline"/>
                      <w:lang w:eastAsia="zh-CN"/>
                    </w:rPr>
                    <w:t>项目内容</w:t>
                  </w:r>
                </w:p>
              </w:tc>
              <w:tc>
                <w:tcPr>
                  <w:tcW w:w="2208" w:type="dxa"/>
                  <w:vAlign w:val="center"/>
                </w:tcPr>
                <w:p w14:paraId="6E4405C3">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1"/>
                      <w:szCs w:val="21"/>
                      <w:highlight w:val="none"/>
                      <w:vertAlign w:val="baseline"/>
                      <w:lang w:eastAsia="zh-CN"/>
                    </w:rPr>
                  </w:pPr>
                  <w:r>
                    <w:rPr>
                      <w:rFonts w:hint="eastAsia" w:ascii="宋体" w:hAnsi="宋体" w:eastAsia="宋体" w:cs="宋体"/>
                      <w:b w:val="0"/>
                      <w:bCs/>
                      <w:sz w:val="21"/>
                      <w:szCs w:val="21"/>
                      <w:highlight w:val="none"/>
                      <w:vertAlign w:val="baseline"/>
                      <w:lang w:eastAsia="zh-CN"/>
                    </w:rPr>
                    <w:t>平日最高限价</w:t>
                  </w:r>
                </w:p>
              </w:tc>
              <w:tc>
                <w:tcPr>
                  <w:tcW w:w="1550" w:type="dxa"/>
                  <w:vAlign w:val="center"/>
                </w:tcPr>
                <w:p w14:paraId="3D17E5A4">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1"/>
                      <w:szCs w:val="21"/>
                      <w:highlight w:val="none"/>
                      <w:vertAlign w:val="baseline"/>
                      <w:lang w:eastAsia="zh-CN"/>
                    </w:rPr>
                  </w:pPr>
                  <w:r>
                    <w:rPr>
                      <w:rFonts w:hint="eastAsia" w:ascii="宋体" w:hAnsi="宋体" w:eastAsia="宋体" w:cs="宋体"/>
                      <w:b w:val="0"/>
                      <w:bCs/>
                      <w:sz w:val="21"/>
                      <w:szCs w:val="21"/>
                      <w:highlight w:val="none"/>
                      <w:vertAlign w:val="baseline"/>
                      <w:lang w:eastAsia="zh-CN"/>
                    </w:rPr>
                    <w:t>备注</w:t>
                  </w:r>
                </w:p>
              </w:tc>
            </w:tr>
            <w:tr w14:paraId="4B312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vAlign w:val="center"/>
                </w:tcPr>
                <w:p w14:paraId="512C571E">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1</w:t>
                  </w:r>
                </w:p>
              </w:tc>
              <w:tc>
                <w:tcPr>
                  <w:tcW w:w="2280" w:type="dxa"/>
                  <w:vAlign w:val="center"/>
                </w:tcPr>
                <w:p w14:paraId="079889AF">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1"/>
                      <w:szCs w:val="21"/>
                      <w:highlight w:val="none"/>
                      <w:vertAlign w:val="baseline"/>
                      <w:lang w:eastAsia="zh-CN"/>
                    </w:rPr>
                  </w:pPr>
                  <w:r>
                    <w:rPr>
                      <w:rFonts w:hint="eastAsia" w:ascii="宋体" w:hAnsi="宋体" w:eastAsia="宋体" w:cs="宋体"/>
                      <w:b w:val="0"/>
                      <w:bCs/>
                      <w:sz w:val="21"/>
                      <w:szCs w:val="21"/>
                      <w:highlight w:val="none"/>
                      <w:vertAlign w:val="baseline"/>
                      <w:lang w:eastAsia="zh-CN"/>
                    </w:rPr>
                    <w:t>一对一</w:t>
                  </w:r>
                </w:p>
              </w:tc>
              <w:tc>
                <w:tcPr>
                  <w:tcW w:w="2208" w:type="dxa"/>
                  <w:vAlign w:val="center"/>
                </w:tcPr>
                <w:p w14:paraId="482C1A35">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280元/人/天</w:t>
                  </w:r>
                </w:p>
              </w:tc>
              <w:tc>
                <w:tcPr>
                  <w:tcW w:w="1550" w:type="dxa"/>
                  <w:vMerge w:val="restart"/>
                  <w:vAlign w:val="center"/>
                </w:tcPr>
                <w:p w14:paraId="498A08DC">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default" w:ascii="宋体" w:hAnsi="宋体" w:eastAsia="宋体" w:cs="宋体"/>
                      <w:b w:val="0"/>
                      <w:bCs/>
                      <w:i/>
                      <w:i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具备医学背景的护理员，在此基础上增加20%收费</w:t>
                  </w:r>
                </w:p>
              </w:tc>
            </w:tr>
            <w:tr w14:paraId="4690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vAlign w:val="center"/>
                </w:tcPr>
                <w:p w14:paraId="4DCAC870">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2</w:t>
                  </w:r>
                </w:p>
              </w:tc>
              <w:tc>
                <w:tcPr>
                  <w:tcW w:w="2280" w:type="dxa"/>
                  <w:vAlign w:val="center"/>
                </w:tcPr>
                <w:p w14:paraId="335C710D">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1"/>
                      <w:szCs w:val="21"/>
                      <w:highlight w:val="none"/>
                      <w:vertAlign w:val="baseline"/>
                    </w:rPr>
                  </w:pPr>
                  <w:r>
                    <w:rPr>
                      <w:rFonts w:hint="eastAsia" w:ascii="宋体" w:hAnsi="宋体" w:eastAsia="宋体" w:cs="宋体"/>
                      <w:b w:val="0"/>
                      <w:bCs/>
                      <w:sz w:val="21"/>
                      <w:szCs w:val="21"/>
                      <w:highlight w:val="none"/>
                      <w:vertAlign w:val="baseline"/>
                      <w:lang w:eastAsia="zh-CN"/>
                    </w:rPr>
                    <w:t>一对二</w:t>
                  </w:r>
                </w:p>
              </w:tc>
              <w:tc>
                <w:tcPr>
                  <w:tcW w:w="2208" w:type="dxa"/>
                  <w:vAlign w:val="center"/>
                </w:tcPr>
                <w:p w14:paraId="67B85847">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1"/>
                      <w:szCs w:val="21"/>
                      <w:highlight w:val="none"/>
                      <w:vertAlign w:val="baseline"/>
                    </w:rPr>
                  </w:pPr>
                  <w:r>
                    <w:rPr>
                      <w:rFonts w:hint="eastAsia" w:ascii="宋体" w:hAnsi="宋体" w:eastAsia="宋体" w:cs="宋体"/>
                      <w:b w:val="0"/>
                      <w:bCs/>
                      <w:sz w:val="21"/>
                      <w:szCs w:val="21"/>
                      <w:highlight w:val="none"/>
                      <w:vertAlign w:val="baseline"/>
                      <w:lang w:val="en-US" w:eastAsia="zh-CN"/>
                    </w:rPr>
                    <w:t>180元/人/天</w:t>
                  </w:r>
                </w:p>
              </w:tc>
              <w:tc>
                <w:tcPr>
                  <w:tcW w:w="1550" w:type="dxa"/>
                  <w:vMerge w:val="continue"/>
                  <w:vAlign w:val="center"/>
                </w:tcPr>
                <w:p w14:paraId="750564B9">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i/>
                      <w:iCs/>
                      <w:sz w:val="21"/>
                      <w:szCs w:val="21"/>
                      <w:highlight w:val="none"/>
                      <w:vertAlign w:val="baseline"/>
                    </w:rPr>
                  </w:pPr>
                </w:p>
              </w:tc>
            </w:tr>
            <w:tr w14:paraId="137E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vAlign w:val="center"/>
                </w:tcPr>
                <w:p w14:paraId="3E8EE97B">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3</w:t>
                  </w:r>
                </w:p>
              </w:tc>
              <w:tc>
                <w:tcPr>
                  <w:tcW w:w="2280" w:type="dxa"/>
                  <w:vAlign w:val="center"/>
                </w:tcPr>
                <w:p w14:paraId="608A8443">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1"/>
                      <w:szCs w:val="21"/>
                      <w:highlight w:val="none"/>
                      <w:vertAlign w:val="baseline"/>
                      <w:lang w:val="en-US"/>
                    </w:rPr>
                  </w:pPr>
                  <w:r>
                    <w:rPr>
                      <w:rFonts w:hint="eastAsia" w:ascii="宋体" w:hAnsi="宋体" w:eastAsia="宋体" w:cs="宋体"/>
                      <w:b w:val="0"/>
                      <w:bCs/>
                      <w:sz w:val="21"/>
                      <w:szCs w:val="21"/>
                      <w:highlight w:val="none"/>
                      <w:vertAlign w:val="baseline"/>
                      <w:lang w:eastAsia="zh-CN"/>
                    </w:rPr>
                    <w:t>一对</w:t>
                  </w:r>
                  <w:r>
                    <w:rPr>
                      <w:rFonts w:hint="eastAsia" w:ascii="宋体" w:hAnsi="宋体" w:eastAsia="宋体" w:cs="宋体"/>
                      <w:b w:val="0"/>
                      <w:bCs/>
                      <w:sz w:val="21"/>
                      <w:szCs w:val="21"/>
                      <w:highlight w:val="none"/>
                      <w:vertAlign w:val="baseline"/>
                      <w:lang w:val="en-US" w:eastAsia="zh-CN"/>
                    </w:rPr>
                    <w:t>三</w:t>
                  </w:r>
                </w:p>
              </w:tc>
              <w:tc>
                <w:tcPr>
                  <w:tcW w:w="2208" w:type="dxa"/>
                  <w:vAlign w:val="center"/>
                </w:tcPr>
                <w:p w14:paraId="1EB8B330">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1"/>
                      <w:szCs w:val="21"/>
                      <w:highlight w:val="none"/>
                      <w:vertAlign w:val="baseline"/>
                    </w:rPr>
                  </w:pPr>
                  <w:r>
                    <w:rPr>
                      <w:rFonts w:hint="eastAsia" w:ascii="宋体" w:hAnsi="宋体" w:eastAsia="宋体" w:cs="宋体"/>
                      <w:b w:val="0"/>
                      <w:bCs/>
                      <w:sz w:val="21"/>
                      <w:szCs w:val="21"/>
                      <w:highlight w:val="none"/>
                      <w:vertAlign w:val="baseline"/>
                      <w:lang w:val="en-US" w:eastAsia="zh-CN"/>
                    </w:rPr>
                    <w:t>140元/人/天</w:t>
                  </w:r>
                </w:p>
              </w:tc>
              <w:tc>
                <w:tcPr>
                  <w:tcW w:w="1550" w:type="dxa"/>
                  <w:vMerge w:val="continue"/>
                  <w:vAlign w:val="center"/>
                </w:tcPr>
                <w:p w14:paraId="7FAB92C7">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i/>
                      <w:iCs/>
                      <w:sz w:val="21"/>
                      <w:szCs w:val="21"/>
                      <w:highlight w:val="none"/>
                      <w:vertAlign w:val="baseline"/>
                    </w:rPr>
                  </w:pPr>
                </w:p>
              </w:tc>
            </w:tr>
            <w:tr w14:paraId="1C4F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vAlign w:val="center"/>
                </w:tcPr>
                <w:p w14:paraId="167F8873">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4</w:t>
                  </w:r>
                </w:p>
              </w:tc>
              <w:tc>
                <w:tcPr>
                  <w:tcW w:w="2280" w:type="dxa"/>
                  <w:vAlign w:val="center"/>
                </w:tcPr>
                <w:p w14:paraId="2EE146E2">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1"/>
                      <w:szCs w:val="21"/>
                      <w:highlight w:val="none"/>
                      <w:vertAlign w:val="baseline"/>
                      <w:lang w:val="en-US"/>
                    </w:rPr>
                  </w:pPr>
                  <w:r>
                    <w:rPr>
                      <w:rFonts w:hint="eastAsia" w:ascii="宋体" w:hAnsi="宋体" w:eastAsia="宋体" w:cs="宋体"/>
                      <w:b w:val="0"/>
                      <w:bCs/>
                      <w:sz w:val="21"/>
                      <w:szCs w:val="21"/>
                      <w:highlight w:val="none"/>
                      <w:vertAlign w:val="baseline"/>
                      <w:lang w:eastAsia="zh-CN"/>
                    </w:rPr>
                    <w:t>一对</w:t>
                  </w:r>
                  <w:r>
                    <w:rPr>
                      <w:rFonts w:hint="eastAsia" w:ascii="宋体" w:hAnsi="宋体" w:eastAsia="宋体" w:cs="宋体"/>
                      <w:b w:val="0"/>
                      <w:bCs/>
                      <w:sz w:val="21"/>
                      <w:szCs w:val="21"/>
                      <w:highlight w:val="none"/>
                      <w:vertAlign w:val="baseline"/>
                      <w:lang w:val="en-US" w:eastAsia="zh-CN"/>
                    </w:rPr>
                    <w:t>多（小组制）</w:t>
                  </w:r>
                </w:p>
              </w:tc>
              <w:tc>
                <w:tcPr>
                  <w:tcW w:w="2208" w:type="dxa"/>
                  <w:vAlign w:val="center"/>
                </w:tcPr>
                <w:p w14:paraId="20CF97E2">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1"/>
                      <w:szCs w:val="21"/>
                      <w:highlight w:val="none"/>
                      <w:vertAlign w:val="baseline"/>
                    </w:rPr>
                  </w:pPr>
                  <w:r>
                    <w:rPr>
                      <w:rFonts w:hint="eastAsia" w:ascii="宋体" w:hAnsi="宋体" w:eastAsia="宋体" w:cs="宋体"/>
                      <w:b w:val="0"/>
                      <w:bCs/>
                      <w:sz w:val="21"/>
                      <w:szCs w:val="21"/>
                      <w:highlight w:val="none"/>
                      <w:vertAlign w:val="baseline"/>
                      <w:lang w:val="en-US" w:eastAsia="zh-CN"/>
                    </w:rPr>
                    <w:t>50-130元/人/天</w:t>
                  </w:r>
                </w:p>
              </w:tc>
              <w:tc>
                <w:tcPr>
                  <w:tcW w:w="1550" w:type="dxa"/>
                  <w:vMerge w:val="continue"/>
                  <w:vAlign w:val="center"/>
                </w:tcPr>
                <w:p w14:paraId="753B20E1">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i/>
                      <w:iCs/>
                      <w:sz w:val="21"/>
                      <w:szCs w:val="21"/>
                      <w:highlight w:val="none"/>
                      <w:vertAlign w:val="baseline"/>
                    </w:rPr>
                  </w:pPr>
                </w:p>
              </w:tc>
            </w:tr>
            <w:tr w14:paraId="2C32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2" w:type="dxa"/>
                  <w:vAlign w:val="center"/>
                </w:tcPr>
                <w:p w14:paraId="50516A2E">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default" w:ascii="宋体" w:hAnsi="宋体" w:eastAsia="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5</w:t>
                  </w:r>
                </w:p>
              </w:tc>
              <w:tc>
                <w:tcPr>
                  <w:tcW w:w="2280" w:type="dxa"/>
                  <w:vAlign w:val="center"/>
                </w:tcPr>
                <w:p w14:paraId="7A86A313">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1"/>
                      <w:szCs w:val="21"/>
                      <w:highlight w:val="none"/>
                      <w:vertAlign w:val="baseline"/>
                      <w:lang w:eastAsia="zh-CN"/>
                    </w:rPr>
                  </w:pPr>
                  <w:r>
                    <w:rPr>
                      <w:rFonts w:hint="eastAsia" w:ascii="宋体" w:hAnsi="宋体" w:cs="宋体"/>
                      <w:b w:val="0"/>
                      <w:bCs/>
                      <w:sz w:val="21"/>
                      <w:szCs w:val="21"/>
                      <w:highlight w:val="none"/>
                      <w:vertAlign w:val="baseline"/>
                      <w:lang w:eastAsia="zh-CN"/>
                    </w:rPr>
                    <w:t>产科（一对一）</w:t>
                  </w:r>
                </w:p>
              </w:tc>
              <w:tc>
                <w:tcPr>
                  <w:tcW w:w="2208" w:type="dxa"/>
                  <w:vAlign w:val="center"/>
                </w:tcPr>
                <w:p w14:paraId="39E55370">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default" w:ascii="宋体" w:hAnsi="宋体" w:eastAsia="宋体" w:cs="宋体"/>
                      <w:b w:val="0"/>
                      <w:bCs/>
                      <w:sz w:val="21"/>
                      <w:szCs w:val="21"/>
                      <w:highlight w:val="none"/>
                      <w:vertAlign w:val="baseline"/>
                      <w:lang w:val="en-US" w:eastAsia="zh-CN"/>
                    </w:rPr>
                  </w:pPr>
                  <w:r>
                    <w:rPr>
                      <w:rFonts w:hint="eastAsia" w:ascii="宋体" w:hAnsi="宋体" w:cs="宋体"/>
                      <w:b w:val="0"/>
                      <w:bCs/>
                      <w:sz w:val="21"/>
                      <w:szCs w:val="21"/>
                      <w:highlight w:val="none"/>
                      <w:vertAlign w:val="baseline"/>
                      <w:lang w:val="en-US" w:eastAsia="zh-CN"/>
                    </w:rPr>
                    <w:t>500元/天/人</w:t>
                  </w:r>
                </w:p>
              </w:tc>
              <w:tc>
                <w:tcPr>
                  <w:tcW w:w="1550" w:type="dxa"/>
                  <w:vMerge w:val="continue"/>
                  <w:vAlign w:val="center"/>
                </w:tcPr>
                <w:p w14:paraId="23CC02A6">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i/>
                      <w:iCs/>
                      <w:sz w:val="21"/>
                      <w:szCs w:val="21"/>
                      <w:highlight w:val="none"/>
                      <w:vertAlign w:val="baseline"/>
                    </w:rPr>
                  </w:pPr>
                </w:p>
              </w:tc>
            </w:tr>
          </w:tbl>
          <w:p w14:paraId="4665BC57">
            <w:pPr>
              <w:ind w:firstLine="0" w:firstLineChars="0"/>
              <w:rPr>
                <w:rFonts w:hint="eastAsia" w:ascii="仿宋" w:hAnsi="仿宋" w:eastAsia="仿宋"/>
                <w:sz w:val="28"/>
                <w:szCs w:val="28"/>
              </w:rPr>
            </w:pPr>
          </w:p>
        </w:tc>
      </w:tr>
    </w:tbl>
    <w:p w14:paraId="5D14DED6">
      <w:pPr>
        <w:pStyle w:val="7"/>
        <w:rPr>
          <w:rFonts w:hint="eastAsia" w:ascii="宋体" w:hAnsi="宋体" w:eastAsia="宋体" w:cs="宋体"/>
          <w:sz w:val="24"/>
          <w:szCs w:val="24"/>
          <w:highlight w:val="none"/>
        </w:rPr>
      </w:pPr>
    </w:p>
    <w:p w14:paraId="310DDD92">
      <w:pPr>
        <w:rPr>
          <w:rFonts w:hint="eastAsia" w:ascii="宋体" w:hAnsi="宋体" w:eastAsia="宋体" w:cs="宋体"/>
          <w:sz w:val="24"/>
          <w:szCs w:val="24"/>
          <w:highlight w:val="none"/>
        </w:rPr>
      </w:pPr>
    </w:p>
    <w:p w14:paraId="69E282A0">
      <w:pPr>
        <w:pStyle w:val="2"/>
        <w:rPr>
          <w:rFonts w:hint="eastAsia"/>
        </w:rPr>
      </w:pPr>
    </w:p>
    <w:p w14:paraId="02E259B4">
      <w:pPr>
        <w:pStyle w:val="2"/>
        <w:rPr>
          <w:rFonts w:hint="eastAsia"/>
        </w:rPr>
      </w:pPr>
    </w:p>
    <w:p w14:paraId="3C87572F">
      <w:pPr>
        <w:keepNext w:val="0"/>
        <w:keepLines w:val="0"/>
        <w:pageBreakBefore w:val="0"/>
        <w:widowControl w:val="0"/>
        <w:numPr>
          <w:ilvl w:val="0"/>
          <w:numId w:val="6"/>
        </w:numPr>
        <w:kinsoku/>
        <w:wordWrap/>
        <w:overflowPunct/>
        <w:topLinePunct w:val="0"/>
        <w:autoSpaceDE/>
        <w:autoSpaceDN/>
        <w:bidi w:val="0"/>
        <w:adjustRightInd w:val="0"/>
        <w:snapToGrid w:val="0"/>
        <w:spacing w:line="520" w:lineRule="atLeast"/>
        <w:ind w:left="0" w:leftChars="0" w:firstLine="420" w:firstLineChars="0"/>
        <w:textAlignment w:val="auto"/>
        <w:rPr>
          <w:rFonts w:hint="eastAsia" w:ascii="华文行楷" w:hAnsi="华文行楷" w:eastAsia="华文行楷" w:cs="华文行楷"/>
          <w:b w:val="0"/>
          <w:bCs w:val="0"/>
          <w:kern w:val="2"/>
          <w:sz w:val="24"/>
          <w:szCs w:val="24"/>
          <w:highlight w:val="none"/>
          <w:lang w:val="en-US" w:eastAsia="zh-CN" w:bidi="ar-SA"/>
        </w:rPr>
      </w:pPr>
      <w:r>
        <w:rPr>
          <w:rFonts w:hint="eastAsia" w:ascii="华文行楷" w:hAnsi="华文行楷" w:eastAsia="华文行楷" w:cs="华文行楷"/>
          <w:b w:val="0"/>
          <w:bCs w:val="0"/>
          <w:kern w:val="2"/>
          <w:sz w:val="24"/>
          <w:szCs w:val="24"/>
          <w:highlight w:val="none"/>
          <w:lang w:val="en-US" w:eastAsia="zh-CN" w:bidi="ar-SA"/>
        </w:rPr>
        <w:t>项目需求</w:t>
      </w:r>
    </w:p>
    <w:p w14:paraId="33C7652E">
      <w:pPr>
        <w:keepNext w:val="0"/>
        <w:keepLines w:val="0"/>
        <w:pageBreakBefore w:val="0"/>
        <w:widowControl w:val="0"/>
        <w:kinsoku/>
        <w:wordWrap/>
        <w:overflowPunct/>
        <w:topLinePunct w:val="0"/>
        <w:autoSpaceDE/>
        <w:autoSpaceDN/>
        <w:bidi w:val="0"/>
        <w:adjustRightInd/>
        <w:snapToGrid/>
        <w:spacing w:line="360" w:lineRule="auto"/>
        <w:ind w:firstLine="562"/>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）服务要求</w:t>
      </w:r>
    </w:p>
    <w:p w14:paraId="0DA4F0CA">
      <w:pPr>
        <w:pStyle w:val="2"/>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提供“一对一”“一对二”“一对三”及“一对多”的服务模式。“一对一”陪护模式下</w:t>
      </w:r>
      <w:r>
        <w:rPr>
          <w:rFonts w:hint="eastAsia" w:asciiTheme="minorEastAsia" w:hAnsiTheme="minorEastAsia" w:cstheme="minorEastAsia"/>
          <w:kern w:val="2"/>
          <w:sz w:val="24"/>
          <w:szCs w:val="24"/>
          <w:lang w:val="en-US" w:eastAsia="zh-CN" w:bidi="ar-SA"/>
        </w:rPr>
        <w:t>陪护</w:t>
      </w:r>
      <w:r>
        <w:rPr>
          <w:rFonts w:hint="eastAsia" w:asciiTheme="minorEastAsia" w:hAnsiTheme="minorEastAsia" w:eastAsiaTheme="minorEastAsia" w:cstheme="minorEastAsia"/>
          <w:kern w:val="2"/>
          <w:sz w:val="24"/>
          <w:szCs w:val="24"/>
          <w:lang w:val="en-US" w:eastAsia="zh-CN" w:bidi="ar-SA"/>
        </w:rPr>
        <w:t>员实行24小时连续在岗制；“一对多”陪护模式下</w:t>
      </w:r>
      <w:r>
        <w:rPr>
          <w:rFonts w:hint="eastAsia" w:asciiTheme="minorEastAsia" w:hAnsiTheme="minorEastAsia" w:cstheme="minorEastAsia"/>
          <w:kern w:val="2"/>
          <w:sz w:val="24"/>
          <w:szCs w:val="24"/>
          <w:lang w:val="en-US" w:eastAsia="zh-CN" w:bidi="ar-SA"/>
        </w:rPr>
        <w:t>陪护</w:t>
      </w:r>
      <w:r>
        <w:rPr>
          <w:rFonts w:hint="eastAsia" w:asciiTheme="minorEastAsia" w:hAnsiTheme="minorEastAsia" w:eastAsiaTheme="minorEastAsia" w:cstheme="minorEastAsia"/>
          <w:kern w:val="2"/>
          <w:sz w:val="24"/>
          <w:szCs w:val="24"/>
          <w:lang w:val="en-US" w:eastAsia="zh-CN" w:bidi="ar-SA"/>
        </w:rPr>
        <w:t>员实行至少两班12小时轮换制（其他陪护模式的排班方式，可由科室护士长根据患者病情实际情况统筹安排）。</w:t>
      </w:r>
    </w:p>
    <w:p w14:paraId="0650A4D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color w:val="666666"/>
          <w:sz w:val="24"/>
          <w:szCs w:val="24"/>
          <w:highlight w:val="none"/>
          <w:shd w:val="clear" w:color="auto" w:fill="FFFFFF"/>
        </w:rPr>
        <w:t>▲</w:t>
      </w:r>
      <w:r>
        <w:rPr>
          <w:rFonts w:hint="eastAsia" w:asciiTheme="minorEastAsia" w:hAnsiTheme="minorEastAsia" w:eastAsiaTheme="minorEastAsia" w:cstheme="minorEastAsia"/>
          <w:sz w:val="24"/>
          <w:szCs w:val="24"/>
        </w:rPr>
        <w:t>陪护管理要求</w:t>
      </w:r>
    </w:p>
    <w:p w14:paraId="2FB58D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rPr>
        <w:t>陪护服务</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及其管理的陪护人员，须遵守国家、省、市相关法律法规和行政规章，接受</w:t>
      </w:r>
      <w:r>
        <w:rPr>
          <w:rFonts w:hint="eastAsia" w:asciiTheme="minorEastAsia" w:hAnsiTheme="minorEastAsia" w:cstheme="minorEastAsia"/>
          <w:sz w:val="24"/>
          <w:szCs w:val="24"/>
          <w:lang w:eastAsia="zh-CN"/>
        </w:rPr>
        <w:t>采购人</w:t>
      </w:r>
      <w:r>
        <w:rPr>
          <w:rFonts w:hint="eastAsia" w:asciiTheme="minorEastAsia" w:hAnsiTheme="minorEastAsia" w:eastAsiaTheme="minorEastAsia" w:cstheme="minorEastAsia"/>
          <w:sz w:val="24"/>
          <w:szCs w:val="24"/>
        </w:rPr>
        <w:t>的指导和监管</w:t>
      </w:r>
      <w:r>
        <w:rPr>
          <w:rFonts w:hint="eastAsia" w:asciiTheme="minorEastAsia" w:hAnsiTheme="minorEastAsia" w:eastAsiaTheme="minorEastAsia" w:cstheme="minorEastAsia"/>
          <w:sz w:val="24"/>
          <w:szCs w:val="24"/>
          <w:highlight w:val="none"/>
        </w:rPr>
        <w:t>，按各级文件相关要求规范执行陪护服务。</w:t>
      </w:r>
    </w:p>
    <w:p w14:paraId="1048CE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highlight w:val="none"/>
        </w:rPr>
        <w:t>本次服务项目的服务范围包含</w:t>
      </w:r>
      <w:r>
        <w:rPr>
          <w:rFonts w:hint="eastAsia" w:asciiTheme="minorEastAsia" w:hAnsiTheme="minorEastAsia" w:cstheme="minorEastAsia"/>
          <w:sz w:val="24"/>
          <w:szCs w:val="24"/>
          <w:highlight w:val="none"/>
          <w:lang w:eastAsia="zh-CN"/>
        </w:rPr>
        <w:t>中山大学附属第八医院</w:t>
      </w:r>
      <w:r>
        <w:rPr>
          <w:rFonts w:hint="eastAsia" w:asciiTheme="minorEastAsia" w:hAnsiTheme="minorEastAsia" w:eastAsiaTheme="minorEastAsia" w:cstheme="minorEastAsia"/>
          <w:sz w:val="24"/>
          <w:szCs w:val="24"/>
          <w:highlight w:val="none"/>
        </w:rPr>
        <w:t>的陪护服务根据医院实际需求开展。</w:t>
      </w:r>
    </w:p>
    <w:p w14:paraId="7CE311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sz w:val="24"/>
          <w:szCs w:val="24"/>
          <w:highlight w:val="none"/>
        </w:rPr>
        <w:t>所有陪护人员均要求为专职陪护。在我院服务期间，不得再承接其他的工作事项。</w:t>
      </w:r>
    </w:p>
    <w:p w14:paraId="5DEB2A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kern w:val="2"/>
          <w:sz w:val="24"/>
          <w:szCs w:val="24"/>
          <w:lang w:val="en-US" w:eastAsia="zh-CN" w:bidi="ar-SA"/>
        </w:rPr>
        <w:t>(4)</w:t>
      </w:r>
      <w:r>
        <w:rPr>
          <w:rFonts w:hint="eastAsia" w:asciiTheme="minorEastAsia" w:hAnsi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在院团队须协助医院处理“黑陪”“私陪”，管理人员与陪护人员在日常工作中均应协助巡查病区有无“黑陪”“私陪”，一旦发现及时上报处理。</w:t>
      </w:r>
    </w:p>
    <w:p w14:paraId="1F8278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kern w:val="2"/>
          <w:sz w:val="24"/>
          <w:szCs w:val="24"/>
          <w:lang w:val="en-US" w:eastAsia="zh-CN" w:bidi="ar-SA"/>
        </w:rPr>
        <w:t>(5)</w:t>
      </w:r>
      <w:r>
        <w:rPr>
          <w:rFonts w:hint="eastAsia" w:asciiTheme="minorEastAsia" w:hAnsi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接受医院与上级主管部门的检查指导和考评，协同医院做好各项创优评选和迎检评级活动，做好传染病防控相关工作，按医院需要提供相关的书面材料。</w:t>
      </w:r>
    </w:p>
    <w:p w14:paraId="7F2146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kern w:val="2"/>
          <w:sz w:val="24"/>
          <w:szCs w:val="24"/>
          <w:lang w:val="en-US" w:eastAsia="zh-CN" w:bidi="ar-SA"/>
        </w:rPr>
        <w:t>(6)</w:t>
      </w:r>
      <w:r>
        <w:rPr>
          <w:rFonts w:hint="eastAsia" w:asciiTheme="minorEastAsia" w:hAnsi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应严格按照国家法律法规要求合法用工，团队所有人员持各岗位所需证件上岗。应保证陪护人员身体健康，品行端正，具有和岗位相适应的文化素质，定期组织陪护人员体检并提供体检报告与医院存档。同时保障陪护人员薪资待遇，提高陪护团队稳定性，降低陪护人员流动率。</w:t>
      </w:r>
    </w:p>
    <w:p w14:paraId="2953A4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kern w:val="2"/>
          <w:sz w:val="24"/>
          <w:szCs w:val="24"/>
          <w:lang w:val="en-US" w:eastAsia="zh-CN" w:bidi="ar-SA"/>
        </w:rPr>
        <w:t>(7)</w:t>
      </w:r>
      <w:r>
        <w:rPr>
          <w:rFonts w:hint="eastAsia" w:asciiTheme="minorEastAsia" w:hAnsi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应在陪护人员上岗前与在岗期间，定期对陪护人员进行管理和培训，包括且不限于服务技能、心理素质、法制、安全、卫生、突发事件处置等各方面相关规范，培训记录需交医院存档。</w:t>
      </w:r>
    </w:p>
    <w:p w14:paraId="2F64CC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kern w:val="2"/>
          <w:sz w:val="24"/>
          <w:szCs w:val="24"/>
          <w:lang w:val="en-US" w:eastAsia="zh-CN" w:bidi="ar-SA"/>
        </w:rPr>
        <w:t>(8)</w:t>
      </w:r>
      <w:r>
        <w:rPr>
          <w:rFonts w:hint="eastAsia" w:asciiTheme="minorEastAsia" w:hAnsiTheme="minorEastAsia" w:eastAsiaTheme="minorEastAsia" w:cstheme="minorEastAsia"/>
          <w:sz w:val="24"/>
          <w:szCs w:val="24"/>
          <w:highlight w:val="none"/>
        </w:rPr>
        <w:t>保密要求：</w:t>
      </w:r>
      <w:r>
        <w:rPr>
          <w:rFonts w:hint="eastAsia" w:asciiTheme="minorEastAsia" w:hAnsi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不得泄露医院与患者的相关信息。其信息仅作为实现本项目目的使用，不得泄露或作其他商业用途。若违反保密要求，应向</w:t>
      </w:r>
      <w:r>
        <w:rPr>
          <w:rFonts w:hint="eastAsia" w:asciiTheme="minorEastAsia" w:hAnsi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支付违约金3000元；违约金不足以弥补</w:t>
      </w:r>
      <w:r>
        <w:rPr>
          <w:rFonts w:hint="eastAsia" w:asciiTheme="minorEastAsia" w:hAnsi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损失的，由</w:t>
      </w:r>
      <w:r>
        <w:rPr>
          <w:rFonts w:hint="eastAsia" w:asciiTheme="minorEastAsia" w:hAnsi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另行进行赔偿，</w:t>
      </w:r>
      <w:r>
        <w:rPr>
          <w:rFonts w:hint="eastAsia" w:asciiTheme="minorEastAsia" w:hAnsi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损失范围包括但不限于：</w:t>
      </w:r>
      <w:r>
        <w:rPr>
          <w:rFonts w:hint="eastAsia" w:asciiTheme="minorEastAsia" w:hAnsi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实际经济损失、律师费、调查费、采取补救措施所引起的所有费用和损失、</w:t>
      </w:r>
      <w:r>
        <w:rPr>
          <w:rFonts w:hint="eastAsia" w:asciiTheme="minorEastAsia" w:hAnsi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及其泄密对象因违约行为的获益等。</w:t>
      </w:r>
    </w:p>
    <w:p w14:paraId="4F8B27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kern w:val="2"/>
          <w:sz w:val="24"/>
          <w:szCs w:val="24"/>
          <w:lang w:val="en-US" w:eastAsia="zh-CN" w:bidi="ar-SA"/>
        </w:rPr>
        <w:t>(9)</w:t>
      </w:r>
      <w:r>
        <w:rPr>
          <w:rFonts w:hint="eastAsia" w:asciiTheme="minorEastAsia" w:hAnsi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必须无条件满足医院紧急及特殊的陪护需求，并采取多项措施安排或储备足够的陪护人员，在1日内安排陪护人员提供服务。</w:t>
      </w:r>
    </w:p>
    <w:p w14:paraId="549C45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kern w:val="2"/>
          <w:sz w:val="24"/>
          <w:szCs w:val="24"/>
          <w:lang w:val="en-US" w:eastAsia="zh-CN" w:bidi="ar-SA"/>
        </w:rPr>
        <w:t>(10)</w:t>
      </w:r>
      <w:r>
        <w:rPr>
          <w:rFonts w:hint="eastAsia" w:asciiTheme="minorEastAsia" w:hAnsiTheme="minorEastAsia" w:eastAsiaTheme="minorEastAsia" w:cstheme="minorEastAsia"/>
          <w:sz w:val="24"/>
          <w:szCs w:val="24"/>
          <w:highlight w:val="none"/>
        </w:rPr>
        <w:t>若</w:t>
      </w:r>
      <w:r>
        <w:rPr>
          <w:rFonts w:hint="eastAsia" w:asciiTheme="minorEastAsia" w:hAnsi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更换陪护管理人员，需提前7个工作日书面告知医院，经职能部门审核批复后方可更换管理人员。</w:t>
      </w:r>
    </w:p>
    <w:p w14:paraId="5579B4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kern w:val="2"/>
          <w:sz w:val="24"/>
          <w:szCs w:val="24"/>
          <w:lang w:val="en-US" w:eastAsia="zh-CN" w:bidi="ar-SA"/>
        </w:rPr>
        <w:t>(11)</w:t>
      </w:r>
      <w:r>
        <w:rPr>
          <w:rFonts w:hint="eastAsia" w:asciiTheme="minorEastAsia" w:hAnsi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须确保陪护团队积极配合我院“三基三严”“心肺复苏”等相关培训工作。</w:t>
      </w:r>
    </w:p>
    <w:p w14:paraId="40B56B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kern w:val="2"/>
          <w:sz w:val="24"/>
          <w:szCs w:val="24"/>
          <w:lang w:val="en-US" w:eastAsia="zh-CN" w:bidi="ar-SA"/>
        </w:rPr>
        <w:t>(12)</w:t>
      </w:r>
      <w:r>
        <w:rPr>
          <w:rFonts w:hint="eastAsia" w:asciiTheme="minorEastAsia" w:hAnsiTheme="minorEastAsia" w:eastAsiaTheme="minorEastAsia" w:cstheme="minorEastAsia"/>
          <w:sz w:val="24"/>
          <w:szCs w:val="24"/>
          <w:highlight w:val="none"/>
        </w:rPr>
        <w:t>因管理不善、服务不规范导致的服务纠纷和事故或由此引起的其他事件，由</w:t>
      </w:r>
      <w:r>
        <w:rPr>
          <w:rFonts w:hint="eastAsia" w:asciiTheme="minorEastAsia" w:hAnsi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承担全部责任。</w:t>
      </w:r>
      <w:r>
        <w:rPr>
          <w:rFonts w:hint="eastAsia" w:asciiTheme="minorEastAsia" w:hAnsi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 xml:space="preserve">及其陪护人员不得向患者及家属散播不利于医院的信息。 </w:t>
      </w:r>
    </w:p>
    <w:p w14:paraId="715EB4D8">
      <w:pPr>
        <w:keepNext w:val="0"/>
        <w:keepLines w:val="0"/>
        <w:pageBreakBefore w:val="0"/>
        <w:widowControl w:val="0"/>
        <w:kinsoku/>
        <w:wordWrap/>
        <w:overflowPunct/>
        <w:topLinePunct w:val="0"/>
        <w:autoSpaceDE/>
        <w:autoSpaceDN/>
        <w:bidi w:val="0"/>
        <w:adjustRightInd/>
        <w:snapToGrid/>
        <w:spacing w:line="360" w:lineRule="auto"/>
        <w:ind w:left="420" w:firstLine="0" w:firstLineChars="0"/>
        <w:textAlignment w:val="auto"/>
        <w:rPr>
          <w:rFonts w:hint="eastAsia"/>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color w:val="666666"/>
          <w:sz w:val="24"/>
          <w:szCs w:val="24"/>
          <w:highlight w:val="none"/>
          <w:shd w:val="clear" w:color="auto" w:fill="FFFFFF"/>
        </w:rPr>
        <w:t>▲</w:t>
      </w:r>
      <w:r>
        <w:rPr>
          <w:rFonts w:hint="eastAsia" w:asciiTheme="minorEastAsia" w:hAnsiTheme="minorEastAsia" w:eastAsiaTheme="minorEastAsia" w:cstheme="minorEastAsia"/>
          <w:sz w:val="24"/>
          <w:szCs w:val="24"/>
          <w:highlight w:val="none"/>
        </w:rPr>
        <w:t>服务范围和内容</w:t>
      </w:r>
    </w:p>
    <w:p w14:paraId="445732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highlight w:val="none"/>
        </w:rPr>
        <w:t>从事简单的病人的日常生活照顾，为病人打开水，协助病人更换（加减）衣服、洗漱、梳头、剪指甲、翻身、分领饭菜、进餐、递送大小便器、倾倒排泄物，必要时协助患者特殊活动。</w:t>
      </w:r>
    </w:p>
    <w:p w14:paraId="12A0EA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rPr>
        <w:t xml:space="preserve">全天对有需要的病人进行非专业技术的生活照顾，维护患者安全，避免患者发生误吸、跌倒、坠床、脱管、院内压疮、走失、自伤、自杀等不良事件。 </w:t>
      </w:r>
    </w:p>
    <w:p w14:paraId="3E017E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sz w:val="24"/>
          <w:szCs w:val="24"/>
        </w:rPr>
        <w:t xml:space="preserve">整理病床单位，保持床单位清洁有序、无渣无皱褶无杂物；脏被服及时更换；床边桌物品摆放整齐，床下无便盆、尿壶等，无杂物，保持备用状态。 </w:t>
      </w:r>
    </w:p>
    <w:p w14:paraId="26696E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(4)</w:t>
      </w:r>
      <w:r>
        <w:rPr>
          <w:rFonts w:hint="eastAsia" w:asciiTheme="minorEastAsia" w:hAnsiTheme="minorEastAsia" w:eastAsiaTheme="minorEastAsia" w:cstheme="minorEastAsia"/>
          <w:sz w:val="24"/>
          <w:szCs w:val="24"/>
        </w:rPr>
        <w:t xml:space="preserve">协助病人打开水、分领饭菜、协助病人进食和进食后的清洁，及时清洗餐具并收纳。 </w:t>
      </w:r>
    </w:p>
    <w:p w14:paraId="175B24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default" w:asciiTheme="minorEastAsia" w:hAnsiTheme="minorEastAsia" w:eastAsiaTheme="minorEastAsia" w:cstheme="minorEastAsia"/>
          <w:kern w:val="2"/>
          <w:sz w:val="24"/>
          <w:szCs w:val="24"/>
          <w:lang w:val="en-US" w:eastAsia="zh-CN" w:bidi="ar-SA"/>
        </w:rPr>
        <w:t>(5)</w:t>
      </w:r>
      <w:r>
        <w:rPr>
          <w:rFonts w:hint="eastAsia" w:asciiTheme="minorEastAsia" w:hAnsiTheme="minorEastAsia" w:eastAsiaTheme="minorEastAsia" w:cstheme="minorEastAsia"/>
          <w:sz w:val="24"/>
          <w:szCs w:val="24"/>
          <w:highlight w:val="none"/>
        </w:rPr>
        <w:t xml:space="preserve">每半天一次巡视病房，给予病人主动和及时的生活照顾，发现特殊情况立即报告护士。 </w:t>
      </w:r>
    </w:p>
    <w:p w14:paraId="5C2D20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(6)</w:t>
      </w:r>
      <w:r>
        <w:rPr>
          <w:rFonts w:hint="eastAsia" w:asciiTheme="minorEastAsia" w:hAnsiTheme="minorEastAsia" w:eastAsiaTheme="minorEastAsia" w:cstheme="minorEastAsia"/>
          <w:sz w:val="24"/>
          <w:szCs w:val="24"/>
        </w:rPr>
        <w:t>协助护士做好晨晚间护理，每日早、晚协助患者洗脸、刷牙（漱口）、擦身、翻身、依从护士指导按摩、洗头、梳头、更衣、物理降温。</w:t>
      </w:r>
    </w:p>
    <w:p w14:paraId="2F4D31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(7)</w:t>
      </w:r>
      <w:r>
        <w:rPr>
          <w:rFonts w:hint="eastAsia" w:asciiTheme="minorEastAsia" w:hAnsiTheme="minorEastAsia" w:eastAsiaTheme="minorEastAsia" w:cstheme="minorEastAsia"/>
          <w:sz w:val="24"/>
          <w:szCs w:val="24"/>
        </w:rPr>
        <w:t>每日为病人剪指（趾）甲，为男病人刮胡须；协助递送大小便器，便后及时倾倒清洗，保持房间、卫生间无异味；大小便后及时清洗臀部和清理床单位，保持臀部干洁及床单位整洁。</w:t>
      </w:r>
    </w:p>
    <w:p w14:paraId="5A55E5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(8)</w:t>
      </w:r>
      <w:r>
        <w:rPr>
          <w:rFonts w:hint="eastAsia" w:asciiTheme="minorEastAsia" w:hAnsiTheme="minorEastAsia" w:eastAsiaTheme="minorEastAsia" w:cstheme="minorEastAsia"/>
          <w:sz w:val="24"/>
          <w:szCs w:val="24"/>
        </w:rPr>
        <w:t xml:space="preserve">经医护人员指导和同意，协助病人在病区内进行适当的活动。 </w:t>
      </w:r>
    </w:p>
    <w:p w14:paraId="6CBCF4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(9)</w:t>
      </w:r>
      <w:r>
        <w:rPr>
          <w:rFonts w:hint="eastAsia" w:asciiTheme="minorEastAsia" w:hAnsiTheme="minorEastAsia" w:eastAsiaTheme="minorEastAsia" w:cstheme="minorEastAsia"/>
          <w:sz w:val="24"/>
          <w:szCs w:val="24"/>
        </w:rPr>
        <w:t xml:space="preserve">安全护送病人出科检查、治疗、会诊，并安全护送回病房。护送病人转科、出院。 </w:t>
      </w:r>
    </w:p>
    <w:p w14:paraId="2E2D12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(10)</w:t>
      </w:r>
      <w:r>
        <w:rPr>
          <w:rFonts w:hint="eastAsia" w:asciiTheme="minorEastAsia" w:hAnsiTheme="minorEastAsia" w:eastAsiaTheme="minorEastAsia" w:cstheme="minorEastAsia"/>
          <w:sz w:val="24"/>
          <w:szCs w:val="24"/>
        </w:rPr>
        <w:t xml:space="preserve">发现可疑人员要进行询问，发现病人出走、观察到患者情绪异常或病情变化等异常情况，要及时报告给医护人员。 </w:t>
      </w:r>
    </w:p>
    <w:p w14:paraId="05317E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(11)</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应按医院要求为有需要的孕妇提供免费基础帮忙教学服务，提供有偿月嫂服务。</w:t>
      </w:r>
    </w:p>
    <w:p w14:paraId="782431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(12)</w:t>
      </w:r>
      <w:r>
        <w:rPr>
          <w:rFonts w:hint="eastAsia" w:asciiTheme="minorEastAsia" w:hAnsiTheme="minorEastAsia" w:eastAsiaTheme="minorEastAsia" w:cstheme="minorEastAsia"/>
          <w:sz w:val="24"/>
          <w:szCs w:val="24"/>
        </w:rPr>
        <w:t>陪护人员应在力所能及的范围内协助科室完成部分日常工作, 如：整理床单位、发病人服、打热水等非医疗工作。</w:t>
      </w:r>
    </w:p>
    <w:p w14:paraId="042886C2">
      <w:pPr>
        <w:keepNext w:val="0"/>
        <w:keepLines w:val="0"/>
        <w:pageBreakBefore w:val="0"/>
        <w:widowControl w:val="0"/>
        <w:kinsoku/>
        <w:wordWrap/>
        <w:overflowPunct/>
        <w:topLinePunct w:val="0"/>
        <w:autoSpaceDE/>
        <w:autoSpaceDN/>
        <w:bidi w:val="0"/>
        <w:adjustRightInd/>
        <w:snapToGrid/>
        <w:spacing w:line="360" w:lineRule="auto"/>
        <w:ind w:left="420" w:firstLine="0" w:firstLine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陪护服务标准</w:t>
      </w:r>
    </w:p>
    <w:p w14:paraId="507CFB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sz w:val="24"/>
          <w:szCs w:val="24"/>
        </w:rPr>
        <w:t>医院有权监督</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院内陪护团队人员，每月对</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的服务质量和服务水平等进行测评，考核小组由临床科室、相关职能部门组成。考核总分为100分，如考核评分低于85分（不含），每低1分医院对</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予以500元/分扣除违约金，</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须在次月缴纳罚款到医院账户。考评连续二个月以上低于85分（不含），下发整改通知，限期一个月整改，复查不合格（低于85分）终止合同。陪护服务质量考评方案包括每月临床科室满意度评价和每周职能监管部门巡查评价两部分。每月陪护项目主管须对展开陪护服务的临床科室开展满意度评价（百分制，见附件1陪护服务质量满意度调查表），所得平均分作为该月陪护考评基础分。每周职能监管部门对在册陪护人员进行现场督查，如有扣分项，直接在陪护考评基础分上做扣减（见附件2陪护服务质量巡查登记表）。</w:t>
      </w:r>
    </w:p>
    <w:p w14:paraId="3686EE5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14:paraId="4636CA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sz w:val="24"/>
          <w:szCs w:val="24"/>
        </w:rPr>
        <w:t>附件1陪护服务质量满意度调查表：</w:t>
      </w:r>
    </w:p>
    <w:p w14:paraId="264DF98D">
      <w:pPr>
        <w:ind w:firstLine="723"/>
        <w:jc w:val="center"/>
        <w:rPr>
          <w:rFonts w:ascii="宋体" w:hAnsi="宋体" w:cs="宋体"/>
          <w:b/>
          <w:bCs/>
          <w:color w:val="000000"/>
          <w:kern w:val="0"/>
          <w:sz w:val="36"/>
          <w:szCs w:val="36"/>
          <w:lang w:bidi="ar"/>
        </w:rPr>
      </w:pPr>
      <w:r>
        <w:rPr>
          <w:rFonts w:hint="eastAsia" w:ascii="宋体" w:hAnsi="宋体" w:cs="宋体"/>
          <w:b/>
          <w:bCs/>
          <w:color w:val="000000"/>
          <w:kern w:val="0"/>
          <w:sz w:val="36"/>
          <w:szCs w:val="36"/>
          <w:lang w:bidi="ar"/>
        </w:rPr>
        <w:t>陪护服务质量满意度调查表</w:t>
      </w:r>
    </w:p>
    <w:p w14:paraId="385D458A">
      <w:pPr>
        <w:ind w:firstLine="643"/>
        <w:jc w:val="center"/>
        <w:rPr>
          <w:rFonts w:ascii="宋体" w:hAnsi="宋体" w:eastAsia="宋体" w:cs="宋体"/>
          <w:b/>
          <w:bCs/>
          <w:color w:val="000000"/>
          <w:kern w:val="0"/>
          <w:sz w:val="32"/>
          <w:szCs w:val="32"/>
          <w:lang w:bidi="ar"/>
        </w:rPr>
      </w:pPr>
      <w:r>
        <w:rPr>
          <w:rFonts w:hint="eastAsia" w:ascii="宋体" w:hAnsi="宋体" w:cs="宋体"/>
          <w:b/>
          <w:bCs/>
          <w:color w:val="000000"/>
          <w:kern w:val="0"/>
          <w:sz w:val="32"/>
          <w:szCs w:val="32"/>
          <w:lang w:bidi="ar"/>
        </w:rPr>
        <w:t>（临床科室填写）</w:t>
      </w:r>
    </w:p>
    <w:p w14:paraId="26C83992">
      <w:pPr>
        <w:ind w:firstLine="480"/>
        <w:rPr>
          <w:rFonts w:ascii="宋体" w:hAnsi="宋体" w:eastAsia="宋体" w:cs="宋体"/>
          <w:color w:val="000000"/>
          <w:kern w:val="0"/>
          <w:sz w:val="24"/>
          <w:szCs w:val="24"/>
          <w:lang w:bidi="ar"/>
        </w:rPr>
      </w:pPr>
      <w:r>
        <w:rPr>
          <w:rFonts w:hint="eastAsia" w:ascii="宋体" w:hAnsi="宋体" w:cs="宋体"/>
          <w:color w:val="000000"/>
          <w:kern w:val="0"/>
          <w:sz w:val="24"/>
          <w:szCs w:val="24"/>
          <w:lang w:bidi="ar"/>
        </w:rPr>
        <w:t>科室：</w:t>
      </w:r>
      <w:r>
        <w:rPr>
          <w:rFonts w:ascii="宋体" w:hAnsi="宋体" w:cs="宋体"/>
          <w:color w:val="000000"/>
          <w:kern w:val="0"/>
          <w:sz w:val="24"/>
          <w:szCs w:val="24"/>
          <w:lang w:bidi="ar"/>
        </w:rPr>
        <w:t xml:space="preserve">            </w:t>
      </w:r>
      <w:r>
        <w:rPr>
          <w:rFonts w:hint="eastAsia" w:ascii="宋体" w:hAnsi="宋体" w:cs="宋体"/>
          <w:color w:val="000000"/>
          <w:kern w:val="0"/>
          <w:sz w:val="24"/>
          <w:szCs w:val="24"/>
          <w:lang w:bidi="ar"/>
        </w:rPr>
        <w:t xml:space="preserve">                               </w:t>
      </w:r>
      <w:r>
        <w:rPr>
          <w:rFonts w:ascii="宋体" w:hAnsi="宋体" w:cs="宋体"/>
          <w:color w:val="000000"/>
          <w:kern w:val="0"/>
          <w:sz w:val="24"/>
          <w:szCs w:val="24"/>
          <w:lang w:bidi="ar"/>
        </w:rPr>
        <w:t xml:space="preserve">          </w:t>
      </w:r>
      <w:r>
        <w:rPr>
          <w:rFonts w:hint="eastAsia" w:ascii="宋体" w:hAnsi="宋体" w:cs="宋体"/>
          <w:color w:val="000000"/>
          <w:kern w:val="0"/>
          <w:sz w:val="24"/>
          <w:szCs w:val="24"/>
          <w:lang w:bidi="ar"/>
        </w:rPr>
        <w:t xml:space="preserve">日期： </w:t>
      </w:r>
      <w:r>
        <w:rPr>
          <w:rFonts w:ascii="宋体" w:hAnsi="宋体" w:cs="宋体"/>
          <w:color w:val="000000"/>
          <w:kern w:val="0"/>
          <w:sz w:val="24"/>
          <w:szCs w:val="24"/>
          <w:lang w:bidi="ar"/>
        </w:rPr>
        <w:t xml:space="preserve">   </w:t>
      </w:r>
      <w:r>
        <w:rPr>
          <w:rFonts w:hint="eastAsia" w:ascii="宋体" w:hAnsi="宋体" w:cs="宋体"/>
          <w:color w:val="000000"/>
          <w:kern w:val="0"/>
          <w:sz w:val="24"/>
          <w:szCs w:val="24"/>
          <w:lang w:bidi="ar"/>
        </w:rPr>
        <w:t xml:space="preserve">年 </w:t>
      </w:r>
      <w:r>
        <w:rPr>
          <w:rFonts w:ascii="宋体" w:hAnsi="宋体" w:cs="宋体"/>
          <w:color w:val="000000"/>
          <w:kern w:val="0"/>
          <w:sz w:val="24"/>
          <w:szCs w:val="24"/>
          <w:lang w:bidi="ar"/>
        </w:rPr>
        <w:t xml:space="preserve">     </w:t>
      </w:r>
      <w:r>
        <w:rPr>
          <w:rFonts w:hint="eastAsia" w:ascii="宋体" w:hAnsi="宋体" w:cs="宋体"/>
          <w:color w:val="000000"/>
          <w:kern w:val="0"/>
          <w:sz w:val="24"/>
          <w:szCs w:val="24"/>
          <w:lang w:bidi="ar"/>
        </w:rPr>
        <w:t xml:space="preserve">月                 </w:t>
      </w:r>
    </w:p>
    <w:tbl>
      <w:tblPr>
        <w:tblStyle w:val="14"/>
        <w:tblpPr w:leftFromText="180" w:rightFromText="180" w:vertAnchor="text" w:horzAnchor="page" w:tblpX="1244" w:tblpY="307"/>
        <w:tblOverlap w:val="never"/>
        <w:tblW w:w="9392"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41"/>
        <w:gridCol w:w="3517"/>
        <w:gridCol w:w="4734"/>
      </w:tblGrid>
      <w:tr w14:paraId="6E205EB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476" w:hRule="atLeast"/>
        </w:trPr>
        <w:tc>
          <w:tcPr>
            <w:tcW w:w="1141" w:type="dxa"/>
            <w:tcBorders>
              <w:bottom w:val="dotted" w:color="000000" w:sz="4" w:space="0"/>
            </w:tcBorders>
            <w:shd w:val="clear" w:color="auto" w:fill="F1F1F1" w:themeFill="background1" w:themeFillShade="F2"/>
            <w:tcMar>
              <w:top w:w="15" w:type="dxa"/>
              <w:left w:w="15" w:type="dxa"/>
              <w:right w:w="15" w:type="dxa"/>
            </w:tcMar>
            <w:vAlign w:val="center"/>
          </w:tcPr>
          <w:p w14:paraId="2F8E5B3F">
            <w:pPr>
              <w:widowControl/>
              <w:ind w:firstLine="48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分类</w:t>
            </w:r>
          </w:p>
        </w:tc>
        <w:tc>
          <w:tcPr>
            <w:tcW w:w="3517" w:type="dxa"/>
            <w:tcBorders>
              <w:bottom w:val="dotted" w:color="000000" w:sz="4" w:space="0"/>
            </w:tcBorders>
            <w:shd w:val="clear" w:color="auto" w:fill="F1F1F1" w:themeFill="background1" w:themeFillShade="F2"/>
            <w:tcMar>
              <w:top w:w="15" w:type="dxa"/>
              <w:left w:w="15" w:type="dxa"/>
              <w:right w:w="15" w:type="dxa"/>
            </w:tcMar>
            <w:vAlign w:val="center"/>
          </w:tcPr>
          <w:p w14:paraId="12535787">
            <w:pPr>
              <w:widowControl/>
              <w:ind w:firstLine="48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内容</w:t>
            </w:r>
          </w:p>
        </w:tc>
        <w:tc>
          <w:tcPr>
            <w:tcW w:w="4734" w:type="dxa"/>
            <w:tcBorders>
              <w:bottom w:val="dotted" w:color="000000" w:sz="4" w:space="0"/>
            </w:tcBorders>
            <w:shd w:val="clear" w:color="auto" w:fill="F1F1F1" w:themeFill="background1" w:themeFillShade="F2"/>
            <w:tcMar>
              <w:top w:w="15" w:type="dxa"/>
              <w:left w:w="15" w:type="dxa"/>
              <w:right w:w="15" w:type="dxa"/>
            </w:tcMar>
            <w:vAlign w:val="center"/>
          </w:tcPr>
          <w:p w14:paraId="3004E39D">
            <w:pPr>
              <w:widowControl/>
              <w:ind w:firstLine="480"/>
              <w:jc w:val="center"/>
              <w:textAlignment w:val="center"/>
              <w:rPr>
                <w:rFonts w:ascii="宋体" w:hAnsi="宋体" w:cs="宋体"/>
                <w:color w:val="000000"/>
                <w:sz w:val="24"/>
                <w:szCs w:val="24"/>
              </w:rPr>
            </w:pPr>
            <w:r>
              <w:rPr>
                <w:rFonts w:hint="eastAsia" w:ascii="宋体" w:hAnsi="宋体" w:cs="宋体"/>
                <w:color w:val="000000"/>
                <w:sz w:val="24"/>
                <w:szCs w:val="24"/>
              </w:rPr>
              <w:t>评分数值1-5分</w:t>
            </w:r>
          </w:p>
        </w:tc>
      </w:tr>
      <w:tr w14:paraId="25BC9EF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restart"/>
            <w:tcBorders>
              <w:top w:val="dotted" w:color="000000" w:sz="4" w:space="0"/>
              <w:bottom w:val="dotted" w:color="000000" w:sz="4" w:space="0"/>
            </w:tcBorders>
            <w:shd w:val="clear" w:color="auto" w:fill="auto"/>
            <w:tcMar>
              <w:top w:w="15" w:type="dxa"/>
              <w:left w:w="15" w:type="dxa"/>
              <w:right w:w="15" w:type="dxa"/>
            </w:tcMar>
            <w:vAlign w:val="center"/>
          </w:tcPr>
          <w:p w14:paraId="5B936CEB">
            <w:pPr>
              <w:widowControl/>
              <w:ind w:firstLine="440"/>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礼仪</w:t>
            </w:r>
          </w:p>
          <w:p w14:paraId="7D4F6E56">
            <w:pPr>
              <w:widowControl/>
              <w:ind w:firstLine="440"/>
              <w:jc w:val="center"/>
              <w:textAlignment w:val="center"/>
              <w:rPr>
                <w:rFonts w:ascii="宋体" w:hAnsi="宋体" w:eastAsia="宋体" w:cs="宋体"/>
                <w:color w:val="000000"/>
                <w:sz w:val="22"/>
              </w:rPr>
            </w:pPr>
            <w:r>
              <w:rPr>
                <w:rFonts w:hint="eastAsia" w:ascii="宋体" w:hAnsi="宋体" w:cs="宋体"/>
                <w:color w:val="000000"/>
                <w:kern w:val="0"/>
                <w:sz w:val="22"/>
                <w:lang w:bidi="ar"/>
              </w:rPr>
              <w:t>规范</w:t>
            </w:r>
          </w:p>
        </w:tc>
        <w:tc>
          <w:tcPr>
            <w:tcW w:w="3517" w:type="dxa"/>
            <w:tcBorders>
              <w:top w:val="dotted" w:color="000000" w:sz="4" w:space="0"/>
              <w:bottom w:val="dotted" w:color="000000" w:sz="4" w:space="0"/>
            </w:tcBorders>
            <w:shd w:val="clear" w:color="auto" w:fill="FFFFFF"/>
            <w:tcMar>
              <w:top w:w="15" w:type="dxa"/>
              <w:left w:w="15" w:type="dxa"/>
              <w:right w:w="15" w:type="dxa"/>
            </w:tcMar>
            <w:vAlign w:val="center"/>
          </w:tcPr>
          <w:p w14:paraId="7FBA7FB2">
            <w:pPr>
              <w:widowControl/>
              <w:ind w:firstLine="1100" w:firstLineChars="500"/>
              <w:jc w:val="left"/>
              <w:textAlignment w:val="center"/>
              <w:rPr>
                <w:rFonts w:ascii="宋体" w:hAnsi="宋体" w:cs="宋体"/>
                <w:color w:val="000000"/>
                <w:sz w:val="22"/>
              </w:rPr>
            </w:pPr>
            <w:r>
              <w:rPr>
                <w:rFonts w:hint="eastAsia" w:ascii="宋体" w:hAnsi="宋体" w:cs="宋体"/>
                <w:color w:val="000000"/>
                <w:kern w:val="0"/>
                <w:sz w:val="22"/>
                <w:lang w:bidi="ar"/>
              </w:rPr>
              <w:t>1.仪容仪表</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3D4EDA80">
            <w:pPr>
              <w:ind w:firstLine="440"/>
              <w:jc w:val="center"/>
              <w:rPr>
                <w:rFonts w:ascii="宋体" w:hAnsi="宋体" w:cs="宋体"/>
                <w:color w:val="000000"/>
                <w:sz w:val="22"/>
              </w:rPr>
            </w:pPr>
            <w:r>
              <w:rPr>
                <w:rFonts w:ascii="宋体" w:hAnsi="宋体" w:cs="宋体"/>
                <w:color w:val="000000"/>
                <w:sz w:val="22"/>
              </w:rPr>
              <w:t>5     4     3     2     1</w:t>
            </w:r>
          </w:p>
        </w:tc>
      </w:tr>
      <w:tr w14:paraId="09D4CF4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continue"/>
            <w:tcBorders>
              <w:top w:val="dotted" w:color="000000" w:sz="4" w:space="0"/>
              <w:bottom w:val="dotted" w:color="000000" w:sz="4" w:space="0"/>
            </w:tcBorders>
            <w:shd w:val="clear" w:color="auto" w:fill="auto"/>
            <w:tcMar>
              <w:top w:w="15" w:type="dxa"/>
              <w:left w:w="15" w:type="dxa"/>
              <w:right w:w="15" w:type="dxa"/>
            </w:tcMar>
            <w:vAlign w:val="center"/>
          </w:tcPr>
          <w:p w14:paraId="1B5F1492">
            <w:pPr>
              <w:ind w:firstLine="440"/>
              <w:jc w:val="center"/>
              <w:rPr>
                <w:rFonts w:ascii="宋体" w:hAnsi="宋体" w:cs="宋体"/>
                <w:color w:val="000000"/>
                <w:sz w:val="22"/>
              </w:rPr>
            </w:pPr>
          </w:p>
        </w:tc>
        <w:tc>
          <w:tcPr>
            <w:tcW w:w="3517" w:type="dxa"/>
            <w:tcBorders>
              <w:top w:val="dotted" w:color="000000" w:sz="4" w:space="0"/>
              <w:bottom w:val="dotted" w:color="000000" w:sz="4" w:space="0"/>
            </w:tcBorders>
            <w:shd w:val="clear" w:color="auto" w:fill="FFFFFF"/>
            <w:tcMar>
              <w:top w:w="15" w:type="dxa"/>
              <w:left w:w="15" w:type="dxa"/>
              <w:right w:w="15" w:type="dxa"/>
            </w:tcMar>
            <w:vAlign w:val="center"/>
          </w:tcPr>
          <w:p w14:paraId="4BA25F9C">
            <w:pPr>
              <w:widowControl/>
              <w:ind w:firstLine="1100" w:firstLineChars="500"/>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2.文明礼貌</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10A0F7CC">
            <w:pPr>
              <w:ind w:firstLine="440"/>
              <w:jc w:val="center"/>
              <w:rPr>
                <w:rFonts w:ascii="宋体" w:hAnsi="宋体" w:cs="宋体"/>
                <w:color w:val="000000"/>
                <w:sz w:val="22"/>
              </w:rPr>
            </w:pPr>
            <w:r>
              <w:rPr>
                <w:rFonts w:ascii="宋体" w:hAnsi="宋体" w:cs="宋体"/>
                <w:color w:val="000000"/>
                <w:sz w:val="22"/>
              </w:rPr>
              <w:t>5     4     3     2     1</w:t>
            </w:r>
          </w:p>
        </w:tc>
      </w:tr>
      <w:tr w14:paraId="313F04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restart"/>
            <w:tcBorders>
              <w:top w:val="dotted" w:color="000000" w:sz="4" w:space="0"/>
              <w:bottom w:val="dotted" w:color="000000" w:sz="4" w:space="0"/>
            </w:tcBorders>
            <w:shd w:val="clear" w:color="auto" w:fill="auto"/>
            <w:tcMar>
              <w:top w:w="15" w:type="dxa"/>
              <w:left w:w="15" w:type="dxa"/>
              <w:right w:w="15" w:type="dxa"/>
            </w:tcMar>
            <w:vAlign w:val="center"/>
          </w:tcPr>
          <w:p w14:paraId="3E5BC52D">
            <w:pPr>
              <w:widowControl/>
              <w:ind w:firstLine="440"/>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劳动</w:t>
            </w:r>
          </w:p>
          <w:p w14:paraId="513A4AFC">
            <w:pPr>
              <w:widowControl/>
              <w:ind w:firstLine="440"/>
              <w:jc w:val="center"/>
              <w:textAlignment w:val="center"/>
              <w:rPr>
                <w:rFonts w:ascii="宋体" w:hAnsi="宋体" w:cs="宋体"/>
                <w:color w:val="000000"/>
                <w:sz w:val="22"/>
              </w:rPr>
            </w:pPr>
            <w:r>
              <w:rPr>
                <w:rFonts w:hint="eastAsia" w:ascii="宋体" w:hAnsi="宋体" w:cs="宋体"/>
                <w:color w:val="000000"/>
                <w:kern w:val="0"/>
                <w:sz w:val="22"/>
                <w:lang w:bidi="ar"/>
              </w:rPr>
              <w:t>纪律</w:t>
            </w:r>
          </w:p>
        </w:tc>
        <w:tc>
          <w:tcPr>
            <w:tcW w:w="3517" w:type="dxa"/>
            <w:tcBorders>
              <w:top w:val="dotted" w:color="000000" w:sz="4" w:space="0"/>
              <w:bottom w:val="dotted" w:color="000000" w:sz="4" w:space="0"/>
            </w:tcBorders>
            <w:shd w:val="clear" w:color="auto" w:fill="FFFFFF"/>
            <w:tcMar>
              <w:top w:w="15" w:type="dxa"/>
              <w:left w:w="15" w:type="dxa"/>
              <w:right w:w="15" w:type="dxa"/>
            </w:tcMar>
            <w:vAlign w:val="center"/>
          </w:tcPr>
          <w:p w14:paraId="5B394924">
            <w:pPr>
              <w:widowControl/>
              <w:ind w:firstLine="1100" w:firstLineChars="500"/>
              <w:jc w:val="left"/>
              <w:textAlignment w:val="center"/>
              <w:rPr>
                <w:rFonts w:ascii="宋体" w:hAnsi="宋体" w:cs="宋体"/>
                <w:color w:val="000000"/>
                <w:sz w:val="22"/>
              </w:rPr>
            </w:pPr>
            <w:r>
              <w:rPr>
                <w:rFonts w:hint="eastAsia" w:ascii="宋体" w:hAnsi="宋体" w:cs="宋体"/>
                <w:color w:val="000000"/>
                <w:kern w:val="0"/>
                <w:sz w:val="22"/>
                <w:lang w:bidi="ar"/>
              </w:rPr>
              <w:t>1.</w:t>
            </w:r>
            <w:r>
              <w:rPr>
                <w:rFonts w:hint="eastAsia" w:ascii="宋体" w:hAnsi="宋体" w:cs="宋体"/>
                <w:color w:val="000000"/>
                <w:sz w:val="22"/>
              </w:rPr>
              <w:t>在岗在位</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53D2868B">
            <w:pPr>
              <w:ind w:firstLine="440"/>
              <w:jc w:val="center"/>
              <w:rPr>
                <w:rFonts w:ascii="宋体" w:hAnsi="宋体" w:cs="宋体"/>
                <w:color w:val="000000"/>
                <w:sz w:val="22"/>
              </w:rPr>
            </w:pPr>
            <w:r>
              <w:rPr>
                <w:rFonts w:ascii="宋体" w:hAnsi="宋体" w:cs="宋体"/>
                <w:color w:val="000000"/>
                <w:sz w:val="22"/>
              </w:rPr>
              <w:t>5     4     3     2     1</w:t>
            </w:r>
          </w:p>
        </w:tc>
      </w:tr>
      <w:tr w14:paraId="5C4E163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continue"/>
            <w:tcBorders>
              <w:top w:val="dotted" w:color="000000" w:sz="4" w:space="0"/>
              <w:bottom w:val="dotted" w:color="000000" w:sz="4" w:space="0"/>
            </w:tcBorders>
            <w:shd w:val="clear" w:color="auto" w:fill="auto"/>
            <w:tcMar>
              <w:top w:w="15" w:type="dxa"/>
              <w:left w:w="15" w:type="dxa"/>
              <w:right w:w="15" w:type="dxa"/>
            </w:tcMar>
            <w:vAlign w:val="center"/>
          </w:tcPr>
          <w:p w14:paraId="5712EE27">
            <w:pPr>
              <w:ind w:firstLine="440"/>
              <w:jc w:val="center"/>
              <w:rPr>
                <w:rFonts w:ascii="宋体" w:hAnsi="宋体" w:cs="宋体"/>
                <w:color w:val="000000"/>
                <w:sz w:val="22"/>
              </w:rPr>
            </w:pPr>
          </w:p>
        </w:tc>
        <w:tc>
          <w:tcPr>
            <w:tcW w:w="3517" w:type="dxa"/>
            <w:tcBorders>
              <w:top w:val="dotted" w:color="000000" w:sz="4" w:space="0"/>
              <w:bottom w:val="dotted" w:color="000000" w:sz="4" w:space="0"/>
            </w:tcBorders>
            <w:shd w:val="clear" w:color="auto" w:fill="FFFFFF"/>
            <w:tcMar>
              <w:top w:w="15" w:type="dxa"/>
              <w:left w:w="15" w:type="dxa"/>
              <w:right w:w="15" w:type="dxa"/>
            </w:tcMar>
            <w:vAlign w:val="center"/>
          </w:tcPr>
          <w:p w14:paraId="5EBF5D8F">
            <w:pPr>
              <w:widowControl/>
              <w:ind w:firstLine="1100" w:firstLineChars="500"/>
              <w:jc w:val="left"/>
              <w:textAlignment w:val="center"/>
              <w:rPr>
                <w:rFonts w:ascii="宋体" w:hAnsi="宋体" w:cs="宋体"/>
                <w:color w:val="000000"/>
                <w:sz w:val="22"/>
              </w:rPr>
            </w:pPr>
            <w:r>
              <w:rPr>
                <w:rFonts w:ascii="宋体" w:hAnsi="宋体" w:cs="宋体"/>
                <w:color w:val="000000"/>
                <w:kern w:val="0"/>
                <w:sz w:val="22"/>
                <w:lang w:bidi="ar"/>
              </w:rPr>
              <w:t>2</w:t>
            </w:r>
            <w:r>
              <w:rPr>
                <w:rFonts w:hint="eastAsia" w:ascii="宋体" w:hAnsi="宋体" w:cs="宋体"/>
                <w:color w:val="000000"/>
                <w:kern w:val="0"/>
                <w:sz w:val="22"/>
                <w:lang w:bidi="ar"/>
              </w:rPr>
              <w:t>.遵规守纪</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6E6ED608">
            <w:pPr>
              <w:ind w:firstLine="440"/>
              <w:jc w:val="center"/>
              <w:rPr>
                <w:rFonts w:ascii="宋体" w:hAnsi="宋体" w:cs="宋体"/>
                <w:color w:val="000000"/>
                <w:sz w:val="22"/>
              </w:rPr>
            </w:pPr>
            <w:r>
              <w:rPr>
                <w:rFonts w:ascii="宋体" w:hAnsi="宋体" w:cs="宋体"/>
                <w:color w:val="000000"/>
                <w:sz w:val="22"/>
              </w:rPr>
              <w:t>5     4     3     2     1</w:t>
            </w:r>
          </w:p>
        </w:tc>
      </w:tr>
      <w:tr w14:paraId="0FFF89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restart"/>
            <w:tcBorders>
              <w:top w:val="dotted" w:color="000000" w:sz="4" w:space="0"/>
              <w:bottom w:val="dotted" w:color="000000" w:sz="4" w:space="0"/>
            </w:tcBorders>
            <w:shd w:val="clear" w:color="auto" w:fill="auto"/>
            <w:tcMar>
              <w:top w:w="15" w:type="dxa"/>
              <w:left w:w="15" w:type="dxa"/>
              <w:right w:w="15" w:type="dxa"/>
            </w:tcMar>
            <w:vAlign w:val="center"/>
          </w:tcPr>
          <w:p w14:paraId="68025784">
            <w:pPr>
              <w:widowControl/>
              <w:ind w:firstLine="440"/>
              <w:jc w:val="center"/>
              <w:textAlignment w:val="center"/>
              <w:rPr>
                <w:rFonts w:ascii="宋体" w:hAnsi="宋体" w:cs="宋体"/>
                <w:kern w:val="0"/>
                <w:sz w:val="22"/>
                <w:lang w:bidi="ar"/>
              </w:rPr>
            </w:pPr>
            <w:r>
              <w:rPr>
                <w:rFonts w:hint="eastAsia" w:ascii="宋体" w:hAnsi="宋体" w:cs="宋体"/>
                <w:kern w:val="0"/>
                <w:sz w:val="22"/>
                <w:lang w:bidi="ar"/>
              </w:rPr>
              <w:t>院感</w:t>
            </w:r>
          </w:p>
          <w:p w14:paraId="71AB6D68">
            <w:pPr>
              <w:widowControl/>
              <w:ind w:firstLine="440"/>
              <w:jc w:val="center"/>
              <w:textAlignment w:val="center"/>
              <w:rPr>
                <w:rFonts w:ascii="宋体" w:hAnsi="宋体" w:cs="宋体"/>
                <w:sz w:val="22"/>
              </w:rPr>
            </w:pPr>
            <w:r>
              <w:rPr>
                <w:rFonts w:hint="eastAsia" w:ascii="宋体" w:hAnsi="宋体" w:cs="宋体"/>
                <w:kern w:val="0"/>
                <w:sz w:val="22"/>
                <w:lang w:bidi="ar"/>
              </w:rPr>
              <w:t>意识</w:t>
            </w:r>
          </w:p>
        </w:tc>
        <w:tc>
          <w:tcPr>
            <w:tcW w:w="3517" w:type="dxa"/>
            <w:tcBorders>
              <w:top w:val="dotted" w:color="000000" w:sz="4" w:space="0"/>
              <w:bottom w:val="dotted" w:color="000000" w:sz="4" w:space="0"/>
            </w:tcBorders>
            <w:shd w:val="clear" w:color="auto" w:fill="FFFFFF"/>
            <w:tcMar>
              <w:top w:w="15" w:type="dxa"/>
              <w:left w:w="15" w:type="dxa"/>
              <w:right w:w="15" w:type="dxa"/>
            </w:tcMar>
            <w:vAlign w:val="center"/>
          </w:tcPr>
          <w:p w14:paraId="292F59C5">
            <w:pPr>
              <w:widowControl/>
              <w:ind w:firstLine="1100" w:firstLineChars="500"/>
              <w:jc w:val="left"/>
              <w:textAlignment w:val="center"/>
              <w:rPr>
                <w:rFonts w:ascii="宋体" w:hAnsi="宋体" w:cs="宋体"/>
                <w:sz w:val="22"/>
              </w:rPr>
            </w:pPr>
            <w:r>
              <w:rPr>
                <w:rFonts w:hint="eastAsia" w:ascii="宋体" w:hAnsi="宋体" w:cs="宋体"/>
                <w:kern w:val="0"/>
                <w:sz w:val="22"/>
                <w:lang w:bidi="ar"/>
              </w:rPr>
              <w:t>1.患者卫生</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0F864CB1">
            <w:pPr>
              <w:ind w:firstLine="440"/>
              <w:jc w:val="center"/>
              <w:rPr>
                <w:rFonts w:ascii="宋体" w:hAnsi="宋体" w:cs="宋体"/>
                <w:color w:val="000000"/>
                <w:sz w:val="22"/>
              </w:rPr>
            </w:pPr>
            <w:r>
              <w:rPr>
                <w:rFonts w:ascii="宋体" w:hAnsi="宋体" w:cs="宋体"/>
                <w:color w:val="000000"/>
                <w:sz w:val="22"/>
              </w:rPr>
              <w:t>5     4     3     2     1</w:t>
            </w:r>
          </w:p>
        </w:tc>
      </w:tr>
      <w:tr w14:paraId="2D769CF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continue"/>
            <w:tcBorders>
              <w:top w:val="dotted" w:color="000000" w:sz="4" w:space="0"/>
              <w:bottom w:val="dotted" w:color="000000" w:sz="4" w:space="0"/>
            </w:tcBorders>
            <w:shd w:val="clear" w:color="auto" w:fill="auto"/>
            <w:tcMar>
              <w:top w:w="15" w:type="dxa"/>
              <w:left w:w="15" w:type="dxa"/>
              <w:right w:w="15" w:type="dxa"/>
            </w:tcMar>
            <w:vAlign w:val="center"/>
          </w:tcPr>
          <w:p w14:paraId="7870A503">
            <w:pPr>
              <w:ind w:firstLine="440"/>
              <w:jc w:val="center"/>
              <w:rPr>
                <w:rFonts w:ascii="宋体" w:hAnsi="宋体" w:cs="宋体"/>
                <w:sz w:val="22"/>
              </w:rPr>
            </w:pPr>
          </w:p>
        </w:tc>
        <w:tc>
          <w:tcPr>
            <w:tcW w:w="3517" w:type="dxa"/>
            <w:tcBorders>
              <w:top w:val="dotted" w:color="000000" w:sz="4" w:space="0"/>
              <w:bottom w:val="dotted" w:color="000000" w:sz="4" w:space="0"/>
            </w:tcBorders>
            <w:shd w:val="clear" w:color="auto" w:fill="FFFFFF"/>
            <w:tcMar>
              <w:top w:w="15" w:type="dxa"/>
              <w:left w:w="15" w:type="dxa"/>
              <w:right w:w="15" w:type="dxa"/>
            </w:tcMar>
            <w:vAlign w:val="center"/>
          </w:tcPr>
          <w:p w14:paraId="7E25DC91">
            <w:pPr>
              <w:widowControl/>
              <w:ind w:firstLine="1100" w:firstLineChars="500"/>
              <w:jc w:val="left"/>
              <w:textAlignment w:val="center"/>
              <w:rPr>
                <w:rFonts w:ascii="宋体" w:hAnsi="宋体" w:eastAsia="宋体" w:cs="宋体"/>
                <w:sz w:val="22"/>
              </w:rPr>
            </w:pPr>
            <w:r>
              <w:rPr>
                <w:rFonts w:hint="eastAsia" w:ascii="宋体" w:hAnsi="宋体" w:cs="宋体"/>
                <w:kern w:val="0"/>
                <w:sz w:val="22"/>
                <w:lang w:bidi="ar"/>
              </w:rPr>
              <w:t>2.床位卫生</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79C75590">
            <w:pPr>
              <w:ind w:firstLine="440"/>
              <w:jc w:val="center"/>
              <w:rPr>
                <w:rFonts w:ascii="宋体" w:hAnsi="宋体" w:cs="宋体"/>
                <w:color w:val="000000"/>
                <w:sz w:val="22"/>
              </w:rPr>
            </w:pPr>
            <w:r>
              <w:rPr>
                <w:rFonts w:ascii="宋体" w:hAnsi="宋体" w:cs="宋体"/>
                <w:color w:val="000000"/>
                <w:sz w:val="22"/>
              </w:rPr>
              <w:t>5     4     3     2     1</w:t>
            </w:r>
          </w:p>
        </w:tc>
      </w:tr>
      <w:tr w14:paraId="3D6364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restart"/>
            <w:tcBorders>
              <w:top w:val="dotted" w:color="000000" w:sz="4" w:space="0"/>
              <w:bottom w:val="dotted" w:color="000000" w:sz="4" w:space="0"/>
            </w:tcBorders>
            <w:shd w:val="clear" w:color="auto" w:fill="auto"/>
            <w:tcMar>
              <w:top w:w="15" w:type="dxa"/>
              <w:left w:w="15" w:type="dxa"/>
              <w:right w:w="15" w:type="dxa"/>
            </w:tcMar>
            <w:vAlign w:val="center"/>
          </w:tcPr>
          <w:p w14:paraId="2ED936ED">
            <w:pPr>
              <w:widowControl/>
              <w:ind w:firstLine="440"/>
              <w:jc w:val="center"/>
              <w:textAlignment w:val="center"/>
              <w:rPr>
                <w:rFonts w:ascii="宋体" w:hAnsi="宋体" w:cs="宋体"/>
                <w:color w:val="000000"/>
                <w:kern w:val="0"/>
                <w:sz w:val="22"/>
                <w:lang w:bidi="ar"/>
              </w:rPr>
            </w:pPr>
          </w:p>
          <w:p w14:paraId="360C339E">
            <w:pPr>
              <w:widowControl/>
              <w:ind w:firstLine="440"/>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服务</w:t>
            </w:r>
          </w:p>
          <w:p w14:paraId="68DC94DC">
            <w:pPr>
              <w:widowControl/>
              <w:ind w:firstLine="440"/>
              <w:jc w:val="center"/>
              <w:textAlignment w:val="center"/>
              <w:rPr>
                <w:rFonts w:ascii="宋体" w:hAnsi="宋体" w:eastAsia="宋体" w:cs="宋体"/>
                <w:color w:val="000000"/>
                <w:sz w:val="22"/>
              </w:rPr>
            </w:pPr>
            <w:r>
              <w:rPr>
                <w:rFonts w:hint="eastAsia" w:ascii="宋体" w:hAnsi="宋体" w:cs="宋体"/>
                <w:color w:val="000000"/>
                <w:kern w:val="0"/>
                <w:sz w:val="22"/>
                <w:lang w:bidi="ar"/>
              </w:rPr>
              <w:t>质量</w:t>
            </w:r>
          </w:p>
        </w:tc>
        <w:tc>
          <w:tcPr>
            <w:tcW w:w="3517" w:type="dxa"/>
            <w:tcBorders>
              <w:top w:val="dotted" w:color="000000" w:sz="4" w:space="0"/>
              <w:bottom w:val="dotted" w:color="000000" w:sz="4" w:space="0"/>
            </w:tcBorders>
            <w:shd w:val="clear" w:color="auto" w:fill="FFFFFF"/>
            <w:tcMar>
              <w:top w:w="15" w:type="dxa"/>
              <w:left w:w="15" w:type="dxa"/>
              <w:right w:w="15" w:type="dxa"/>
            </w:tcMar>
            <w:vAlign w:val="center"/>
          </w:tcPr>
          <w:p w14:paraId="7ADEB8DD">
            <w:pPr>
              <w:widowControl/>
              <w:ind w:firstLine="1100" w:firstLineChars="500"/>
              <w:jc w:val="left"/>
              <w:textAlignment w:val="center"/>
              <w:rPr>
                <w:rFonts w:ascii="宋体" w:hAnsi="宋体" w:cs="宋体"/>
                <w:color w:val="000000"/>
                <w:sz w:val="22"/>
              </w:rPr>
            </w:pPr>
            <w:r>
              <w:rPr>
                <w:rFonts w:hint="eastAsia" w:ascii="宋体" w:hAnsi="宋体" w:cs="宋体"/>
                <w:color w:val="000000"/>
                <w:kern w:val="0"/>
                <w:sz w:val="22"/>
                <w:lang w:bidi="ar"/>
              </w:rPr>
              <w:t>1.</w:t>
            </w:r>
            <w:r>
              <w:rPr>
                <w:rFonts w:hint="eastAsia" w:ascii="宋体" w:hAnsi="宋体" w:cs="宋体"/>
                <w:color w:val="000000"/>
                <w:sz w:val="22"/>
              </w:rPr>
              <w:t>操作规范</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7EDEF5FA">
            <w:pPr>
              <w:ind w:firstLine="440"/>
              <w:jc w:val="center"/>
              <w:rPr>
                <w:rFonts w:ascii="宋体" w:hAnsi="宋体" w:cs="宋体"/>
                <w:color w:val="000000"/>
                <w:sz w:val="22"/>
              </w:rPr>
            </w:pPr>
            <w:r>
              <w:rPr>
                <w:rFonts w:ascii="宋体" w:hAnsi="宋体" w:cs="宋体"/>
                <w:color w:val="000000"/>
                <w:sz w:val="22"/>
              </w:rPr>
              <w:t>5     4     3     2     1</w:t>
            </w:r>
          </w:p>
        </w:tc>
      </w:tr>
      <w:tr w14:paraId="0FF068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continue"/>
            <w:tcBorders>
              <w:top w:val="dotted" w:color="000000" w:sz="4" w:space="0"/>
              <w:bottom w:val="dotted" w:color="000000" w:sz="4" w:space="0"/>
            </w:tcBorders>
            <w:shd w:val="clear" w:color="auto" w:fill="auto"/>
            <w:tcMar>
              <w:top w:w="15" w:type="dxa"/>
              <w:left w:w="15" w:type="dxa"/>
              <w:right w:w="15" w:type="dxa"/>
            </w:tcMar>
            <w:vAlign w:val="center"/>
          </w:tcPr>
          <w:p w14:paraId="66964F9F">
            <w:pPr>
              <w:ind w:firstLine="440"/>
              <w:jc w:val="center"/>
              <w:rPr>
                <w:rFonts w:ascii="宋体" w:hAnsi="宋体" w:cs="宋体"/>
                <w:color w:val="000000"/>
                <w:sz w:val="22"/>
              </w:rPr>
            </w:pPr>
          </w:p>
        </w:tc>
        <w:tc>
          <w:tcPr>
            <w:tcW w:w="3517" w:type="dxa"/>
            <w:tcBorders>
              <w:top w:val="dotted" w:color="000000" w:sz="4" w:space="0"/>
              <w:bottom w:val="dotted" w:color="000000" w:sz="4" w:space="0"/>
            </w:tcBorders>
            <w:shd w:val="clear" w:color="auto" w:fill="FFFFFF"/>
            <w:tcMar>
              <w:top w:w="15" w:type="dxa"/>
              <w:left w:w="15" w:type="dxa"/>
              <w:right w:w="15" w:type="dxa"/>
            </w:tcMar>
            <w:vAlign w:val="center"/>
          </w:tcPr>
          <w:p w14:paraId="44B6D121">
            <w:pPr>
              <w:widowControl/>
              <w:ind w:firstLine="1100" w:firstLineChars="500"/>
              <w:jc w:val="left"/>
              <w:textAlignment w:val="center"/>
              <w:rPr>
                <w:rFonts w:ascii="宋体" w:hAnsi="宋体" w:cs="宋体"/>
                <w:color w:val="000000"/>
                <w:sz w:val="22"/>
              </w:rPr>
            </w:pPr>
            <w:r>
              <w:rPr>
                <w:rFonts w:hint="eastAsia" w:ascii="宋体" w:hAnsi="宋体" w:cs="宋体"/>
                <w:color w:val="000000"/>
                <w:kern w:val="0"/>
                <w:sz w:val="22"/>
                <w:lang w:bidi="ar"/>
              </w:rPr>
              <w:t xml:space="preserve">2.主动及时 </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626A7BB7">
            <w:pPr>
              <w:ind w:firstLine="440"/>
              <w:jc w:val="center"/>
              <w:rPr>
                <w:rFonts w:ascii="宋体" w:hAnsi="宋体" w:cs="宋体"/>
                <w:color w:val="000000"/>
                <w:sz w:val="22"/>
              </w:rPr>
            </w:pPr>
            <w:r>
              <w:rPr>
                <w:rFonts w:ascii="宋体" w:hAnsi="宋体" w:cs="宋体"/>
                <w:color w:val="000000"/>
                <w:sz w:val="22"/>
              </w:rPr>
              <w:t>5     4     3     2     1</w:t>
            </w:r>
          </w:p>
        </w:tc>
      </w:tr>
      <w:tr w14:paraId="468FB46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continue"/>
            <w:tcBorders>
              <w:top w:val="dotted" w:color="000000" w:sz="4" w:space="0"/>
              <w:bottom w:val="dotted" w:color="000000" w:sz="4" w:space="0"/>
            </w:tcBorders>
            <w:shd w:val="clear" w:color="auto" w:fill="auto"/>
            <w:tcMar>
              <w:top w:w="15" w:type="dxa"/>
              <w:left w:w="15" w:type="dxa"/>
              <w:right w:w="15" w:type="dxa"/>
            </w:tcMar>
            <w:vAlign w:val="center"/>
          </w:tcPr>
          <w:p w14:paraId="6A3AB679">
            <w:pPr>
              <w:ind w:firstLine="440"/>
              <w:jc w:val="center"/>
              <w:rPr>
                <w:rFonts w:ascii="宋体" w:hAnsi="宋体" w:cs="宋体"/>
                <w:color w:val="000000"/>
                <w:sz w:val="22"/>
              </w:rPr>
            </w:pPr>
          </w:p>
        </w:tc>
        <w:tc>
          <w:tcPr>
            <w:tcW w:w="3517" w:type="dxa"/>
            <w:tcBorders>
              <w:top w:val="dotted" w:color="000000" w:sz="4" w:space="0"/>
              <w:bottom w:val="dotted" w:color="000000" w:sz="4" w:space="0"/>
            </w:tcBorders>
            <w:shd w:val="clear" w:color="auto" w:fill="FFFFFF"/>
            <w:noWrap/>
            <w:tcMar>
              <w:top w:w="15" w:type="dxa"/>
              <w:left w:w="15" w:type="dxa"/>
              <w:right w:w="15" w:type="dxa"/>
            </w:tcMar>
            <w:vAlign w:val="center"/>
          </w:tcPr>
          <w:p w14:paraId="492E5629">
            <w:pPr>
              <w:widowControl/>
              <w:ind w:firstLine="1100" w:firstLineChars="500"/>
              <w:jc w:val="left"/>
              <w:textAlignment w:val="center"/>
              <w:rPr>
                <w:rFonts w:ascii="宋体" w:hAnsi="宋体" w:cs="宋体"/>
                <w:color w:val="000000"/>
                <w:sz w:val="22"/>
              </w:rPr>
            </w:pPr>
            <w:r>
              <w:rPr>
                <w:rFonts w:hint="eastAsia" w:ascii="宋体" w:hAnsi="宋体" w:cs="宋体"/>
                <w:color w:val="000000"/>
                <w:kern w:val="0"/>
                <w:sz w:val="22"/>
                <w:lang w:bidi="ar"/>
              </w:rPr>
              <w:t xml:space="preserve">3.热情周到 </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7432A130">
            <w:pPr>
              <w:ind w:firstLine="440"/>
              <w:jc w:val="center"/>
              <w:rPr>
                <w:rFonts w:ascii="宋体" w:hAnsi="宋体" w:cs="宋体"/>
                <w:color w:val="000000"/>
                <w:sz w:val="22"/>
              </w:rPr>
            </w:pPr>
            <w:r>
              <w:rPr>
                <w:rFonts w:ascii="宋体" w:hAnsi="宋体" w:cs="宋体"/>
                <w:color w:val="000000"/>
                <w:sz w:val="22"/>
              </w:rPr>
              <w:t>5     4     3     2     1</w:t>
            </w:r>
          </w:p>
        </w:tc>
      </w:tr>
      <w:tr w14:paraId="350D691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continue"/>
            <w:tcBorders>
              <w:top w:val="dotted" w:color="000000" w:sz="4" w:space="0"/>
              <w:bottom w:val="dotted" w:color="000000" w:sz="4" w:space="0"/>
            </w:tcBorders>
            <w:shd w:val="clear" w:color="auto" w:fill="auto"/>
            <w:tcMar>
              <w:top w:w="15" w:type="dxa"/>
              <w:left w:w="15" w:type="dxa"/>
              <w:right w:w="15" w:type="dxa"/>
            </w:tcMar>
            <w:vAlign w:val="center"/>
          </w:tcPr>
          <w:p w14:paraId="4A5F905E">
            <w:pPr>
              <w:ind w:firstLine="440"/>
              <w:jc w:val="center"/>
              <w:rPr>
                <w:rFonts w:ascii="宋体" w:hAnsi="宋体" w:cs="宋体"/>
                <w:color w:val="000000"/>
                <w:sz w:val="22"/>
              </w:rPr>
            </w:pPr>
          </w:p>
        </w:tc>
        <w:tc>
          <w:tcPr>
            <w:tcW w:w="3517" w:type="dxa"/>
            <w:tcBorders>
              <w:top w:val="dotted" w:color="000000" w:sz="4" w:space="0"/>
              <w:bottom w:val="dotted" w:color="000000" w:sz="4" w:space="0"/>
            </w:tcBorders>
            <w:shd w:val="clear" w:color="auto" w:fill="FFFFFF"/>
            <w:noWrap/>
            <w:tcMar>
              <w:top w:w="15" w:type="dxa"/>
              <w:left w:w="15" w:type="dxa"/>
              <w:right w:w="15" w:type="dxa"/>
            </w:tcMar>
            <w:vAlign w:val="center"/>
          </w:tcPr>
          <w:p w14:paraId="3F4E519F">
            <w:pPr>
              <w:widowControl/>
              <w:ind w:firstLine="1100" w:firstLineChars="500"/>
              <w:jc w:val="left"/>
              <w:textAlignment w:val="center"/>
              <w:rPr>
                <w:rFonts w:ascii="宋体" w:hAnsi="宋体" w:cs="宋体"/>
                <w:kern w:val="0"/>
                <w:sz w:val="22"/>
                <w:lang w:bidi="ar"/>
              </w:rPr>
            </w:pPr>
            <w:r>
              <w:rPr>
                <w:rFonts w:hint="eastAsia" w:ascii="宋体" w:hAnsi="宋体" w:cs="宋体"/>
                <w:kern w:val="0"/>
                <w:sz w:val="22"/>
                <w:lang w:bidi="ar"/>
              </w:rPr>
              <w:t>4.病房</w:t>
            </w:r>
            <w:r>
              <w:rPr>
                <w:rFonts w:hint="eastAsia" w:ascii="宋体" w:hAnsi="宋体" w:cs="宋体"/>
                <w:color w:val="000000"/>
                <w:sz w:val="22"/>
              </w:rPr>
              <w:t>整洁</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321172DE">
            <w:pPr>
              <w:ind w:firstLine="440"/>
              <w:jc w:val="center"/>
              <w:rPr>
                <w:rFonts w:ascii="宋体" w:hAnsi="宋体" w:cs="宋体"/>
                <w:color w:val="000000"/>
                <w:sz w:val="22"/>
              </w:rPr>
            </w:pPr>
            <w:r>
              <w:rPr>
                <w:rFonts w:ascii="宋体" w:hAnsi="宋体" w:cs="宋体"/>
                <w:color w:val="000000"/>
                <w:sz w:val="22"/>
              </w:rPr>
              <w:t>5     4     3     2     1</w:t>
            </w:r>
          </w:p>
        </w:tc>
      </w:tr>
      <w:tr w14:paraId="355F36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continue"/>
            <w:tcBorders>
              <w:top w:val="dotted" w:color="000000" w:sz="4" w:space="0"/>
              <w:bottom w:val="dotted" w:color="000000" w:sz="4" w:space="0"/>
            </w:tcBorders>
            <w:shd w:val="clear" w:color="auto" w:fill="auto"/>
            <w:tcMar>
              <w:top w:w="15" w:type="dxa"/>
              <w:left w:w="15" w:type="dxa"/>
              <w:right w:w="15" w:type="dxa"/>
            </w:tcMar>
            <w:vAlign w:val="center"/>
          </w:tcPr>
          <w:p w14:paraId="379F3F03">
            <w:pPr>
              <w:ind w:firstLine="440"/>
              <w:jc w:val="center"/>
              <w:rPr>
                <w:rFonts w:ascii="宋体" w:hAnsi="宋体" w:cs="宋体"/>
                <w:color w:val="000000"/>
                <w:sz w:val="22"/>
              </w:rPr>
            </w:pPr>
          </w:p>
        </w:tc>
        <w:tc>
          <w:tcPr>
            <w:tcW w:w="3517" w:type="dxa"/>
            <w:tcBorders>
              <w:top w:val="dotted" w:color="000000" w:sz="4" w:space="0"/>
              <w:bottom w:val="dotted" w:color="000000" w:sz="4" w:space="0"/>
            </w:tcBorders>
            <w:shd w:val="clear" w:color="auto" w:fill="FFFFFF"/>
            <w:noWrap/>
            <w:tcMar>
              <w:top w:w="15" w:type="dxa"/>
              <w:left w:w="15" w:type="dxa"/>
              <w:right w:w="15" w:type="dxa"/>
            </w:tcMar>
            <w:vAlign w:val="center"/>
          </w:tcPr>
          <w:p w14:paraId="2A953682">
            <w:pPr>
              <w:widowControl/>
              <w:ind w:firstLine="1100" w:firstLineChars="500"/>
              <w:jc w:val="left"/>
              <w:textAlignment w:val="center"/>
              <w:rPr>
                <w:rFonts w:ascii="宋体" w:hAnsi="宋体" w:cs="宋体"/>
                <w:sz w:val="22"/>
              </w:rPr>
            </w:pPr>
            <w:r>
              <w:rPr>
                <w:rFonts w:hint="eastAsia" w:ascii="宋体" w:hAnsi="宋体" w:cs="宋体"/>
                <w:kern w:val="0"/>
                <w:sz w:val="22"/>
                <w:lang w:bidi="ar"/>
              </w:rPr>
              <w:t>5</w:t>
            </w:r>
            <w:r>
              <w:rPr>
                <w:rFonts w:ascii="宋体" w:hAnsi="宋体" w:cs="宋体"/>
                <w:kern w:val="0"/>
                <w:sz w:val="22"/>
                <w:lang w:bidi="ar"/>
              </w:rPr>
              <w:t>.</w:t>
            </w:r>
            <w:r>
              <w:rPr>
                <w:rFonts w:hint="eastAsia" w:ascii="宋体" w:hAnsi="宋体" w:cs="宋体"/>
                <w:kern w:val="0"/>
                <w:sz w:val="22"/>
                <w:lang w:bidi="ar"/>
              </w:rPr>
              <w:t>记录完整</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3F00E945">
            <w:pPr>
              <w:ind w:firstLine="440"/>
              <w:jc w:val="center"/>
              <w:rPr>
                <w:rFonts w:ascii="宋体" w:hAnsi="宋体" w:cs="宋体"/>
                <w:color w:val="000000"/>
                <w:sz w:val="22"/>
              </w:rPr>
            </w:pPr>
            <w:r>
              <w:rPr>
                <w:rFonts w:ascii="宋体" w:hAnsi="宋体" w:cs="宋体"/>
                <w:color w:val="000000"/>
                <w:sz w:val="22"/>
              </w:rPr>
              <w:t>5     4     3     2     1</w:t>
            </w:r>
          </w:p>
        </w:tc>
      </w:tr>
      <w:tr w14:paraId="09A922C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continue"/>
            <w:tcBorders>
              <w:top w:val="dotted" w:color="000000" w:sz="4" w:space="0"/>
              <w:bottom w:val="dotted" w:color="000000" w:sz="4" w:space="0"/>
            </w:tcBorders>
            <w:shd w:val="clear" w:color="auto" w:fill="auto"/>
            <w:tcMar>
              <w:top w:w="15" w:type="dxa"/>
              <w:left w:w="15" w:type="dxa"/>
              <w:right w:w="15" w:type="dxa"/>
            </w:tcMar>
            <w:vAlign w:val="center"/>
          </w:tcPr>
          <w:p w14:paraId="30885B30">
            <w:pPr>
              <w:ind w:firstLine="440"/>
              <w:jc w:val="center"/>
              <w:rPr>
                <w:rFonts w:ascii="宋体" w:hAnsi="宋体" w:cs="宋体"/>
                <w:color w:val="000000"/>
                <w:sz w:val="22"/>
              </w:rPr>
            </w:pPr>
          </w:p>
        </w:tc>
        <w:tc>
          <w:tcPr>
            <w:tcW w:w="3517" w:type="dxa"/>
            <w:tcBorders>
              <w:top w:val="dotted" w:color="000000" w:sz="4" w:space="0"/>
              <w:bottom w:val="dotted" w:color="000000" w:sz="4" w:space="0"/>
            </w:tcBorders>
            <w:shd w:val="clear" w:color="auto" w:fill="FFFFFF"/>
            <w:noWrap/>
            <w:tcMar>
              <w:top w:w="15" w:type="dxa"/>
              <w:left w:w="15" w:type="dxa"/>
              <w:right w:w="15" w:type="dxa"/>
            </w:tcMar>
            <w:vAlign w:val="center"/>
          </w:tcPr>
          <w:p w14:paraId="1043F86B">
            <w:pPr>
              <w:widowControl/>
              <w:ind w:firstLine="1100" w:firstLineChars="500"/>
              <w:jc w:val="left"/>
              <w:textAlignment w:val="center"/>
              <w:rPr>
                <w:rFonts w:ascii="宋体" w:hAnsi="宋体" w:cs="宋体"/>
                <w:sz w:val="22"/>
              </w:rPr>
            </w:pPr>
            <w:r>
              <w:rPr>
                <w:rFonts w:ascii="宋体" w:hAnsi="宋体" w:cs="宋体"/>
                <w:kern w:val="0"/>
                <w:sz w:val="22"/>
                <w:lang w:bidi="ar"/>
              </w:rPr>
              <w:t>6</w:t>
            </w:r>
            <w:r>
              <w:rPr>
                <w:rFonts w:hint="eastAsia" w:ascii="宋体" w:hAnsi="宋体" w:cs="宋体"/>
                <w:kern w:val="0"/>
                <w:sz w:val="22"/>
                <w:lang w:bidi="ar"/>
              </w:rPr>
              <w:t>.安全意识</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3B53B84E">
            <w:pPr>
              <w:ind w:firstLine="440"/>
              <w:jc w:val="center"/>
              <w:rPr>
                <w:rFonts w:ascii="宋体" w:hAnsi="宋体" w:cs="宋体"/>
                <w:color w:val="000000"/>
                <w:sz w:val="22"/>
              </w:rPr>
            </w:pPr>
            <w:r>
              <w:rPr>
                <w:rFonts w:ascii="宋体" w:hAnsi="宋体" w:cs="宋体"/>
                <w:color w:val="000000"/>
                <w:sz w:val="22"/>
              </w:rPr>
              <w:t>5     4     3     2     1</w:t>
            </w:r>
          </w:p>
        </w:tc>
      </w:tr>
      <w:tr w14:paraId="3B9A8B3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restart"/>
            <w:tcBorders>
              <w:top w:val="dotted" w:color="000000" w:sz="4" w:space="0"/>
            </w:tcBorders>
            <w:shd w:val="clear" w:color="auto" w:fill="auto"/>
            <w:tcMar>
              <w:top w:w="15" w:type="dxa"/>
              <w:left w:w="15" w:type="dxa"/>
              <w:right w:w="15" w:type="dxa"/>
            </w:tcMar>
            <w:vAlign w:val="center"/>
          </w:tcPr>
          <w:p w14:paraId="4E521CA0">
            <w:pPr>
              <w:widowControl/>
              <w:ind w:firstLine="440"/>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适岗</w:t>
            </w:r>
          </w:p>
          <w:p w14:paraId="0267441F">
            <w:pPr>
              <w:widowControl/>
              <w:ind w:firstLine="440"/>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能力</w:t>
            </w:r>
          </w:p>
        </w:tc>
        <w:tc>
          <w:tcPr>
            <w:tcW w:w="3517" w:type="dxa"/>
            <w:tcBorders>
              <w:top w:val="dotted" w:color="000000" w:sz="4" w:space="0"/>
              <w:bottom w:val="dotted" w:color="000000" w:sz="4" w:space="0"/>
            </w:tcBorders>
            <w:shd w:val="clear" w:color="auto" w:fill="FFFFFF"/>
            <w:noWrap/>
            <w:tcMar>
              <w:top w:w="15" w:type="dxa"/>
              <w:left w:w="15" w:type="dxa"/>
              <w:right w:w="15" w:type="dxa"/>
            </w:tcMar>
            <w:vAlign w:val="center"/>
          </w:tcPr>
          <w:p w14:paraId="285DBD1F">
            <w:pPr>
              <w:widowControl/>
              <w:ind w:firstLine="1100" w:firstLineChars="500"/>
              <w:jc w:val="left"/>
              <w:textAlignment w:val="center"/>
              <w:rPr>
                <w:rFonts w:ascii="宋体" w:hAnsi="宋体" w:cs="宋体"/>
                <w:color w:val="000000"/>
                <w:sz w:val="22"/>
              </w:rPr>
            </w:pPr>
            <w:r>
              <w:rPr>
                <w:rFonts w:hint="eastAsia" w:ascii="宋体" w:hAnsi="宋体" w:cs="宋体"/>
                <w:color w:val="000000"/>
                <w:kern w:val="0"/>
                <w:sz w:val="22"/>
                <w:lang w:bidi="ar"/>
              </w:rPr>
              <w:t>1</w:t>
            </w:r>
            <w:r>
              <w:rPr>
                <w:rFonts w:ascii="宋体" w:hAnsi="宋体" w:cs="宋体"/>
                <w:color w:val="000000"/>
                <w:kern w:val="0"/>
                <w:sz w:val="22"/>
                <w:lang w:bidi="ar"/>
              </w:rPr>
              <w:t>.</w:t>
            </w:r>
            <w:r>
              <w:rPr>
                <w:rFonts w:hint="eastAsia" w:ascii="宋体" w:hAnsi="宋体" w:cs="宋体"/>
                <w:color w:val="000000"/>
                <w:kern w:val="0"/>
                <w:sz w:val="22"/>
                <w:lang w:bidi="ar"/>
              </w:rPr>
              <w:t>专业技能</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13A66E9A">
            <w:pPr>
              <w:ind w:firstLine="440"/>
              <w:jc w:val="center"/>
              <w:rPr>
                <w:rFonts w:ascii="宋体" w:hAnsi="宋体" w:cs="宋体"/>
                <w:color w:val="000000"/>
                <w:sz w:val="22"/>
              </w:rPr>
            </w:pPr>
            <w:r>
              <w:rPr>
                <w:rFonts w:ascii="宋体" w:hAnsi="宋体" w:cs="宋体"/>
                <w:color w:val="000000"/>
                <w:sz w:val="22"/>
              </w:rPr>
              <w:t>5     4     3     2     1</w:t>
            </w:r>
          </w:p>
        </w:tc>
      </w:tr>
      <w:tr w14:paraId="49FCD6E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continue"/>
            <w:shd w:val="clear" w:color="auto" w:fill="auto"/>
            <w:tcMar>
              <w:top w:w="15" w:type="dxa"/>
              <w:left w:w="15" w:type="dxa"/>
              <w:right w:w="15" w:type="dxa"/>
            </w:tcMar>
            <w:vAlign w:val="center"/>
          </w:tcPr>
          <w:p w14:paraId="34629390">
            <w:pPr>
              <w:ind w:firstLine="440"/>
              <w:jc w:val="center"/>
              <w:rPr>
                <w:rFonts w:ascii="宋体" w:hAnsi="宋体" w:cs="宋体"/>
                <w:color w:val="000000"/>
                <w:sz w:val="22"/>
              </w:rPr>
            </w:pPr>
          </w:p>
        </w:tc>
        <w:tc>
          <w:tcPr>
            <w:tcW w:w="3517" w:type="dxa"/>
            <w:tcBorders>
              <w:top w:val="dotted" w:color="000000" w:sz="4" w:space="0"/>
              <w:bottom w:val="dotted" w:color="000000" w:sz="4" w:space="0"/>
            </w:tcBorders>
            <w:shd w:val="clear" w:color="auto" w:fill="FFFFFF"/>
            <w:noWrap/>
            <w:tcMar>
              <w:top w:w="15" w:type="dxa"/>
              <w:left w:w="15" w:type="dxa"/>
              <w:right w:w="15" w:type="dxa"/>
            </w:tcMar>
            <w:vAlign w:val="center"/>
          </w:tcPr>
          <w:p w14:paraId="0587A2BB">
            <w:pPr>
              <w:widowControl/>
              <w:ind w:firstLine="1100" w:firstLineChars="500"/>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2.问题回复</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2E23C2A8">
            <w:pPr>
              <w:ind w:firstLine="440"/>
              <w:jc w:val="center"/>
              <w:rPr>
                <w:rFonts w:ascii="宋体" w:hAnsi="宋体" w:cs="宋体"/>
                <w:color w:val="000000"/>
                <w:sz w:val="22"/>
              </w:rPr>
            </w:pPr>
            <w:r>
              <w:rPr>
                <w:rFonts w:ascii="宋体" w:hAnsi="宋体" w:cs="宋体"/>
                <w:color w:val="000000"/>
                <w:sz w:val="22"/>
              </w:rPr>
              <w:t>5     4     3     2     1</w:t>
            </w:r>
          </w:p>
        </w:tc>
      </w:tr>
      <w:tr w14:paraId="2405757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continue"/>
            <w:shd w:val="clear" w:color="auto" w:fill="auto"/>
            <w:tcMar>
              <w:top w:w="15" w:type="dxa"/>
              <w:left w:w="15" w:type="dxa"/>
              <w:right w:w="15" w:type="dxa"/>
            </w:tcMar>
            <w:vAlign w:val="center"/>
          </w:tcPr>
          <w:p w14:paraId="0A05CB3D">
            <w:pPr>
              <w:ind w:firstLine="440"/>
              <w:jc w:val="center"/>
              <w:rPr>
                <w:rFonts w:ascii="宋体" w:hAnsi="宋体" w:cs="宋体"/>
                <w:color w:val="000000"/>
                <w:sz w:val="22"/>
              </w:rPr>
            </w:pPr>
          </w:p>
        </w:tc>
        <w:tc>
          <w:tcPr>
            <w:tcW w:w="3517" w:type="dxa"/>
            <w:tcBorders>
              <w:top w:val="dotted" w:color="000000" w:sz="4" w:space="0"/>
              <w:bottom w:val="dotted" w:color="000000" w:sz="4" w:space="0"/>
            </w:tcBorders>
            <w:shd w:val="clear" w:color="auto" w:fill="FFFFFF"/>
            <w:noWrap/>
            <w:tcMar>
              <w:top w:w="15" w:type="dxa"/>
              <w:left w:w="15" w:type="dxa"/>
              <w:right w:w="15" w:type="dxa"/>
            </w:tcMar>
            <w:vAlign w:val="center"/>
          </w:tcPr>
          <w:p w14:paraId="6CF70D54">
            <w:pPr>
              <w:widowControl/>
              <w:ind w:firstLine="1100" w:firstLineChars="500"/>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3.问题解决</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51DF6F1F">
            <w:pPr>
              <w:ind w:firstLine="440"/>
              <w:jc w:val="center"/>
              <w:rPr>
                <w:rFonts w:ascii="宋体" w:hAnsi="宋体" w:cs="宋体"/>
                <w:color w:val="000000"/>
                <w:sz w:val="22"/>
              </w:rPr>
            </w:pPr>
            <w:r>
              <w:rPr>
                <w:rFonts w:ascii="宋体" w:hAnsi="宋体" w:cs="宋体"/>
                <w:color w:val="000000"/>
                <w:sz w:val="22"/>
              </w:rPr>
              <w:t>5     4     3     2     1</w:t>
            </w:r>
          </w:p>
        </w:tc>
      </w:tr>
      <w:tr w14:paraId="3DD1C38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continue"/>
            <w:shd w:val="clear" w:color="auto" w:fill="auto"/>
            <w:tcMar>
              <w:top w:w="15" w:type="dxa"/>
              <w:left w:w="15" w:type="dxa"/>
              <w:right w:w="15" w:type="dxa"/>
            </w:tcMar>
            <w:vAlign w:val="center"/>
          </w:tcPr>
          <w:p w14:paraId="74DC3C8A">
            <w:pPr>
              <w:ind w:firstLine="440"/>
              <w:jc w:val="center"/>
              <w:rPr>
                <w:rFonts w:ascii="宋体" w:hAnsi="宋体" w:cs="宋体"/>
                <w:color w:val="000000"/>
                <w:sz w:val="22"/>
              </w:rPr>
            </w:pPr>
          </w:p>
        </w:tc>
        <w:tc>
          <w:tcPr>
            <w:tcW w:w="3517" w:type="dxa"/>
            <w:tcBorders>
              <w:top w:val="dotted" w:color="000000" w:sz="4" w:space="0"/>
              <w:bottom w:val="dotted" w:color="000000" w:sz="4" w:space="0"/>
            </w:tcBorders>
            <w:shd w:val="clear" w:color="auto" w:fill="FFFFFF"/>
            <w:noWrap/>
            <w:tcMar>
              <w:top w:w="15" w:type="dxa"/>
              <w:left w:w="15" w:type="dxa"/>
              <w:right w:w="15" w:type="dxa"/>
            </w:tcMar>
            <w:vAlign w:val="center"/>
          </w:tcPr>
          <w:p w14:paraId="167E1E5E">
            <w:pPr>
              <w:widowControl/>
              <w:ind w:firstLine="1100" w:firstLineChars="500"/>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4</w:t>
            </w:r>
            <w:r>
              <w:rPr>
                <w:rFonts w:ascii="宋体" w:hAnsi="宋体" w:cs="宋体"/>
                <w:color w:val="000000"/>
                <w:kern w:val="0"/>
                <w:sz w:val="22"/>
                <w:lang w:bidi="ar"/>
              </w:rPr>
              <w:t>.</w:t>
            </w:r>
            <w:r>
              <w:rPr>
                <w:rFonts w:hint="eastAsia" w:ascii="宋体" w:hAnsi="宋体" w:cs="宋体"/>
                <w:color w:val="000000"/>
                <w:kern w:val="0"/>
                <w:sz w:val="22"/>
                <w:lang w:bidi="ar"/>
              </w:rPr>
              <w:t>主动汇报</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09C2763D">
            <w:pPr>
              <w:ind w:firstLine="440"/>
              <w:jc w:val="center"/>
              <w:rPr>
                <w:rFonts w:ascii="宋体" w:hAnsi="宋体" w:cs="宋体"/>
                <w:color w:val="000000"/>
                <w:sz w:val="22"/>
              </w:rPr>
            </w:pPr>
            <w:r>
              <w:rPr>
                <w:rFonts w:ascii="宋体" w:hAnsi="宋体" w:cs="宋体"/>
                <w:color w:val="000000"/>
                <w:sz w:val="22"/>
              </w:rPr>
              <w:t>5     4     3     2     1</w:t>
            </w:r>
          </w:p>
        </w:tc>
      </w:tr>
      <w:tr w14:paraId="1E9EB92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continue"/>
            <w:tcBorders>
              <w:bottom w:val="dotted" w:color="000000" w:sz="4" w:space="0"/>
            </w:tcBorders>
            <w:shd w:val="clear" w:color="auto" w:fill="auto"/>
            <w:tcMar>
              <w:top w:w="15" w:type="dxa"/>
              <w:left w:w="15" w:type="dxa"/>
              <w:right w:w="15" w:type="dxa"/>
            </w:tcMar>
            <w:vAlign w:val="center"/>
          </w:tcPr>
          <w:p w14:paraId="4119A7D3">
            <w:pPr>
              <w:ind w:firstLine="440"/>
              <w:jc w:val="center"/>
              <w:rPr>
                <w:rFonts w:ascii="宋体" w:hAnsi="宋体" w:cs="宋体"/>
                <w:color w:val="000000"/>
                <w:sz w:val="22"/>
              </w:rPr>
            </w:pPr>
          </w:p>
        </w:tc>
        <w:tc>
          <w:tcPr>
            <w:tcW w:w="3517" w:type="dxa"/>
            <w:tcBorders>
              <w:top w:val="dotted" w:color="000000" w:sz="4" w:space="0"/>
              <w:bottom w:val="dotted" w:color="000000" w:sz="4" w:space="0"/>
            </w:tcBorders>
            <w:shd w:val="clear" w:color="auto" w:fill="FFFFFF"/>
            <w:noWrap/>
            <w:tcMar>
              <w:top w:w="15" w:type="dxa"/>
              <w:left w:w="15" w:type="dxa"/>
              <w:right w:w="15" w:type="dxa"/>
            </w:tcMar>
            <w:vAlign w:val="center"/>
          </w:tcPr>
          <w:p w14:paraId="3591B92B">
            <w:pPr>
              <w:widowControl/>
              <w:ind w:firstLine="1100" w:firstLineChars="500"/>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5.投诉应对</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5B891103">
            <w:pPr>
              <w:ind w:firstLine="440"/>
              <w:jc w:val="center"/>
              <w:rPr>
                <w:rFonts w:ascii="宋体" w:hAnsi="宋体" w:cs="宋体"/>
                <w:color w:val="000000"/>
                <w:sz w:val="22"/>
              </w:rPr>
            </w:pPr>
            <w:r>
              <w:rPr>
                <w:rFonts w:ascii="宋体" w:hAnsi="宋体" w:cs="宋体"/>
                <w:color w:val="000000"/>
                <w:sz w:val="22"/>
              </w:rPr>
              <w:t>5     4     3     2     1</w:t>
            </w:r>
          </w:p>
        </w:tc>
      </w:tr>
      <w:tr w14:paraId="0133E06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restart"/>
            <w:tcBorders>
              <w:top w:val="dotted" w:color="000000" w:sz="4" w:space="0"/>
            </w:tcBorders>
            <w:shd w:val="clear" w:color="auto" w:fill="auto"/>
            <w:tcMar>
              <w:top w:w="15" w:type="dxa"/>
              <w:left w:w="15" w:type="dxa"/>
              <w:right w:w="15" w:type="dxa"/>
            </w:tcMar>
            <w:vAlign w:val="center"/>
          </w:tcPr>
          <w:p w14:paraId="5C557153">
            <w:pPr>
              <w:widowControl/>
              <w:ind w:firstLine="440"/>
              <w:jc w:val="center"/>
              <w:textAlignment w:val="center"/>
              <w:rPr>
                <w:rFonts w:ascii="宋体" w:hAnsi="宋体" w:cs="宋体"/>
                <w:color w:val="000000"/>
                <w:kern w:val="0"/>
                <w:sz w:val="22"/>
                <w:lang w:bidi="ar"/>
              </w:rPr>
            </w:pPr>
            <w:r>
              <w:rPr>
                <w:rFonts w:hint="eastAsia" w:ascii="宋体" w:hAnsi="宋体" w:cs="宋体"/>
                <w:color w:val="000000"/>
                <w:kern w:val="0"/>
                <w:sz w:val="22"/>
                <w:lang w:bidi="ar"/>
              </w:rPr>
              <w:t>工作</w:t>
            </w:r>
          </w:p>
          <w:p w14:paraId="00E9C7EF">
            <w:pPr>
              <w:widowControl/>
              <w:ind w:firstLine="440"/>
              <w:jc w:val="center"/>
              <w:textAlignment w:val="center"/>
              <w:rPr>
                <w:rFonts w:ascii="宋体" w:hAnsi="宋体" w:eastAsia="宋体" w:cs="宋体"/>
                <w:color w:val="000000"/>
                <w:sz w:val="22"/>
              </w:rPr>
            </w:pPr>
            <w:r>
              <w:rPr>
                <w:rFonts w:hint="eastAsia" w:ascii="宋体" w:hAnsi="宋体" w:cs="宋体"/>
                <w:color w:val="000000"/>
                <w:kern w:val="0"/>
                <w:sz w:val="22"/>
                <w:lang w:bidi="ar"/>
              </w:rPr>
              <w:t>配合</w:t>
            </w:r>
          </w:p>
        </w:tc>
        <w:tc>
          <w:tcPr>
            <w:tcW w:w="3517" w:type="dxa"/>
            <w:tcBorders>
              <w:top w:val="dotted" w:color="000000" w:sz="4" w:space="0"/>
              <w:bottom w:val="dotted" w:color="000000" w:sz="4" w:space="0"/>
            </w:tcBorders>
            <w:shd w:val="clear" w:color="auto" w:fill="FFFFFF"/>
            <w:noWrap/>
            <w:tcMar>
              <w:top w:w="15" w:type="dxa"/>
              <w:left w:w="15" w:type="dxa"/>
              <w:right w:w="15" w:type="dxa"/>
            </w:tcMar>
            <w:vAlign w:val="center"/>
          </w:tcPr>
          <w:p w14:paraId="3B26DD37">
            <w:pPr>
              <w:widowControl/>
              <w:ind w:firstLine="440"/>
              <w:jc w:val="left"/>
              <w:textAlignment w:val="center"/>
              <w:rPr>
                <w:rFonts w:ascii="宋体" w:hAnsi="宋体" w:eastAsia="宋体" w:cs="宋体"/>
                <w:color w:val="000000"/>
                <w:sz w:val="22"/>
              </w:rPr>
            </w:pPr>
            <w:r>
              <w:rPr>
                <w:rFonts w:hint="eastAsia" w:ascii="宋体" w:hAnsi="宋体" w:cs="宋体"/>
                <w:color w:val="000000"/>
                <w:kern w:val="0"/>
                <w:sz w:val="22"/>
                <w:lang w:bidi="ar"/>
              </w:rPr>
              <w:t>1.落实</w:t>
            </w:r>
            <w:r>
              <w:rPr>
                <w:rFonts w:hint="eastAsia" w:ascii="宋体" w:hAnsi="宋体" w:cs="宋体"/>
                <w:color w:val="000000"/>
                <w:sz w:val="22"/>
              </w:rPr>
              <w:t>医院相关要求</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7DC229E4">
            <w:pPr>
              <w:ind w:firstLine="440"/>
              <w:jc w:val="center"/>
              <w:rPr>
                <w:rFonts w:ascii="宋体" w:hAnsi="宋体" w:cs="宋体"/>
                <w:color w:val="000000"/>
                <w:sz w:val="22"/>
              </w:rPr>
            </w:pPr>
            <w:r>
              <w:rPr>
                <w:rFonts w:ascii="宋体" w:hAnsi="宋体" w:cs="宋体"/>
                <w:color w:val="000000"/>
                <w:sz w:val="22"/>
              </w:rPr>
              <w:t>5     4     3     2     1</w:t>
            </w:r>
          </w:p>
        </w:tc>
      </w:tr>
      <w:tr w14:paraId="3CB7AB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continue"/>
            <w:shd w:val="clear" w:color="auto" w:fill="auto"/>
            <w:tcMar>
              <w:top w:w="15" w:type="dxa"/>
              <w:left w:w="15" w:type="dxa"/>
              <w:right w:w="15" w:type="dxa"/>
            </w:tcMar>
            <w:vAlign w:val="center"/>
          </w:tcPr>
          <w:p w14:paraId="3E308835">
            <w:pPr>
              <w:ind w:firstLine="440"/>
              <w:jc w:val="center"/>
              <w:rPr>
                <w:rFonts w:ascii="宋体" w:hAnsi="宋体" w:cs="宋体"/>
                <w:color w:val="000000"/>
                <w:sz w:val="22"/>
              </w:rPr>
            </w:pPr>
          </w:p>
        </w:tc>
        <w:tc>
          <w:tcPr>
            <w:tcW w:w="3517" w:type="dxa"/>
            <w:tcBorders>
              <w:top w:val="dotted" w:color="000000" w:sz="4" w:space="0"/>
              <w:bottom w:val="dotted" w:color="000000" w:sz="4" w:space="0"/>
            </w:tcBorders>
            <w:shd w:val="clear" w:color="auto" w:fill="auto"/>
            <w:noWrap/>
            <w:tcMar>
              <w:top w:w="15" w:type="dxa"/>
              <w:left w:w="15" w:type="dxa"/>
              <w:right w:w="15" w:type="dxa"/>
            </w:tcMar>
            <w:vAlign w:val="center"/>
          </w:tcPr>
          <w:p w14:paraId="18449B6F">
            <w:pPr>
              <w:widowControl/>
              <w:ind w:firstLine="440"/>
              <w:jc w:val="left"/>
              <w:textAlignment w:val="center"/>
              <w:rPr>
                <w:rFonts w:ascii="宋体" w:hAnsi="宋体" w:eastAsia="宋体" w:cs="宋体"/>
                <w:color w:val="000000"/>
                <w:sz w:val="22"/>
              </w:rPr>
            </w:pPr>
            <w:r>
              <w:rPr>
                <w:rFonts w:hint="eastAsia" w:ascii="宋体" w:hAnsi="宋体" w:cs="宋体"/>
                <w:color w:val="000000"/>
                <w:kern w:val="0"/>
                <w:sz w:val="22"/>
                <w:lang w:bidi="ar"/>
              </w:rPr>
              <w:t>2.配合医护人员工作</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43C67D39">
            <w:pPr>
              <w:ind w:firstLine="440"/>
              <w:jc w:val="center"/>
              <w:rPr>
                <w:rFonts w:ascii="宋体" w:hAnsi="宋体" w:cs="宋体"/>
                <w:color w:val="000000"/>
                <w:sz w:val="22"/>
              </w:rPr>
            </w:pPr>
            <w:r>
              <w:rPr>
                <w:rFonts w:ascii="宋体" w:hAnsi="宋体" w:cs="宋体"/>
                <w:color w:val="000000"/>
                <w:sz w:val="22"/>
              </w:rPr>
              <w:t>5     4     3     2     1</w:t>
            </w:r>
          </w:p>
        </w:tc>
      </w:tr>
      <w:tr w14:paraId="532D9BB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97" w:hRule="atLeast"/>
        </w:trPr>
        <w:tc>
          <w:tcPr>
            <w:tcW w:w="1141" w:type="dxa"/>
            <w:vMerge w:val="continue"/>
            <w:tcBorders>
              <w:bottom w:val="dotted" w:color="000000" w:sz="4" w:space="0"/>
            </w:tcBorders>
            <w:shd w:val="clear" w:color="auto" w:fill="auto"/>
            <w:tcMar>
              <w:top w:w="15" w:type="dxa"/>
              <w:left w:w="15" w:type="dxa"/>
              <w:right w:w="15" w:type="dxa"/>
            </w:tcMar>
            <w:vAlign w:val="center"/>
          </w:tcPr>
          <w:p w14:paraId="24390E2F">
            <w:pPr>
              <w:ind w:firstLine="440"/>
              <w:jc w:val="center"/>
              <w:rPr>
                <w:rFonts w:ascii="宋体" w:hAnsi="宋体" w:cs="宋体"/>
                <w:color w:val="000000"/>
                <w:sz w:val="22"/>
              </w:rPr>
            </w:pPr>
          </w:p>
        </w:tc>
        <w:tc>
          <w:tcPr>
            <w:tcW w:w="3517" w:type="dxa"/>
            <w:tcBorders>
              <w:top w:val="dotted" w:color="000000" w:sz="4" w:space="0"/>
              <w:bottom w:val="dotted" w:color="000000" w:sz="4" w:space="0"/>
            </w:tcBorders>
            <w:shd w:val="clear" w:color="auto" w:fill="auto"/>
            <w:noWrap/>
            <w:tcMar>
              <w:top w:w="15" w:type="dxa"/>
              <w:left w:w="15" w:type="dxa"/>
              <w:right w:w="15" w:type="dxa"/>
            </w:tcMar>
            <w:vAlign w:val="center"/>
          </w:tcPr>
          <w:p w14:paraId="1184C1E8">
            <w:pPr>
              <w:widowControl/>
              <w:ind w:firstLine="440"/>
              <w:jc w:val="left"/>
              <w:textAlignment w:val="center"/>
              <w:rPr>
                <w:rFonts w:ascii="宋体" w:hAnsi="宋体" w:eastAsia="宋体" w:cs="宋体"/>
                <w:color w:val="000000"/>
                <w:kern w:val="0"/>
                <w:sz w:val="22"/>
                <w:lang w:bidi="ar"/>
              </w:rPr>
            </w:pPr>
            <w:r>
              <w:rPr>
                <w:rFonts w:hint="eastAsia" w:ascii="宋体" w:hAnsi="宋体" w:cs="宋体"/>
                <w:color w:val="000000"/>
                <w:kern w:val="0"/>
                <w:sz w:val="22"/>
                <w:lang w:bidi="ar"/>
              </w:rPr>
              <w:t>3.分担力所能及的科室工作</w:t>
            </w:r>
          </w:p>
        </w:tc>
        <w:tc>
          <w:tcPr>
            <w:tcW w:w="4734" w:type="dxa"/>
            <w:tcBorders>
              <w:top w:val="dotted" w:color="000000" w:sz="4" w:space="0"/>
              <w:bottom w:val="dotted" w:color="000000" w:sz="4" w:space="0"/>
            </w:tcBorders>
            <w:shd w:val="clear" w:color="auto" w:fill="FFFFFF"/>
            <w:noWrap/>
            <w:tcMar>
              <w:top w:w="15" w:type="dxa"/>
              <w:left w:w="15" w:type="dxa"/>
              <w:right w:w="15" w:type="dxa"/>
            </w:tcMar>
            <w:vAlign w:val="center"/>
          </w:tcPr>
          <w:p w14:paraId="6EF97512">
            <w:pPr>
              <w:ind w:firstLine="440"/>
              <w:jc w:val="center"/>
              <w:rPr>
                <w:rFonts w:ascii="宋体" w:hAnsi="宋体" w:cs="宋体"/>
                <w:color w:val="000000"/>
                <w:sz w:val="22"/>
              </w:rPr>
            </w:pPr>
            <w:r>
              <w:rPr>
                <w:rFonts w:ascii="宋体" w:hAnsi="宋体" w:cs="宋体"/>
                <w:color w:val="000000"/>
                <w:sz w:val="22"/>
              </w:rPr>
              <w:t>5     4     3     2     1</w:t>
            </w:r>
          </w:p>
        </w:tc>
      </w:tr>
      <w:tr w14:paraId="40ADEB1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32" w:hRule="atLeast"/>
        </w:trPr>
        <w:tc>
          <w:tcPr>
            <w:tcW w:w="1141" w:type="dxa"/>
            <w:tcBorders>
              <w:top w:val="dotted" w:color="000000" w:sz="4" w:space="0"/>
              <w:bottom w:val="dotted" w:color="000000" w:sz="4" w:space="0"/>
            </w:tcBorders>
            <w:shd w:val="clear" w:color="auto" w:fill="auto"/>
            <w:tcMar>
              <w:top w:w="15" w:type="dxa"/>
              <w:left w:w="15" w:type="dxa"/>
              <w:right w:w="15" w:type="dxa"/>
            </w:tcMar>
            <w:vAlign w:val="center"/>
          </w:tcPr>
          <w:p w14:paraId="542E4B0B">
            <w:pPr>
              <w:ind w:firstLine="480"/>
              <w:jc w:val="center"/>
              <w:rPr>
                <w:rFonts w:ascii="宋体" w:hAnsi="宋体" w:cs="宋体"/>
                <w:kern w:val="0"/>
                <w:sz w:val="24"/>
                <w:szCs w:val="24"/>
                <w:lang w:bidi="ar"/>
              </w:rPr>
            </w:pPr>
            <w:r>
              <w:rPr>
                <w:rFonts w:hint="eastAsia" w:ascii="宋体" w:hAnsi="宋体" w:cs="宋体"/>
                <w:kern w:val="0"/>
                <w:sz w:val="24"/>
                <w:szCs w:val="24"/>
                <w:lang w:bidi="ar"/>
              </w:rPr>
              <w:t>存在问题</w:t>
            </w:r>
          </w:p>
        </w:tc>
        <w:tc>
          <w:tcPr>
            <w:tcW w:w="8251" w:type="dxa"/>
            <w:gridSpan w:val="2"/>
            <w:tcBorders>
              <w:top w:val="dotted" w:color="000000" w:sz="4" w:space="0"/>
              <w:bottom w:val="dotted" w:color="000000" w:sz="4" w:space="0"/>
            </w:tcBorders>
            <w:shd w:val="clear" w:color="auto" w:fill="auto"/>
            <w:noWrap/>
            <w:tcMar>
              <w:top w:w="15" w:type="dxa"/>
              <w:left w:w="15" w:type="dxa"/>
              <w:right w:w="15" w:type="dxa"/>
            </w:tcMar>
            <w:vAlign w:val="center"/>
          </w:tcPr>
          <w:p w14:paraId="4AE3B0D8">
            <w:pPr>
              <w:ind w:firstLine="480"/>
              <w:jc w:val="left"/>
              <w:rPr>
                <w:rFonts w:ascii="宋体" w:hAnsi="宋体" w:cs="宋体"/>
                <w:color w:val="000000"/>
                <w:sz w:val="24"/>
                <w:szCs w:val="24"/>
              </w:rPr>
            </w:pPr>
          </w:p>
          <w:p w14:paraId="2AA05B37">
            <w:pPr>
              <w:ind w:firstLine="480"/>
              <w:rPr>
                <w:rFonts w:ascii="宋体" w:hAnsi="宋体" w:cs="宋体"/>
                <w:color w:val="000000"/>
                <w:sz w:val="24"/>
                <w:szCs w:val="24"/>
              </w:rPr>
            </w:pPr>
          </w:p>
          <w:p w14:paraId="5CC024C0">
            <w:pPr>
              <w:ind w:firstLine="480"/>
              <w:rPr>
                <w:rFonts w:ascii="宋体" w:hAnsi="宋体" w:cs="宋体"/>
                <w:color w:val="000000"/>
                <w:sz w:val="24"/>
                <w:szCs w:val="24"/>
              </w:rPr>
            </w:pPr>
          </w:p>
        </w:tc>
      </w:tr>
      <w:tr w14:paraId="06D43DE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106" w:hRule="atLeast"/>
        </w:trPr>
        <w:tc>
          <w:tcPr>
            <w:tcW w:w="9392" w:type="dxa"/>
            <w:gridSpan w:val="3"/>
            <w:tcBorders>
              <w:top w:val="dotted" w:color="000000" w:sz="4" w:space="0"/>
              <w:bottom w:val="dotted" w:color="000000" w:sz="4" w:space="0"/>
            </w:tcBorders>
            <w:shd w:val="clear" w:color="auto" w:fill="auto"/>
            <w:tcMar>
              <w:top w:w="15" w:type="dxa"/>
              <w:left w:w="15" w:type="dxa"/>
              <w:right w:w="15" w:type="dxa"/>
            </w:tcMar>
            <w:vAlign w:val="center"/>
          </w:tcPr>
          <w:p w14:paraId="709E549C">
            <w:pPr>
              <w:ind w:firstLine="482"/>
              <w:jc w:val="left"/>
              <w:rPr>
                <w:rFonts w:ascii="宋体" w:hAnsi="宋体" w:cs="宋体"/>
                <w:b/>
                <w:bCs/>
                <w:kern w:val="0"/>
                <w:sz w:val="24"/>
                <w:szCs w:val="24"/>
                <w:lang w:bidi="ar"/>
              </w:rPr>
            </w:pPr>
          </w:p>
          <w:p w14:paraId="0CC32754">
            <w:pPr>
              <w:ind w:firstLine="482"/>
              <w:jc w:val="left"/>
              <w:rPr>
                <w:rFonts w:ascii="宋体" w:hAnsi="宋体" w:cs="宋体"/>
                <w:b/>
                <w:bCs/>
                <w:kern w:val="0"/>
                <w:sz w:val="24"/>
                <w:szCs w:val="24"/>
                <w:lang w:bidi="ar"/>
              </w:rPr>
            </w:pPr>
            <w:r>
              <w:rPr>
                <w:rFonts w:hint="eastAsia" w:ascii="宋体" w:hAnsi="宋体" w:cs="宋体"/>
                <w:b/>
                <w:bCs/>
                <w:kern w:val="0"/>
                <w:sz w:val="24"/>
                <w:szCs w:val="24"/>
                <w:lang w:bidi="ar"/>
              </w:rPr>
              <w:t>科室建议</w:t>
            </w:r>
          </w:p>
          <w:p w14:paraId="21ACFAE4">
            <w:pPr>
              <w:ind w:firstLine="482"/>
              <w:jc w:val="left"/>
              <w:rPr>
                <w:rFonts w:ascii="宋体" w:hAnsi="宋体" w:cs="宋体"/>
                <w:b/>
                <w:bCs/>
                <w:kern w:val="0"/>
                <w:sz w:val="24"/>
                <w:szCs w:val="24"/>
                <w:lang w:bidi="ar"/>
              </w:rPr>
            </w:pPr>
          </w:p>
        </w:tc>
      </w:tr>
      <w:tr w14:paraId="761FD8A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6" w:hRule="atLeast"/>
        </w:trPr>
        <w:tc>
          <w:tcPr>
            <w:tcW w:w="9392" w:type="dxa"/>
            <w:gridSpan w:val="3"/>
            <w:tcBorders>
              <w:top w:val="dotted" w:color="000000" w:sz="4" w:space="0"/>
            </w:tcBorders>
            <w:shd w:val="clear" w:color="auto" w:fill="auto"/>
            <w:tcMar>
              <w:top w:w="15" w:type="dxa"/>
              <w:left w:w="15" w:type="dxa"/>
              <w:right w:w="15" w:type="dxa"/>
            </w:tcMar>
            <w:vAlign w:val="center"/>
          </w:tcPr>
          <w:p w14:paraId="694C1761">
            <w:pPr>
              <w:ind w:firstLine="482"/>
              <w:jc w:val="left"/>
              <w:rPr>
                <w:rFonts w:ascii="宋体" w:hAnsi="宋体" w:cs="宋体"/>
                <w:b/>
                <w:bCs/>
                <w:kern w:val="0"/>
                <w:sz w:val="24"/>
                <w:szCs w:val="24"/>
                <w:lang w:bidi="ar"/>
              </w:rPr>
            </w:pPr>
            <w:r>
              <w:rPr>
                <w:rFonts w:hint="eastAsia" w:ascii="宋体" w:hAnsi="宋体" w:cs="宋体"/>
                <w:b/>
                <w:bCs/>
                <w:kern w:val="0"/>
                <w:sz w:val="24"/>
                <w:szCs w:val="24"/>
                <w:lang w:bidi="ar"/>
              </w:rPr>
              <w:t>总分：                                           签字：</w:t>
            </w:r>
          </w:p>
        </w:tc>
      </w:tr>
    </w:tbl>
    <w:p w14:paraId="14C27ED2">
      <w:pPr>
        <w:ind w:firstLine="360"/>
        <w:rPr>
          <w:rFonts w:ascii="宋体" w:hAnsi="宋体" w:cs="宋体"/>
          <w:color w:val="000000"/>
          <w:kern w:val="0"/>
          <w:sz w:val="18"/>
          <w:szCs w:val="18"/>
          <w:lang w:bidi="ar"/>
        </w:rPr>
      </w:pPr>
    </w:p>
    <w:p w14:paraId="494DF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说明：每月不少于10个科室接受陪护服务满意度评价，护士长评分，职能部门存档。</w:t>
      </w:r>
    </w:p>
    <w:p w14:paraId="660FC0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p>
    <w:p w14:paraId="0CA65D10">
      <w:pPr>
        <w:rPr>
          <w:rFonts w:asciiTheme="minorEastAsia" w:hAnsiTheme="minorEastAsia"/>
          <w:sz w:val="24"/>
        </w:rPr>
      </w:pPr>
    </w:p>
    <w:p w14:paraId="19F4A914">
      <w:pPr>
        <w:rPr>
          <w:rFonts w:asciiTheme="minorEastAsia" w:hAnsiTheme="minorEastAsia"/>
          <w:sz w:val="24"/>
        </w:rPr>
      </w:pPr>
    </w:p>
    <w:p w14:paraId="47B67E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附件2陪护服务质量巡查登记表：</w:t>
      </w:r>
    </w:p>
    <w:p w14:paraId="43370D1C">
      <w:pPr>
        <w:ind w:firstLine="723"/>
        <w:jc w:val="center"/>
        <w:rPr>
          <w:rFonts w:ascii="宋体" w:hAnsi="宋体" w:cs="宋体"/>
          <w:b/>
          <w:bCs/>
          <w:color w:val="000000"/>
          <w:kern w:val="0"/>
          <w:sz w:val="36"/>
          <w:szCs w:val="36"/>
          <w:lang w:bidi="ar"/>
        </w:rPr>
      </w:pPr>
      <w:r>
        <w:rPr>
          <w:rFonts w:hint="eastAsia" w:ascii="宋体" w:hAnsi="宋体" w:cs="宋体"/>
          <w:b/>
          <w:bCs/>
          <w:color w:val="000000"/>
          <w:kern w:val="0"/>
          <w:sz w:val="36"/>
          <w:szCs w:val="36"/>
          <w:lang w:bidi="ar"/>
        </w:rPr>
        <w:t>陪护服务质量巡查登记表</w:t>
      </w:r>
    </w:p>
    <w:p w14:paraId="50C92BC1">
      <w:pPr>
        <w:ind w:firstLine="643"/>
        <w:jc w:val="center"/>
        <w:rPr>
          <w:rFonts w:ascii="宋体" w:hAnsi="宋体" w:eastAsia="宋体" w:cs="宋体"/>
          <w:b/>
          <w:bCs/>
          <w:color w:val="000000"/>
          <w:kern w:val="0"/>
          <w:sz w:val="32"/>
          <w:szCs w:val="32"/>
          <w:lang w:bidi="ar"/>
        </w:rPr>
      </w:pPr>
      <w:r>
        <w:rPr>
          <w:rFonts w:hint="eastAsia" w:ascii="宋体" w:hAnsi="宋体" w:cs="宋体"/>
          <w:b/>
          <w:bCs/>
          <w:color w:val="000000"/>
          <w:kern w:val="0"/>
          <w:sz w:val="32"/>
          <w:szCs w:val="32"/>
          <w:lang w:bidi="ar"/>
        </w:rPr>
        <w:t>（职能部门填写）</w:t>
      </w:r>
    </w:p>
    <w:p w14:paraId="0180027C">
      <w:pPr>
        <w:ind w:firstLine="480"/>
        <w:rPr>
          <w:rFonts w:ascii="宋体" w:hAnsi="宋体" w:eastAsia="宋体" w:cs="宋体"/>
          <w:color w:val="000000"/>
          <w:kern w:val="0"/>
          <w:sz w:val="24"/>
          <w:szCs w:val="24"/>
          <w:lang w:bidi="ar"/>
        </w:rPr>
      </w:pPr>
      <w:r>
        <w:rPr>
          <w:rFonts w:hint="eastAsia" w:ascii="宋体" w:hAnsi="宋体" w:cs="宋体"/>
          <w:color w:val="000000"/>
          <w:kern w:val="0"/>
          <w:sz w:val="24"/>
          <w:szCs w:val="24"/>
          <w:lang w:bidi="ar"/>
        </w:rPr>
        <w:t>巡查人：</w:t>
      </w:r>
      <w:r>
        <w:rPr>
          <w:rFonts w:ascii="宋体" w:hAnsi="宋体" w:cs="宋体"/>
          <w:color w:val="000000"/>
          <w:kern w:val="0"/>
          <w:sz w:val="24"/>
          <w:szCs w:val="24"/>
          <w:lang w:bidi="ar"/>
        </w:rPr>
        <w:t xml:space="preserve">            </w:t>
      </w:r>
      <w:r>
        <w:rPr>
          <w:rFonts w:hint="eastAsia" w:ascii="宋体" w:hAnsi="宋体" w:cs="宋体"/>
          <w:color w:val="000000"/>
          <w:kern w:val="0"/>
          <w:sz w:val="24"/>
          <w:szCs w:val="24"/>
          <w:lang w:bidi="ar"/>
        </w:rPr>
        <w:t xml:space="preserve">                               </w:t>
      </w:r>
      <w:r>
        <w:rPr>
          <w:rFonts w:ascii="宋体" w:hAnsi="宋体" w:cs="宋体"/>
          <w:color w:val="000000"/>
          <w:kern w:val="0"/>
          <w:sz w:val="24"/>
          <w:szCs w:val="24"/>
          <w:lang w:bidi="ar"/>
        </w:rPr>
        <w:t xml:space="preserve">        </w:t>
      </w:r>
      <w:r>
        <w:rPr>
          <w:rFonts w:hint="eastAsia" w:ascii="宋体" w:hAnsi="宋体" w:cs="宋体"/>
          <w:color w:val="000000"/>
          <w:kern w:val="0"/>
          <w:sz w:val="24"/>
          <w:szCs w:val="24"/>
          <w:lang w:bidi="ar"/>
        </w:rPr>
        <w:t>日期：</w:t>
      </w:r>
      <w:r>
        <w:rPr>
          <w:rFonts w:ascii="宋体" w:hAnsi="宋体" w:cs="宋体"/>
          <w:color w:val="000000"/>
          <w:kern w:val="0"/>
          <w:sz w:val="24"/>
          <w:szCs w:val="24"/>
          <w:lang w:bidi="ar"/>
        </w:rPr>
        <w:t xml:space="preserve">  </w:t>
      </w:r>
      <w:r>
        <w:rPr>
          <w:rFonts w:hint="eastAsia" w:ascii="宋体" w:hAnsi="宋体" w:cs="宋体"/>
          <w:color w:val="000000"/>
          <w:kern w:val="0"/>
          <w:sz w:val="24"/>
          <w:szCs w:val="24"/>
          <w:lang w:bidi="ar"/>
        </w:rPr>
        <w:t xml:space="preserve"> </w:t>
      </w:r>
      <w:r>
        <w:rPr>
          <w:rFonts w:ascii="宋体" w:hAnsi="宋体" w:cs="宋体"/>
          <w:color w:val="000000"/>
          <w:kern w:val="0"/>
          <w:sz w:val="24"/>
          <w:szCs w:val="24"/>
          <w:lang w:bidi="ar"/>
        </w:rPr>
        <w:t xml:space="preserve"> </w:t>
      </w:r>
      <w:r>
        <w:rPr>
          <w:rFonts w:hint="eastAsia" w:ascii="宋体" w:hAnsi="宋体" w:cs="宋体"/>
          <w:color w:val="000000"/>
          <w:kern w:val="0"/>
          <w:sz w:val="24"/>
          <w:szCs w:val="24"/>
          <w:lang w:bidi="ar"/>
        </w:rPr>
        <w:t xml:space="preserve">年 </w:t>
      </w:r>
      <w:r>
        <w:rPr>
          <w:rFonts w:ascii="宋体" w:hAnsi="宋体" w:cs="宋体"/>
          <w:color w:val="000000"/>
          <w:kern w:val="0"/>
          <w:sz w:val="24"/>
          <w:szCs w:val="24"/>
          <w:lang w:bidi="ar"/>
        </w:rPr>
        <w:t xml:space="preserve">     </w:t>
      </w:r>
      <w:r>
        <w:rPr>
          <w:rFonts w:hint="eastAsia" w:ascii="宋体" w:hAnsi="宋体" w:cs="宋体"/>
          <w:color w:val="000000"/>
          <w:kern w:val="0"/>
          <w:sz w:val="24"/>
          <w:szCs w:val="24"/>
          <w:lang w:bidi="ar"/>
        </w:rPr>
        <w:t xml:space="preserve">月                 </w:t>
      </w:r>
    </w:p>
    <w:tbl>
      <w:tblPr>
        <w:tblStyle w:val="14"/>
        <w:tblW w:w="5000" w:type="pct"/>
        <w:jc w:val="center"/>
        <w:tblLayout w:type="autofit"/>
        <w:tblCellMar>
          <w:top w:w="0" w:type="dxa"/>
          <w:left w:w="108" w:type="dxa"/>
          <w:bottom w:w="0" w:type="dxa"/>
          <w:right w:w="108" w:type="dxa"/>
        </w:tblCellMar>
      </w:tblPr>
      <w:tblGrid>
        <w:gridCol w:w="1686"/>
        <w:gridCol w:w="4377"/>
        <w:gridCol w:w="2111"/>
        <w:gridCol w:w="1788"/>
      </w:tblGrid>
      <w:tr w14:paraId="11BC509A">
        <w:tblPrEx>
          <w:tblCellMar>
            <w:top w:w="0" w:type="dxa"/>
            <w:left w:w="108" w:type="dxa"/>
            <w:bottom w:w="0" w:type="dxa"/>
            <w:right w:w="108" w:type="dxa"/>
          </w:tblCellMar>
        </w:tblPrEx>
        <w:trPr>
          <w:trHeight w:val="713" w:hRule="atLeast"/>
          <w:jc w:val="center"/>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3369">
            <w:pPr>
              <w:widowControl/>
              <w:ind w:firstLine="42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项目</w:t>
            </w:r>
          </w:p>
        </w:tc>
        <w:tc>
          <w:tcPr>
            <w:tcW w:w="2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9F45">
            <w:pPr>
              <w:widowControl/>
              <w:ind w:firstLine="42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服务质量标准</w:t>
            </w:r>
          </w:p>
        </w:tc>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BFB0">
            <w:pPr>
              <w:widowControl/>
              <w:ind w:firstLine="42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巡查情况</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363D">
            <w:pPr>
              <w:widowControl/>
              <w:ind w:firstLine="42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存在问题</w:t>
            </w:r>
          </w:p>
        </w:tc>
      </w:tr>
      <w:tr w14:paraId="43B142D3">
        <w:tblPrEx>
          <w:tblCellMar>
            <w:top w:w="0" w:type="dxa"/>
            <w:left w:w="108" w:type="dxa"/>
            <w:bottom w:w="0" w:type="dxa"/>
            <w:right w:w="108" w:type="dxa"/>
          </w:tblCellMar>
        </w:tblPrEx>
        <w:trPr>
          <w:trHeight w:val="1228" w:hRule="atLeast"/>
          <w:jc w:val="center"/>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5F62">
            <w:pPr>
              <w:widowControl/>
              <w:ind w:firstLine="42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服务态度</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7AE4">
            <w:pPr>
              <w:widowControl/>
              <w:ind w:firstLine="42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服务态度和蔼、温馨、细心、周到、有礼貌，用语文明，能够细心有耐心的照护患者。</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F0988">
            <w:pPr>
              <w:widowControl/>
              <w:ind w:firstLine="42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 合格</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     □ 不合格</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E95A">
            <w:pPr>
              <w:ind w:firstLine="420"/>
              <w:rPr>
                <w:rFonts w:ascii="宋体" w:hAnsi="宋体" w:eastAsia="宋体" w:cs="宋体"/>
                <w:color w:val="000000"/>
                <w:szCs w:val="21"/>
              </w:rPr>
            </w:pPr>
          </w:p>
        </w:tc>
      </w:tr>
      <w:tr w14:paraId="07E4A02C">
        <w:tblPrEx>
          <w:tblCellMar>
            <w:top w:w="0" w:type="dxa"/>
            <w:left w:w="108" w:type="dxa"/>
            <w:bottom w:w="0" w:type="dxa"/>
            <w:right w:w="108" w:type="dxa"/>
          </w:tblCellMar>
        </w:tblPrEx>
        <w:trPr>
          <w:trHeight w:val="1008" w:hRule="atLeast"/>
          <w:jc w:val="center"/>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1401">
            <w:pPr>
              <w:widowControl/>
              <w:ind w:firstLine="42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仪容仪表</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3235">
            <w:pPr>
              <w:widowControl/>
              <w:ind w:firstLine="42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着装统一、干净整洁，面带微笑、举止文雅、轻柔大方，正确佩戴工牌。</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4425">
            <w:pPr>
              <w:widowControl/>
              <w:ind w:firstLine="42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 合格</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     □ 不合格</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7EDB">
            <w:pPr>
              <w:ind w:firstLine="420"/>
              <w:rPr>
                <w:rFonts w:ascii="宋体" w:hAnsi="宋体" w:eastAsia="宋体" w:cs="宋体"/>
                <w:color w:val="000000"/>
                <w:szCs w:val="21"/>
              </w:rPr>
            </w:pPr>
          </w:p>
        </w:tc>
      </w:tr>
      <w:tr w14:paraId="3FB4B7E8">
        <w:tblPrEx>
          <w:tblCellMar>
            <w:top w:w="0" w:type="dxa"/>
            <w:left w:w="108" w:type="dxa"/>
            <w:bottom w:w="0" w:type="dxa"/>
            <w:right w:w="108" w:type="dxa"/>
          </w:tblCellMar>
        </w:tblPrEx>
        <w:trPr>
          <w:trHeight w:val="1660" w:hRule="atLeast"/>
          <w:jc w:val="center"/>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34E7">
            <w:pPr>
              <w:widowControl/>
              <w:ind w:firstLine="42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工作纪律</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5A67">
            <w:pPr>
              <w:widowControl/>
              <w:numPr>
                <w:ilvl w:val="0"/>
                <w:numId w:val="7"/>
              </w:numPr>
              <w:ind w:firstLine="42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不迟到、不早退、不串岗、不脱岗，不做与工作无关的事情</w:t>
            </w:r>
            <w:r>
              <w:rPr>
                <w:rFonts w:hint="eastAsia" w:ascii="宋体" w:hAnsi="宋体" w:cs="宋体"/>
                <w:color w:val="000000"/>
                <w:kern w:val="0"/>
                <w:szCs w:val="21"/>
                <w:lang w:bidi="ar"/>
              </w:rPr>
              <w:t>；</w:t>
            </w:r>
          </w:p>
          <w:p w14:paraId="5EA2CCB5">
            <w:pPr>
              <w:widowControl/>
              <w:numPr>
                <w:ilvl w:val="0"/>
                <w:numId w:val="7"/>
              </w:numPr>
              <w:ind w:firstLine="42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有事需要离岗时，务必知会患者或家属以及当班护士</w:t>
            </w:r>
            <w:r>
              <w:rPr>
                <w:rFonts w:hint="eastAsia" w:ascii="宋体" w:hAnsi="宋体" w:cs="宋体"/>
                <w:color w:val="000000"/>
                <w:kern w:val="0"/>
                <w:szCs w:val="21"/>
                <w:lang w:bidi="ar"/>
              </w:rPr>
              <w:t>，征得同意后方可短暂离岗</w:t>
            </w:r>
            <w:r>
              <w:rPr>
                <w:rFonts w:hint="eastAsia" w:ascii="宋体" w:hAnsi="宋体" w:eastAsia="宋体" w:cs="宋体"/>
                <w:color w:val="000000"/>
                <w:kern w:val="0"/>
                <w:szCs w:val="21"/>
                <w:lang w:bidi="ar"/>
              </w:rPr>
              <w:t>。</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1F43">
            <w:pPr>
              <w:widowControl/>
              <w:ind w:firstLine="42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w:t>
            </w:r>
            <w:r>
              <w:rPr>
                <w:rFonts w:hint="eastAsia" w:ascii="宋体" w:hAnsi="宋体" w:cs="宋体"/>
                <w:color w:val="000000"/>
                <w:kern w:val="0"/>
                <w:szCs w:val="21"/>
                <w:lang w:bidi="ar"/>
              </w:rPr>
              <w:t>□</w:t>
            </w:r>
            <w:r>
              <w:rPr>
                <w:rFonts w:hint="eastAsia" w:ascii="宋体" w:hAnsi="宋体" w:eastAsia="宋体" w:cs="宋体"/>
                <w:color w:val="000000"/>
                <w:kern w:val="0"/>
                <w:szCs w:val="21"/>
                <w:lang w:bidi="ar"/>
              </w:rPr>
              <w:t xml:space="preserve"> 合格</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     </w:t>
            </w:r>
            <w:r>
              <w:rPr>
                <w:rFonts w:hint="eastAsia" w:ascii="宋体" w:hAnsi="宋体" w:cs="宋体"/>
                <w:color w:val="000000"/>
                <w:kern w:val="0"/>
                <w:szCs w:val="21"/>
                <w:lang w:bidi="ar"/>
              </w:rPr>
              <w:t>□</w:t>
            </w:r>
            <w:r>
              <w:rPr>
                <w:rFonts w:hint="eastAsia" w:ascii="宋体" w:hAnsi="宋体" w:eastAsia="宋体" w:cs="宋体"/>
                <w:color w:val="000000"/>
                <w:kern w:val="0"/>
                <w:szCs w:val="21"/>
                <w:lang w:bidi="ar"/>
              </w:rPr>
              <w:t xml:space="preserve"> 不合格</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24A9">
            <w:pPr>
              <w:ind w:firstLine="420"/>
              <w:rPr>
                <w:rFonts w:ascii="宋体" w:hAnsi="宋体" w:eastAsia="宋体" w:cs="宋体"/>
                <w:color w:val="000000"/>
                <w:szCs w:val="21"/>
              </w:rPr>
            </w:pPr>
          </w:p>
        </w:tc>
      </w:tr>
      <w:tr w14:paraId="2FF005AA">
        <w:tblPrEx>
          <w:tblCellMar>
            <w:top w:w="0" w:type="dxa"/>
            <w:left w:w="108" w:type="dxa"/>
            <w:bottom w:w="0" w:type="dxa"/>
            <w:right w:w="108" w:type="dxa"/>
          </w:tblCellMar>
        </w:tblPrEx>
        <w:trPr>
          <w:trHeight w:val="1636" w:hRule="atLeast"/>
          <w:jc w:val="center"/>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E46E">
            <w:pPr>
              <w:widowControl/>
              <w:ind w:firstLine="42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培训效果</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97FD">
            <w:pPr>
              <w:widowControl/>
              <w:ind w:firstLine="42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巡查人员现场抽查陪护员对培训内容是否</w:t>
            </w:r>
            <w:r>
              <w:rPr>
                <w:rFonts w:hint="eastAsia" w:ascii="宋体" w:hAnsi="宋体" w:cs="宋体"/>
                <w:color w:val="000000"/>
                <w:kern w:val="0"/>
                <w:szCs w:val="21"/>
                <w:lang w:bidi="ar"/>
              </w:rPr>
              <w:t>做到</w:t>
            </w:r>
            <w:r>
              <w:rPr>
                <w:rFonts w:hint="eastAsia" w:ascii="宋体" w:hAnsi="宋体" w:eastAsia="宋体" w:cs="宋体"/>
                <w:color w:val="000000"/>
                <w:kern w:val="0"/>
                <w:szCs w:val="21"/>
                <w:lang w:bidi="ar"/>
              </w:rPr>
              <w:t>应知应会，如规避护理安全隐患、安全生产常识、消防基础知识、业务专业知识等内容的掌握情况。</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B631">
            <w:pPr>
              <w:widowControl/>
              <w:ind w:firstLine="42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 合格</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     □ 不合格</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0366">
            <w:pPr>
              <w:ind w:firstLine="420"/>
              <w:rPr>
                <w:rFonts w:ascii="宋体" w:hAnsi="宋体" w:eastAsia="宋体" w:cs="宋体"/>
                <w:color w:val="000000"/>
                <w:szCs w:val="21"/>
              </w:rPr>
            </w:pPr>
          </w:p>
        </w:tc>
      </w:tr>
      <w:tr w14:paraId="3A2C74EB">
        <w:tblPrEx>
          <w:tblCellMar>
            <w:top w:w="0" w:type="dxa"/>
            <w:left w:w="108" w:type="dxa"/>
            <w:bottom w:w="0" w:type="dxa"/>
            <w:right w:w="108" w:type="dxa"/>
          </w:tblCellMar>
        </w:tblPrEx>
        <w:trPr>
          <w:trHeight w:val="1068" w:hRule="atLeast"/>
          <w:jc w:val="center"/>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F357">
            <w:pPr>
              <w:widowControl/>
              <w:ind w:firstLine="42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业务能力</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5FEB">
            <w:pPr>
              <w:widowControl/>
              <w:ind w:firstLine="42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1.患者三短、六洁情况是否达标；</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2.病房、床单位整洁度。</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DBA4">
            <w:pPr>
              <w:widowControl/>
              <w:ind w:firstLine="42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 合格</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     □ 不合格</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2562">
            <w:pPr>
              <w:ind w:firstLine="420"/>
              <w:rPr>
                <w:rFonts w:ascii="宋体" w:hAnsi="宋体" w:eastAsia="宋体" w:cs="宋体"/>
                <w:color w:val="000000"/>
                <w:szCs w:val="21"/>
              </w:rPr>
            </w:pPr>
          </w:p>
        </w:tc>
      </w:tr>
      <w:tr w14:paraId="0F9618FA">
        <w:tblPrEx>
          <w:tblCellMar>
            <w:top w:w="0" w:type="dxa"/>
            <w:left w:w="108" w:type="dxa"/>
            <w:bottom w:w="0" w:type="dxa"/>
            <w:right w:w="108" w:type="dxa"/>
          </w:tblCellMar>
        </w:tblPrEx>
        <w:trPr>
          <w:trHeight w:val="2042" w:hRule="atLeast"/>
          <w:jc w:val="center"/>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EC1A">
            <w:pPr>
              <w:widowControl/>
              <w:ind w:firstLine="42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服务要求</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C435D">
            <w:pPr>
              <w:widowControl/>
              <w:ind w:firstLine="42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1.主动维护与患者及家属的良好关系，确保患者顺利出院；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2.各类登记表、调查表清晰、明确、完整；</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3.顺利完成职责范围内的工作，必要时协助科室工作。</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74A5">
            <w:pPr>
              <w:widowControl/>
              <w:ind w:firstLine="42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 合格</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     □ 不合格</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4415">
            <w:pPr>
              <w:ind w:firstLine="420"/>
              <w:rPr>
                <w:rFonts w:ascii="宋体" w:hAnsi="宋体" w:eastAsia="宋体" w:cs="宋体"/>
                <w:color w:val="000000"/>
                <w:szCs w:val="21"/>
              </w:rPr>
            </w:pPr>
          </w:p>
        </w:tc>
      </w:tr>
      <w:tr w14:paraId="01EC9EDE">
        <w:tblPrEx>
          <w:tblCellMar>
            <w:top w:w="0" w:type="dxa"/>
            <w:left w:w="108" w:type="dxa"/>
            <w:bottom w:w="0" w:type="dxa"/>
            <w:right w:w="108" w:type="dxa"/>
          </w:tblCellMar>
        </w:tblPrEx>
        <w:trPr>
          <w:trHeight w:val="1063" w:hRule="atLeast"/>
          <w:jc w:val="center"/>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E9C4">
            <w:pPr>
              <w:widowControl/>
              <w:ind w:firstLine="42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患者满意度</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4C5A4">
            <w:pPr>
              <w:widowControl/>
              <w:ind w:firstLine="42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现场调查1-2位患者</w:t>
            </w:r>
            <w:r>
              <w:rPr>
                <w:rFonts w:hint="eastAsia" w:ascii="宋体" w:hAnsi="宋体" w:cs="宋体"/>
                <w:color w:val="000000"/>
                <w:kern w:val="0"/>
                <w:szCs w:val="21"/>
                <w:lang w:bidi="ar"/>
              </w:rPr>
              <w:t>或家属</w:t>
            </w:r>
            <w:r>
              <w:rPr>
                <w:rFonts w:hint="eastAsia" w:ascii="宋体" w:hAnsi="宋体" w:eastAsia="宋体" w:cs="宋体"/>
                <w:color w:val="000000"/>
                <w:kern w:val="0"/>
                <w:szCs w:val="21"/>
                <w:lang w:bidi="ar"/>
              </w:rPr>
              <w:t>对陪护员的服务是否满意</w:t>
            </w:r>
            <w:r>
              <w:rPr>
                <w:rFonts w:hint="eastAsia" w:ascii="宋体" w:hAnsi="宋体" w:cs="宋体"/>
                <w:color w:val="000000"/>
                <w:kern w:val="0"/>
                <w:szCs w:val="21"/>
                <w:lang w:bidi="ar"/>
              </w:rPr>
              <w:t>，记录意见建议</w:t>
            </w:r>
            <w:r>
              <w:rPr>
                <w:rFonts w:hint="eastAsia" w:ascii="宋体" w:hAnsi="宋体" w:eastAsia="宋体" w:cs="宋体"/>
                <w:color w:val="000000"/>
                <w:kern w:val="0"/>
                <w:szCs w:val="21"/>
                <w:lang w:bidi="ar"/>
              </w:rPr>
              <w:t>。</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EA18">
            <w:pPr>
              <w:widowControl/>
              <w:ind w:firstLine="420"/>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 xml:space="preserve"> □ 合格</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     □ 不合格</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5959">
            <w:pPr>
              <w:ind w:firstLine="420"/>
              <w:rPr>
                <w:rFonts w:ascii="宋体" w:hAnsi="宋体" w:eastAsia="宋体" w:cs="宋体"/>
                <w:color w:val="000000"/>
                <w:szCs w:val="21"/>
              </w:rPr>
            </w:pPr>
          </w:p>
        </w:tc>
      </w:tr>
      <w:tr w14:paraId="1912BBF2">
        <w:tblPrEx>
          <w:tblCellMar>
            <w:top w:w="0" w:type="dxa"/>
            <w:left w:w="108" w:type="dxa"/>
            <w:bottom w:w="0" w:type="dxa"/>
            <w:right w:w="108" w:type="dxa"/>
          </w:tblCellMar>
        </w:tblPrEx>
        <w:trPr>
          <w:trHeight w:val="850" w:hRule="atLeast"/>
          <w:jc w:val="center"/>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8FCE">
            <w:pPr>
              <w:widowControl/>
              <w:ind w:firstLine="420"/>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投诉纠纷</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E884B">
            <w:pPr>
              <w:widowControl/>
              <w:ind w:firstLine="420"/>
              <w:jc w:val="left"/>
              <w:textAlignment w:val="center"/>
              <w:rPr>
                <w:rFonts w:ascii="宋体" w:hAnsi="宋体" w:eastAsia="宋体" w:cs="宋体"/>
                <w:color w:val="000000"/>
                <w:szCs w:val="21"/>
              </w:rPr>
            </w:pPr>
            <w:r>
              <w:rPr>
                <w:rFonts w:hint="eastAsia" w:ascii="宋体" w:hAnsi="宋体" w:cs="宋体"/>
                <w:color w:val="000000"/>
                <w:kern w:val="0"/>
                <w:szCs w:val="21"/>
                <w:lang w:bidi="ar"/>
              </w:rPr>
              <w:t>防止出现纠纷、投诉、不良事件</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BB66D">
            <w:pPr>
              <w:ind w:firstLine="420"/>
              <w:jc w:val="left"/>
              <w:rPr>
                <w:rFonts w:ascii="宋体" w:hAnsi="宋体" w:eastAsia="宋体" w:cs="宋体"/>
                <w:color w:val="000000"/>
                <w:szCs w:val="21"/>
              </w:rPr>
            </w:pPr>
            <w:r>
              <w:rPr>
                <w:rFonts w:hint="eastAsia" w:ascii="宋体" w:hAnsi="宋体" w:eastAsia="宋体" w:cs="宋体"/>
                <w:color w:val="000000"/>
                <w:kern w:val="0"/>
                <w:szCs w:val="21"/>
                <w:lang w:bidi="ar"/>
              </w:rPr>
              <w:t xml:space="preserve"> □ 合格</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     □ 不合格</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9B4C">
            <w:pPr>
              <w:ind w:firstLine="420"/>
              <w:rPr>
                <w:rFonts w:ascii="宋体" w:hAnsi="宋体" w:eastAsia="宋体" w:cs="宋体"/>
                <w:color w:val="000000"/>
                <w:szCs w:val="21"/>
              </w:rPr>
            </w:pPr>
          </w:p>
        </w:tc>
      </w:tr>
      <w:tr w14:paraId="6C1626B3">
        <w:tblPrEx>
          <w:tblCellMar>
            <w:top w:w="0" w:type="dxa"/>
            <w:left w:w="108" w:type="dxa"/>
            <w:bottom w:w="0" w:type="dxa"/>
            <w:right w:w="108" w:type="dxa"/>
          </w:tblCellMar>
        </w:tblPrEx>
        <w:trPr>
          <w:trHeight w:val="815" w:hRule="atLeast"/>
          <w:jc w:val="center"/>
        </w:trPr>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FFAF">
            <w:pPr>
              <w:widowControl/>
              <w:ind w:firstLine="420"/>
              <w:jc w:val="center"/>
              <w:textAlignment w:val="center"/>
              <w:rPr>
                <w:rFonts w:ascii="宋体" w:hAnsi="宋体" w:eastAsia="宋体" w:cs="宋体"/>
                <w:color w:val="000000"/>
                <w:kern w:val="0"/>
                <w:szCs w:val="21"/>
                <w:lang w:bidi="ar"/>
              </w:rPr>
            </w:pPr>
            <w:r>
              <w:rPr>
                <w:rFonts w:hint="eastAsia" w:ascii="宋体" w:hAnsi="宋体" w:cs="宋体"/>
                <w:color w:val="000000"/>
                <w:kern w:val="0"/>
                <w:szCs w:val="21"/>
                <w:lang w:bidi="ar"/>
              </w:rPr>
              <w:t>安全责任</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B820">
            <w:pPr>
              <w:widowControl/>
              <w:ind w:firstLine="420"/>
              <w:jc w:val="left"/>
              <w:textAlignment w:val="center"/>
              <w:rPr>
                <w:rFonts w:ascii="宋体" w:hAnsi="宋体" w:eastAsia="宋体" w:cs="宋体"/>
                <w:color w:val="000000"/>
                <w:kern w:val="0"/>
                <w:szCs w:val="21"/>
                <w:lang w:bidi="ar"/>
              </w:rPr>
            </w:pPr>
            <w:r>
              <w:rPr>
                <w:rFonts w:hint="eastAsia" w:ascii="宋体" w:hAnsi="宋体" w:cs="宋体"/>
                <w:color w:val="000000"/>
                <w:kern w:val="0"/>
                <w:szCs w:val="21"/>
                <w:lang w:bidi="ar"/>
              </w:rPr>
              <w:t>杜绝发生各类安全事件</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45B0">
            <w:pPr>
              <w:ind w:firstLine="420"/>
              <w:jc w:val="left"/>
              <w:rPr>
                <w:rFonts w:ascii="宋体" w:hAnsi="宋体" w:eastAsia="宋体" w:cs="宋体"/>
                <w:color w:val="000000"/>
                <w:szCs w:val="21"/>
              </w:rPr>
            </w:pPr>
            <w:r>
              <w:rPr>
                <w:rFonts w:hint="eastAsia" w:ascii="宋体" w:hAnsi="宋体" w:eastAsia="宋体" w:cs="宋体"/>
                <w:color w:val="000000"/>
                <w:kern w:val="0"/>
                <w:szCs w:val="21"/>
                <w:lang w:bidi="ar"/>
              </w:rPr>
              <w:t xml:space="preserve"> □ 合格</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 xml:space="preserve">     □ 不合格</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F8F9">
            <w:pPr>
              <w:ind w:firstLine="420"/>
              <w:rPr>
                <w:rFonts w:ascii="宋体" w:hAnsi="宋体" w:eastAsia="宋体" w:cs="宋体"/>
                <w:color w:val="000000"/>
                <w:szCs w:val="21"/>
              </w:rPr>
            </w:pPr>
          </w:p>
        </w:tc>
      </w:tr>
    </w:tbl>
    <w:p w14:paraId="7B5C0519">
      <w:pPr>
        <w:ind w:firstLine="360"/>
        <w:rPr>
          <w:rFonts w:ascii="宋体" w:hAnsi="宋体" w:cs="宋体"/>
          <w:color w:val="000000"/>
          <w:kern w:val="0"/>
          <w:sz w:val="18"/>
          <w:szCs w:val="18"/>
          <w:lang w:bidi="ar"/>
        </w:rPr>
      </w:pPr>
    </w:p>
    <w:p w14:paraId="13DDEB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color w:val="000000"/>
          <w:kern w:val="0"/>
          <w:sz w:val="24"/>
          <w:szCs w:val="24"/>
          <w:lang w:bidi="ar"/>
        </w:rPr>
        <w:t>说明：每出现一次不合格项，当月考评分对应扣减一分，扣分累计。</w:t>
      </w:r>
    </w:p>
    <w:p w14:paraId="249B08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kern w:val="0"/>
          <w:sz w:val="24"/>
          <w:szCs w:val="24"/>
          <w:lang w:bidi="ar"/>
        </w:rPr>
        <w:t>每周</w:t>
      </w:r>
      <w:r>
        <w:rPr>
          <w:rFonts w:hint="eastAsia" w:asciiTheme="minorEastAsia" w:hAnsiTheme="minorEastAsia" w:eastAsiaTheme="minorEastAsia" w:cstheme="minorEastAsia"/>
          <w:color w:val="000000" w:themeColor="text1"/>
          <w:kern w:val="0"/>
          <w:sz w:val="24"/>
          <w:szCs w:val="24"/>
          <w:lang w:bidi="ar"/>
          <w14:textFill>
            <w14:solidFill>
              <w14:schemeClr w14:val="tx1"/>
            </w14:solidFill>
          </w14:textFill>
        </w:rPr>
        <w:t>职能部门监管人员开展一次针对在册陪护人员的现场督查，职能部门存档。</w:t>
      </w:r>
    </w:p>
    <w:p w14:paraId="7681AEF0">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341EA1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sz w:val="24"/>
          <w:szCs w:val="24"/>
        </w:rPr>
        <w:t>出现涉在院陪护人员纠纷时，</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在院陪护团队管理人员须在12小时内响应院内监管部门要求并到位跟进处理纠纷。</w:t>
      </w:r>
    </w:p>
    <w:p w14:paraId="3B992A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sz w:val="24"/>
          <w:szCs w:val="24"/>
        </w:rPr>
        <w:t>如</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陪护团队遭到患者或其家属投诉，经查实确实是</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陪护团员责任的，根据责任严重程度对</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处以500-2000元不等违约金。如</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陪护团队与患者或其家属出现纠纷及其他有影响医院形象和规定等事情的，根据影响严重程度对投标人处以1000-5000元不等违约金，</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须在次月支付违约金到医院账户。</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须在次月支付违约金到医院账户。情况恶劣的，</w:t>
      </w:r>
      <w:r>
        <w:rPr>
          <w:rFonts w:hint="eastAsia" w:asciiTheme="minorEastAsia" w:hAnsiTheme="minorEastAsia" w:cstheme="minorEastAsia"/>
          <w:sz w:val="24"/>
          <w:szCs w:val="24"/>
          <w:lang w:eastAsia="zh-CN"/>
        </w:rPr>
        <w:t>采购人</w:t>
      </w:r>
      <w:r>
        <w:rPr>
          <w:rFonts w:hint="eastAsia" w:asciiTheme="minorEastAsia" w:hAnsiTheme="minorEastAsia" w:eastAsiaTheme="minorEastAsia" w:cstheme="minorEastAsia"/>
          <w:sz w:val="24"/>
          <w:szCs w:val="24"/>
        </w:rPr>
        <w:t>有权终止合同。</w:t>
      </w:r>
    </w:p>
    <w:p w14:paraId="5400C6A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应急</w:t>
      </w:r>
      <w:r>
        <w:rPr>
          <w:rFonts w:hint="eastAsia" w:ascii="宋体" w:hAnsi="宋体" w:eastAsia="宋体" w:cs="宋体"/>
          <w:b/>
          <w:bCs/>
          <w:sz w:val="24"/>
          <w:szCs w:val="24"/>
          <w:lang w:val="en-US" w:eastAsia="zh-CN"/>
        </w:rPr>
        <w:t>要求</w:t>
      </w:r>
    </w:p>
    <w:p w14:paraId="046A57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建立人员应急调配机制：</w:t>
      </w:r>
      <w:r>
        <w:rPr>
          <w:rFonts w:hint="eastAsia" w:ascii="宋体" w:hAnsi="宋体" w:eastAsia="宋体" w:cs="宋体"/>
          <w:sz w:val="24"/>
          <w:szCs w:val="24"/>
          <w:lang w:val="en-US" w:eastAsia="zh-CN"/>
        </w:rPr>
        <w:t>防护人</w:t>
      </w:r>
      <w:r>
        <w:rPr>
          <w:rFonts w:hint="eastAsia" w:ascii="宋体" w:hAnsi="宋体" w:eastAsia="宋体" w:cs="宋体"/>
          <w:sz w:val="24"/>
          <w:szCs w:val="24"/>
        </w:rPr>
        <w:t>员请假或突发缺人时，24小时内补齐岗位，缺岗时间超过5个工作日视为违约。</w:t>
      </w:r>
    </w:p>
    <w:p w14:paraId="341CE7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制定突发事件应急预案：涵盖患者跌倒、坠床、误吸、噎食等场景，每季度组织演练，确保</w:t>
      </w:r>
      <w:r>
        <w:rPr>
          <w:rFonts w:hint="eastAsia" w:ascii="宋体" w:hAnsi="宋体" w:eastAsia="宋体" w:cs="宋体"/>
          <w:sz w:val="24"/>
          <w:szCs w:val="24"/>
          <w:lang w:val="en-US" w:eastAsia="zh-CN"/>
        </w:rPr>
        <w:t>防护人</w:t>
      </w:r>
      <w:r>
        <w:rPr>
          <w:rFonts w:hint="eastAsia" w:ascii="宋体" w:hAnsi="宋体" w:eastAsia="宋体" w:cs="宋体"/>
          <w:sz w:val="24"/>
          <w:szCs w:val="24"/>
        </w:rPr>
        <w:t>员掌握基本应急处理流程并及时上报。</w:t>
      </w:r>
    </w:p>
    <w:p w14:paraId="10EE3BBC">
      <w:pPr>
        <w:pStyle w:val="2"/>
        <w:rPr>
          <w:rFonts w:hint="eastAsia"/>
        </w:rPr>
      </w:pPr>
    </w:p>
    <w:p w14:paraId="092B7426">
      <w:pPr>
        <w:pStyle w:val="2"/>
        <w:rPr>
          <w:rFonts w:hint="eastAsia" w:ascii="宋体" w:hAnsi="宋体" w:eastAsia="宋体" w:cs="宋体"/>
          <w:color w:val="000000"/>
          <w:kern w:val="0"/>
          <w:sz w:val="24"/>
          <w:szCs w:val="24"/>
          <w:lang w:val="en-US" w:eastAsia="zh-CN" w:bidi="ar-SA"/>
        </w:rPr>
      </w:pPr>
    </w:p>
    <w:p w14:paraId="0C0A2BE6">
      <w:pPr>
        <w:keepNext w:val="0"/>
        <w:keepLines w:val="0"/>
        <w:pageBreakBefore w:val="0"/>
        <w:widowControl w:val="0"/>
        <w:numPr>
          <w:ilvl w:val="0"/>
          <w:numId w:val="6"/>
        </w:numPr>
        <w:kinsoku/>
        <w:wordWrap/>
        <w:overflowPunct/>
        <w:topLinePunct w:val="0"/>
        <w:autoSpaceDE/>
        <w:autoSpaceDN/>
        <w:bidi w:val="0"/>
        <w:adjustRightInd w:val="0"/>
        <w:snapToGrid w:val="0"/>
        <w:spacing w:line="520" w:lineRule="atLeast"/>
        <w:ind w:left="0" w:leftChars="0" w:firstLine="420" w:firstLineChars="0"/>
        <w:textAlignment w:val="auto"/>
        <w:rPr>
          <w:rFonts w:hint="eastAsia" w:ascii="华文行楷" w:hAnsi="华文行楷" w:eastAsia="华文行楷" w:cs="华文行楷"/>
          <w:b w:val="0"/>
          <w:bCs w:val="0"/>
          <w:kern w:val="2"/>
          <w:sz w:val="24"/>
          <w:szCs w:val="24"/>
          <w:highlight w:val="none"/>
          <w:lang w:val="en-US" w:eastAsia="zh-CN" w:bidi="ar-SA"/>
        </w:rPr>
      </w:pPr>
      <w:r>
        <w:rPr>
          <w:rFonts w:hint="eastAsia" w:ascii="华文行楷" w:hAnsi="华文行楷" w:eastAsia="华文行楷" w:cs="华文行楷"/>
          <w:b w:val="0"/>
          <w:bCs w:val="0"/>
          <w:kern w:val="2"/>
          <w:sz w:val="24"/>
          <w:szCs w:val="24"/>
          <w:highlight w:val="none"/>
          <w:lang w:val="en-US" w:eastAsia="zh-CN" w:bidi="ar-SA"/>
        </w:rPr>
        <w:t>★商务条款</w:t>
      </w:r>
    </w:p>
    <w:p w14:paraId="1FE3C18F">
      <w:pPr>
        <w:keepNext w:val="0"/>
        <w:keepLines w:val="0"/>
        <w:pageBreakBefore w:val="0"/>
        <w:widowControl w:val="0"/>
        <w:numPr>
          <w:ilvl w:val="0"/>
          <w:numId w:val="8"/>
        </w:numPr>
        <w:kinsoku/>
        <w:wordWrap/>
        <w:overflowPunct/>
        <w:topLinePunct w:val="0"/>
        <w:autoSpaceDE/>
        <w:autoSpaceDN/>
        <w:bidi w:val="0"/>
        <w:adjustRightInd w:val="0"/>
        <w:snapToGrid w:val="0"/>
        <w:spacing w:line="520" w:lineRule="atLeast"/>
        <w:ind w:left="0" w:leftChars="0" w:firstLine="400" w:firstLineChars="0"/>
        <w:textAlignment w:val="auto"/>
        <w:rPr>
          <w:rFonts w:hint="eastAsia" w:eastAsia="宋体" w:asciiTheme="minorHAnsi" w:hAnsiTheme="minorHAnsi" w:cstheme="minorBidi"/>
          <w:b w:val="0"/>
          <w:bCs w:val="0"/>
          <w:kern w:val="2"/>
          <w:sz w:val="24"/>
          <w:szCs w:val="24"/>
          <w:highlight w:val="none"/>
          <w:lang w:val="en-US" w:eastAsia="zh-CN" w:bidi="ar-SA"/>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期限：</w:t>
      </w:r>
      <w:r>
        <w:rPr>
          <w:rFonts w:hint="eastAsia" w:eastAsia="宋体"/>
          <w:b w:val="0"/>
          <w:bCs w:val="0"/>
          <w:sz w:val="24"/>
          <w:highlight w:val="none"/>
          <w:lang w:val="en-US" w:eastAsia="zh-CN"/>
        </w:rPr>
        <w:t>本项目合同期限为一年，</w:t>
      </w:r>
      <w:r>
        <w:rPr>
          <w:rFonts w:hint="eastAsia" w:eastAsia="宋体" w:asciiTheme="minorHAnsi" w:hAnsiTheme="minorHAnsi" w:cstheme="minorBidi"/>
          <w:b w:val="0"/>
          <w:bCs w:val="0"/>
          <w:kern w:val="2"/>
          <w:sz w:val="24"/>
          <w:szCs w:val="24"/>
          <w:highlight w:val="none"/>
          <w:lang w:val="en-US" w:eastAsia="zh-CN" w:bidi="ar-SA"/>
        </w:rPr>
        <w:t>项目为服务类项目，第一年为本次招标的中标服务期限</w:t>
      </w:r>
      <w:r>
        <w:rPr>
          <w:rFonts w:hint="eastAsia" w:eastAsia="宋体" w:cstheme="minorBidi"/>
          <w:b w:val="0"/>
          <w:bCs w:val="0"/>
          <w:kern w:val="2"/>
          <w:sz w:val="24"/>
          <w:szCs w:val="24"/>
          <w:highlight w:val="none"/>
          <w:lang w:val="en-US" w:eastAsia="zh-CN" w:bidi="ar-SA"/>
        </w:rPr>
        <w:t>。</w:t>
      </w:r>
      <w:r>
        <w:rPr>
          <w:rFonts w:hint="eastAsia" w:eastAsia="宋体"/>
          <w:b w:val="0"/>
          <w:bCs w:val="0"/>
          <w:sz w:val="24"/>
          <w:highlight w:val="none"/>
          <w:lang w:val="en-US" w:eastAsia="zh-CN"/>
        </w:rPr>
        <w:t>期满后，采购人可根据中标人履约情况确定合同期限是否延长，但最长不超过三年，合同一年一签。</w:t>
      </w:r>
      <w:r>
        <w:rPr>
          <w:rFonts w:hint="eastAsia" w:eastAsia="宋体" w:cstheme="minorBidi"/>
          <w:b w:val="0"/>
          <w:bCs w:val="0"/>
          <w:kern w:val="2"/>
          <w:sz w:val="24"/>
          <w:szCs w:val="24"/>
          <w:highlight w:val="none"/>
          <w:lang w:val="en-US" w:eastAsia="zh-CN" w:bidi="ar-SA"/>
        </w:rPr>
        <w:t>中标人</w:t>
      </w:r>
      <w:r>
        <w:rPr>
          <w:rFonts w:hint="eastAsia" w:eastAsia="宋体" w:asciiTheme="minorHAnsi" w:hAnsiTheme="minorHAnsi" w:cstheme="minorBidi"/>
          <w:b w:val="0"/>
          <w:bCs w:val="0"/>
          <w:kern w:val="2"/>
          <w:sz w:val="24"/>
          <w:szCs w:val="24"/>
          <w:highlight w:val="none"/>
          <w:lang w:val="en-US" w:eastAsia="zh-CN" w:bidi="ar-SA"/>
        </w:rPr>
        <w:t>需在合同签订后一个月内进驻医院完成交接，开始院内陪护工作，并完成陪护</w:t>
      </w:r>
      <w:r>
        <w:rPr>
          <w:rFonts w:hint="eastAsia" w:eastAsia="宋体" w:cstheme="minorBidi"/>
          <w:b w:val="0"/>
          <w:bCs w:val="0"/>
          <w:kern w:val="2"/>
          <w:sz w:val="24"/>
          <w:szCs w:val="24"/>
          <w:highlight w:val="none"/>
          <w:lang w:val="en-US" w:eastAsia="zh-CN" w:bidi="ar-SA"/>
        </w:rPr>
        <w:t>人</w:t>
      </w:r>
      <w:r>
        <w:rPr>
          <w:rFonts w:hint="eastAsia" w:eastAsia="宋体" w:asciiTheme="minorHAnsi" w:hAnsiTheme="minorHAnsi" w:cstheme="minorBidi"/>
          <w:b w:val="0"/>
          <w:bCs w:val="0"/>
          <w:kern w:val="2"/>
          <w:sz w:val="24"/>
          <w:szCs w:val="24"/>
          <w:highlight w:val="none"/>
          <w:lang w:val="en-US" w:eastAsia="zh-CN" w:bidi="ar-SA"/>
        </w:rPr>
        <w:t>员管理系统上线及接入医院端口。</w:t>
      </w:r>
    </w:p>
    <w:p w14:paraId="21D2027F">
      <w:pPr>
        <w:keepNext w:val="0"/>
        <w:keepLines w:val="0"/>
        <w:pageBreakBefore w:val="0"/>
        <w:widowControl w:val="0"/>
        <w:numPr>
          <w:ilvl w:val="0"/>
          <w:numId w:val="8"/>
        </w:numPr>
        <w:kinsoku/>
        <w:wordWrap/>
        <w:overflowPunct/>
        <w:topLinePunct w:val="0"/>
        <w:autoSpaceDE/>
        <w:autoSpaceDN/>
        <w:bidi w:val="0"/>
        <w:adjustRightInd w:val="0"/>
        <w:snapToGrid w:val="0"/>
        <w:spacing w:line="520" w:lineRule="atLeast"/>
        <w:ind w:left="0" w:leftChars="0" w:firstLine="40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rPr>
        <w:t>地点：</w:t>
      </w:r>
      <w:r>
        <w:rPr>
          <w:rFonts w:hint="eastAsia" w:eastAsia="宋体"/>
          <w:sz w:val="24"/>
          <w:highlight w:val="none"/>
          <w:lang w:eastAsia="zh-CN"/>
        </w:rPr>
        <w:t>中山大学附属第八医院</w:t>
      </w:r>
      <w:r>
        <w:rPr>
          <w:rFonts w:eastAsia="宋体"/>
          <w:sz w:val="24"/>
          <w:highlight w:val="none"/>
        </w:rPr>
        <w:t>（</w:t>
      </w:r>
      <w:r>
        <w:rPr>
          <w:rFonts w:hint="eastAsia" w:eastAsia="宋体"/>
          <w:sz w:val="24"/>
          <w:highlight w:val="none"/>
          <w:lang w:eastAsia="zh-CN"/>
        </w:rPr>
        <w:t>深圳福田</w:t>
      </w:r>
      <w:r>
        <w:rPr>
          <w:rFonts w:eastAsia="宋体"/>
          <w:sz w:val="24"/>
          <w:highlight w:val="none"/>
        </w:rPr>
        <w:t>）</w:t>
      </w:r>
      <w:r>
        <w:rPr>
          <w:rFonts w:hint="eastAsia" w:eastAsia="宋体"/>
          <w:sz w:val="24"/>
          <w:highlight w:val="none"/>
        </w:rPr>
        <w:t>指定地点</w:t>
      </w:r>
      <w:r>
        <w:rPr>
          <w:rFonts w:hint="eastAsia" w:eastAsia="宋体"/>
          <w:sz w:val="24"/>
          <w:highlight w:val="none"/>
          <w:lang w:eastAsia="zh-CN"/>
        </w:rPr>
        <w:t>（</w:t>
      </w:r>
      <w:r>
        <w:rPr>
          <w:rFonts w:hint="eastAsia" w:eastAsia="宋体"/>
          <w:sz w:val="24"/>
          <w:highlight w:val="none"/>
          <w:lang w:val="en-US" w:eastAsia="zh-CN"/>
        </w:rPr>
        <w:t>医院及各社康</w:t>
      </w:r>
      <w:r>
        <w:rPr>
          <w:rFonts w:hint="eastAsia" w:eastAsia="宋体"/>
          <w:sz w:val="24"/>
          <w:highlight w:val="none"/>
          <w:lang w:eastAsia="zh-CN"/>
        </w:rPr>
        <w:t>）</w:t>
      </w:r>
    </w:p>
    <w:p w14:paraId="2A202C18">
      <w:pPr>
        <w:keepNext w:val="0"/>
        <w:keepLines w:val="0"/>
        <w:pageBreakBefore w:val="0"/>
        <w:widowControl w:val="0"/>
        <w:numPr>
          <w:ilvl w:val="0"/>
          <w:numId w:val="8"/>
        </w:numPr>
        <w:kinsoku/>
        <w:wordWrap/>
        <w:overflowPunct/>
        <w:topLinePunct w:val="0"/>
        <w:autoSpaceDE/>
        <w:autoSpaceDN/>
        <w:bidi w:val="0"/>
        <w:adjustRightInd w:val="0"/>
        <w:snapToGrid w:val="0"/>
        <w:spacing w:line="520" w:lineRule="atLeast"/>
        <w:ind w:left="0" w:leftChars="0" w:firstLine="400" w:firstLineChars="0"/>
        <w:textAlignment w:val="auto"/>
        <w:rPr>
          <w:rFonts w:hint="eastAsia" w:ascii="宋体" w:hAnsi="宋体" w:cs="宋体"/>
          <w:b/>
          <w:bCs/>
          <w:sz w:val="24"/>
          <w:szCs w:val="32"/>
        </w:rPr>
      </w:pPr>
      <w:r>
        <w:rPr>
          <w:rFonts w:hint="eastAsia" w:ascii="宋体" w:hAnsi="宋体" w:cs="宋体"/>
          <w:b/>
          <w:bCs/>
          <w:sz w:val="24"/>
          <w:szCs w:val="32"/>
        </w:rPr>
        <w:t>收费标准</w:t>
      </w:r>
      <w:r>
        <w:rPr>
          <w:rFonts w:hint="eastAsia" w:ascii="宋体" w:hAnsi="宋体" w:eastAsia="宋体" w:cs="宋体"/>
          <w:b/>
          <w:bCs/>
          <w:sz w:val="24"/>
          <w:szCs w:val="24"/>
          <w:highlight w:val="none"/>
        </w:rPr>
        <w:t>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3758"/>
        <w:gridCol w:w="2415"/>
        <w:gridCol w:w="1550"/>
      </w:tblGrid>
      <w:tr w14:paraId="43EB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6C475A7B">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val="en-US" w:eastAsia="zh-CN"/>
              </w:rPr>
              <w:t>序</w:t>
            </w:r>
            <w:r>
              <w:rPr>
                <w:rFonts w:hint="eastAsia" w:ascii="宋体" w:hAnsi="宋体" w:eastAsia="宋体" w:cs="宋体"/>
                <w:b w:val="0"/>
                <w:bCs/>
                <w:sz w:val="24"/>
                <w:szCs w:val="24"/>
                <w:highlight w:val="none"/>
                <w:vertAlign w:val="baseline"/>
                <w:lang w:eastAsia="zh-CN"/>
              </w:rPr>
              <w:t>号</w:t>
            </w:r>
          </w:p>
        </w:tc>
        <w:tc>
          <w:tcPr>
            <w:tcW w:w="3758" w:type="dxa"/>
            <w:vAlign w:val="center"/>
          </w:tcPr>
          <w:p w14:paraId="1EA1B371">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jc w:val="center"/>
              <w:textAlignment w:val="auto"/>
              <w:outlineLvl w:val="9"/>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项目内容</w:t>
            </w:r>
          </w:p>
        </w:tc>
        <w:tc>
          <w:tcPr>
            <w:tcW w:w="2415" w:type="dxa"/>
            <w:vAlign w:val="center"/>
          </w:tcPr>
          <w:p w14:paraId="596FB050">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平日最高限价</w:t>
            </w:r>
          </w:p>
        </w:tc>
        <w:tc>
          <w:tcPr>
            <w:tcW w:w="1550" w:type="dxa"/>
            <w:vAlign w:val="center"/>
          </w:tcPr>
          <w:p w14:paraId="00ECDD32">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备注</w:t>
            </w:r>
          </w:p>
        </w:tc>
      </w:tr>
      <w:tr w14:paraId="2127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51207B77">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w:t>
            </w:r>
          </w:p>
        </w:tc>
        <w:tc>
          <w:tcPr>
            <w:tcW w:w="3758" w:type="dxa"/>
            <w:vAlign w:val="center"/>
          </w:tcPr>
          <w:p w14:paraId="1F936DAA">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一对一</w:t>
            </w:r>
          </w:p>
        </w:tc>
        <w:tc>
          <w:tcPr>
            <w:tcW w:w="2415" w:type="dxa"/>
            <w:vAlign w:val="center"/>
          </w:tcPr>
          <w:p w14:paraId="6127295D">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280元/人/天</w:t>
            </w:r>
          </w:p>
        </w:tc>
        <w:tc>
          <w:tcPr>
            <w:tcW w:w="1550" w:type="dxa"/>
            <w:vMerge w:val="restart"/>
            <w:vAlign w:val="center"/>
          </w:tcPr>
          <w:p w14:paraId="77D35694">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i/>
                <w:i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具备医学背景的护理员，在此基础上增加20%收费</w:t>
            </w:r>
          </w:p>
        </w:tc>
      </w:tr>
      <w:tr w14:paraId="6679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55618E4A">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2</w:t>
            </w:r>
          </w:p>
        </w:tc>
        <w:tc>
          <w:tcPr>
            <w:tcW w:w="3758" w:type="dxa"/>
            <w:vAlign w:val="center"/>
          </w:tcPr>
          <w:p w14:paraId="5EF82CDD">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4"/>
                <w:szCs w:val="24"/>
                <w:highlight w:val="none"/>
                <w:vertAlign w:val="baseline"/>
              </w:rPr>
            </w:pPr>
            <w:r>
              <w:rPr>
                <w:rFonts w:hint="eastAsia" w:ascii="宋体" w:hAnsi="宋体" w:eastAsia="宋体" w:cs="宋体"/>
                <w:b w:val="0"/>
                <w:bCs/>
                <w:sz w:val="24"/>
                <w:szCs w:val="24"/>
                <w:highlight w:val="none"/>
                <w:vertAlign w:val="baseline"/>
                <w:lang w:eastAsia="zh-CN"/>
              </w:rPr>
              <w:t>一对二</w:t>
            </w:r>
          </w:p>
        </w:tc>
        <w:tc>
          <w:tcPr>
            <w:tcW w:w="2415" w:type="dxa"/>
            <w:vAlign w:val="center"/>
          </w:tcPr>
          <w:p w14:paraId="0A28DB2B">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4"/>
                <w:szCs w:val="24"/>
                <w:highlight w:val="none"/>
                <w:vertAlign w:val="baseline"/>
              </w:rPr>
            </w:pPr>
            <w:r>
              <w:rPr>
                <w:rFonts w:hint="eastAsia" w:ascii="宋体" w:hAnsi="宋体" w:eastAsia="宋体" w:cs="宋体"/>
                <w:b w:val="0"/>
                <w:bCs/>
                <w:sz w:val="24"/>
                <w:szCs w:val="24"/>
                <w:highlight w:val="none"/>
                <w:vertAlign w:val="baseline"/>
                <w:lang w:val="en-US" w:eastAsia="zh-CN"/>
              </w:rPr>
              <w:t>180元/人/天</w:t>
            </w:r>
          </w:p>
        </w:tc>
        <w:tc>
          <w:tcPr>
            <w:tcW w:w="1550" w:type="dxa"/>
            <w:vMerge w:val="continue"/>
            <w:vAlign w:val="center"/>
          </w:tcPr>
          <w:p w14:paraId="18C5B0BE">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i/>
                <w:iCs/>
                <w:sz w:val="24"/>
                <w:szCs w:val="24"/>
                <w:highlight w:val="none"/>
                <w:vertAlign w:val="baseline"/>
              </w:rPr>
            </w:pPr>
          </w:p>
        </w:tc>
      </w:tr>
      <w:tr w14:paraId="4180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62EFBDF4">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3</w:t>
            </w:r>
          </w:p>
        </w:tc>
        <w:tc>
          <w:tcPr>
            <w:tcW w:w="3758" w:type="dxa"/>
            <w:vAlign w:val="center"/>
          </w:tcPr>
          <w:p w14:paraId="0200B48A">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4"/>
                <w:szCs w:val="24"/>
                <w:highlight w:val="none"/>
                <w:vertAlign w:val="baseline"/>
                <w:lang w:val="en-US"/>
              </w:rPr>
            </w:pPr>
            <w:r>
              <w:rPr>
                <w:rFonts w:hint="eastAsia" w:ascii="宋体" w:hAnsi="宋体" w:eastAsia="宋体" w:cs="宋体"/>
                <w:b w:val="0"/>
                <w:bCs/>
                <w:sz w:val="24"/>
                <w:szCs w:val="24"/>
                <w:highlight w:val="none"/>
                <w:vertAlign w:val="baseline"/>
                <w:lang w:eastAsia="zh-CN"/>
              </w:rPr>
              <w:t>一对</w:t>
            </w:r>
            <w:r>
              <w:rPr>
                <w:rFonts w:hint="eastAsia" w:ascii="宋体" w:hAnsi="宋体" w:eastAsia="宋体" w:cs="宋体"/>
                <w:b w:val="0"/>
                <w:bCs/>
                <w:sz w:val="24"/>
                <w:szCs w:val="24"/>
                <w:highlight w:val="none"/>
                <w:vertAlign w:val="baseline"/>
                <w:lang w:val="en-US" w:eastAsia="zh-CN"/>
              </w:rPr>
              <w:t>三</w:t>
            </w:r>
          </w:p>
        </w:tc>
        <w:tc>
          <w:tcPr>
            <w:tcW w:w="2415" w:type="dxa"/>
            <w:vAlign w:val="center"/>
          </w:tcPr>
          <w:p w14:paraId="5344433D">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4"/>
                <w:szCs w:val="24"/>
                <w:highlight w:val="none"/>
                <w:vertAlign w:val="baseline"/>
              </w:rPr>
            </w:pPr>
            <w:r>
              <w:rPr>
                <w:rFonts w:hint="eastAsia" w:ascii="宋体" w:hAnsi="宋体" w:eastAsia="宋体" w:cs="宋体"/>
                <w:b w:val="0"/>
                <w:bCs/>
                <w:sz w:val="24"/>
                <w:szCs w:val="24"/>
                <w:highlight w:val="none"/>
                <w:vertAlign w:val="baseline"/>
                <w:lang w:val="en-US" w:eastAsia="zh-CN"/>
              </w:rPr>
              <w:t>140元/人/天</w:t>
            </w:r>
          </w:p>
        </w:tc>
        <w:tc>
          <w:tcPr>
            <w:tcW w:w="1550" w:type="dxa"/>
            <w:vMerge w:val="continue"/>
            <w:vAlign w:val="center"/>
          </w:tcPr>
          <w:p w14:paraId="458D385E">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i/>
                <w:iCs/>
                <w:sz w:val="24"/>
                <w:szCs w:val="24"/>
                <w:highlight w:val="none"/>
                <w:vertAlign w:val="baseline"/>
              </w:rPr>
            </w:pPr>
          </w:p>
        </w:tc>
      </w:tr>
      <w:tr w14:paraId="2EAD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376CA021">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4</w:t>
            </w:r>
          </w:p>
        </w:tc>
        <w:tc>
          <w:tcPr>
            <w:tcW w:w="3758" w:type="dxa"/>
            <w:vAlign w:val="center"/>
          </w:tcPr>
          <w:p w14:paraId="4F80B6B3">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4"/>
                <w:szCs w:val="24"/>
                <w:highlight w:val="none"/>
                <w:vertAlign w:val="baseline"/>
                <w:lang w:val="en-US"/>
              </w:rPr>
            </w:pPr>
            <w:r>
              <w:rPr>
                <w:rFonts w:hint="eastAsia" w:ascii="宋体" w:hAnsi="宋体" w:eastAsia="宋体" w:cs="宋体"/>
                <w:b w:val="0"/>
                <w:bCs/>
                <w:sz w:val="24"/>
                <w:szCs w:val="24"/>
                <w:highlight w:val="none"/>
                <w:vertAlign w:val="baseline"/>
                <w:lang w:eastAsia="zh-CN"/>
              </w:rPr>
              <w:t>一对</w:t>
            </w:r>
            <w:r>
              <w:rPr>
                <w:rFonts w:hint="eastAsia" w:ascii="宋体" w:hAnsi="宋体" w:eastAsia="宋体" w:cs="宋体"/>
                <w:b w:val="0"/>
                <w:bCs/>
                <w:sz w:val="24"/>
                <w:szCs w:val="24"/>
                <w:highlight w:val="none"/>
                <w:vertAlign w:val="baseline"/>
                <w:lang w:val="en-US" w:eastAsia="zh-CN"/>
              </w:rPr>
              <w:t>多（小组制）</w:t>
            </w:r>
          </w:p>
        </w:tc>
        <w:tc>
          <w:tcPr>
            <w:tcW w:w="2415" w:type="dxa"/>
            <w:vAlign w:val="center"/>
          </w:tcPr>
          <w:p w14:paraId="2526ECF7">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4"/>
                <w:szCs w:val="24"/>
                <w:highlight w:val="none"/>
                <w:vertAlign w:val="baseline"/>
              </w:rPr>
            </w:pPr>
            <w:r>
              <w:rPr>
                <w:rFonts w:hint="eastAsia" w:ascii="宋体" w:hAnsi="宋体" w:eastAsia="宋体" w:cs="宋体"/>
                <w:b w:val="0"/>
                <w:bCs/>
                <w:sz w:val="24"/>
                <w:szCs w:val="24"/>
                <w:highlight w:val="none"/>
                <w:vertAlign w:val="baseline"/>
                <w:lang w:val="en-US" w:eastAsia="zh-CN"/>
              </w:rPr>
              <w:t>50-130元/人/天</w:t>
            </w:r>
          </w:p>
        </w:tc>
        <w:tc>
          <w:tcPr>
            <w:tcW w:w="1550" w:type="dxa"/>
            <w:vMerge w:val="continue"/>
            <w:vAlign w:val="center"/>
          </w:tcPr>
          <w:p w14:paraId="23C65F68">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i/>
                <w:iCs/>
                <w:sz w:val="24"/>
                <w:szCs w:val="24"/>
                <w:highlight w:val="none"/>
                <w:vertAlign w:val="baseline"/>
              </w:rPr>
            </w:pPr>
          </w:p>
        </w:tc>
      </w:tr>
      <w:tr w14:paraId="05C4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03F56FDB">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5</w:t>
            </w:r>
          </w:p>
        </w:tc>
        <w:tc>
          <w:tcPr>
            <w:tcW w:w="3758" w:type="dxa"/>
            <w:vAlign w:val="center"/>
          </w:tcPr>
          <w:p w14:paraId="6D3AAD3B">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4"/>
                <w:szCs w:val="24"/>
                <w:highlight w:val="none"/>
                <w:vertAlign w:val="baseline"/>
                <w:lang w:eastAsia="zh-CN"/>
              </w:rPr>
            </w:pPr>
            <w:r>
              <w:rPr>
                <w:rFonts w:hint="eastAsia" w:ascii="宋体" w:hAnsi="宋体" w:eastAsia="宋体" w:cs="宋体"/>
                <w:b w:val="0"/>
                <w:bCs/>
                <w:sz w:val="24"/>
                <w:szCs w:val="24"/>
                <w:highlight w:val="none"/>
                <w:vertAlign w:val="baseline"/>
                <w:lang w:eastAsia="zh-CN"/>
              </w:rPr>
              <w:t>产科（一对一）</w:t>
            </w:r>
          </w:p>
        </w:tc>
        <w:tc>
          <w:tcPr>
            <w:tcW w:w="2415" w:type="dxa"/>
            <w:vAlign w:val="center"/>
          </w:tcPr>
          <w:p w14:paraId="6FE8F92B">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500元/天/人</w:t>
            </w:r>
          </w:p>
        </w:tc>
        <w:tc>
          <w:tcPr>
            <w:tcW w:w="1550" w:type="dxa"/>
            <w:vMerge w:val="continue"/>
            <w:vAlign w:val="center"/>
          </w:tcPr>
          <w:p w14:paraId="4AA533F4">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eastAsia" w:ascii="宋体" w:hAnsi="宋体" w:eastAsia="宋体" w:cs="宋体"/>
                <w:b w:val="0"/>
                <w:bCs/>
                <w:i/>
                <w:iCs/>
                <w:sz w:val="24"/>
                <w:szCs w:val="24"/>
                <w:highlight w:val="none"/>
                <w:vertAlign w:val="baseline"/>
              </w:rPr>
            </w:pPr>
          </w:p>
        </w:tc>
      </w:tr>
    </w:tbl>
    <w:p w14:paraId="3002C6DB">
      <w:pPr>
        <w:adjustRightInd w:val="0"/>
        <w:snapToGrid w:val="0"/>
        <w:spacing w:line="360" w:lineRule="auto"/>
        <w:ind w:firstLine="480" w:firstLineChars="200"/>
        <w:rPr>
          <w:rFonts w:hint="eastAsia" w:ascii="宋体" w:hAnsi="宋体" w:eastAsia="宋体" w:cs="宋体"/>
          <w:sz w:val="24"/>
          <w:szCs w:val="24"/>
        </w:rPr>
      </w:pPr>
    </w:p>
    <w:p w14:paraId="2CE2EC03">
      <w:pPr>
        <w:keepNext w:val="0"/>
        <w:keepLines w:val="0"/>
        <w:pageBreakBefore w:val="0"/>
        <w:widowControl w:val="0"/>
        <w:numPr>
          <w:ilvl w:val="0"/>
          <w:numId w:val="8"/>
        </w:numPr>
        <w:kinsoku/>
        <w:wordWrap/>
        <w:overflowPunct/>
        <w:topLinePunct w:val="0"/>
        <w:autoSpaceDE/>
        <w:autoSpaceDN/>
        <w:bidi w:val="0"/>
        <w:adjustRightInd w:val="0"/>
        <w:snapToGrid w:val="0"/>
        <w:spacing w:line="520" w:lineRule="atLeast"/>
        <w:ind w:left="0" w:leftChars="0" w:firstLine="40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付款方式</w:t>
      </w:r>
      <w:r>
        <w:rPr>
          <w:rFonts w:hint="eastAsia" w:ascii="宋体" w:hAnsi="宋体" w:eastAsia="宋体" w:cs="宋体"/>
          <w:b/>
          <w:bCs/>
          <w:sz w:val="24"/>
          <w:szCs w:val="24"/>
          <w:highlight w:val="none"/>
          <w:lang w:eastAsia="zh-CN"/>
        </w:rPr>
        <w:t>：</w:t>
      </w:r>
    </w:p>
    <w:p w14:paraId="682266F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left="0" w:leftChars="0" w:firstLine="480" w:firstLineChars="200"/>
        <w:textAlignment w:val="auto"/>
        <w:rPr>
          <w:rFonts w:hint="eastAsia" w:ascii="宋体" w:hAnsi="宋体" w:eastAsia="宋体" w:cs="宋体"/>
          <w:b/>
          <w:bCs/>
          <w:sz w:val="24"/>
          <w:szCs w:val="24"/>
          <w:highlight w:val="none"/>
        </w:rPr>
      </w:pPr>
      <w:r>
        <w:rPr>
          <w:rFonts w:hint="eastAsia" w:ascii="宋体" w:hAnsi="宋体" w:cs="宋体"/>
          <w:kern w:val="0"/>
          <w:sz w:val="24"/>
          <w:highlight w:val="none"/>
        </w:rPr>
        <w:t>按照</w:t>
      </w:r>
      <w:r>
        <w:rPr>
          <w:rFonts w:hint="eastAsia" w:ascii="宋体" w:hAnsi="宋体" w:cs="宋体"/>
          <w:kern w:val="0"/>
          <w:sz w:val="24"/>
          <w:highlight w:val="none"/>
          <w:lang w:eastAsia="zh-CN"/>
        </w:rPr>
        <w:t>中山大学附属第八医院</w:t>
      </w:r>
      <w:r>
        <w:rPr>
          <w:rFonts w:hint="eastAsia" w:ascii="宋体" w:hAnsi="宋体" w:cs="宋体"/>
          <w:kern w:val="0"/>
          <w:sz w:val="24"/>
          <w:highlight w:val="none"/>
        </w:rPr>
        <w:t>（</w:t>
      </w:r>
      <w:r>
        <w:rPr>
          <w:rFonts w:hint="eastAsia" w:ascii="宋体" w:hAnsi="宋体" w:cs="宋体"/>
          <w:kern w:val="0"/>
          <w:sz w:val="24"/>
          <w:highlight w:val="none"/>
          <w:lang w:eastAsia="zh-CN"/>
        </w:rPr>
        <w:t>深圳福田</w:t>
      </w:r>
      <w:r>
        <w:rPr>
          <w:rFonts w:hint="eastAsia" w:ascii="宋体" w:hAnsi="宋体" w:cs="宋体"/>
          <w:kern w:val="0"/>
          <w:sz w:val="24"/>
          <w:highlight w:val="none"/>
        </w:rPr>
        <w:t>）有关规定付款。</w:t>
      </w:r>
    </w:p>
    <w:p w14:paraId="4E8152EE">
      <w:pPr>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400" w:lineRule="atLeast"/>
        <w:ind w:left="0" w:firstLine="480" w:firstLineChars="200"/>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向</w:t>
      </w:r>
      <w:r>
        <w:rPr>
          <w:rFonts w:hint="eastAsia" w:ascii="宋体" w:hAnsi="宋体" w:eastAsia="宋体" w:cs="Times New Roman"/>
          <w:sz w:val="24"/>
          <w:szCs w:val="24"/>
          <w:lang w:eastAsia="zh-CN"/>
        </w:rPr>
        <w:t>中标人</w:t>
      </w:r>
      <w:r>
        <w:rPr>
          <w:rFonts w:hint="eastAsia" w:ascii="宋体" w:hAnsi="宋体" w:eastAsia="宋体" w:cs="Times New Roman"/>
          <w:sz w:val="24"/>
          <w:szCs w:val="24"/>
        </w:rPr>
        <w:t>收取</w:t>
      </w:r>
      <w:r>
        <w:rPr>
          <w:rFonts w:hint="eastAsia" w:ascii="宋体" w:hAnsi="宋体" w:eastAsia="宋体" w:cs="Times New Roman"/>
          <w:sz w:val="24"/>
          <w:szCs w:val="24"/>
          <w:lang w:val="en-US" w:eastAsia="zh-CN"/>
        </w:rPr>
        <w:t>管理</w:t>
      </w:r>
      <w:r>
        <w:rPr>
          <w:rFonts w:hint="eastAsia" w:ascii="宋体" w:hAnsi="宋体" w:eastAsia="宋体" w:cs="Times New Roman"/>
          <w:sz w:val="24"/>
          <w:szCs w:val="24"/>
        </w:rPr>
        <w:t>费</w:t>
      </w:r>
      <w:bookmarkStart w:id="4" w:name="_GoBack"/>
      <w:bookmarkEnd w:id="4"/>
      <w:r>
        <w:rPr>
          <w:rFonts w:hint="eastAsia" w:ascii="宋体" w:hAnsi="宋体" w:eastAsia="宋体" w:cs="Times New Roman"/>
          <w:sz w:val="24"/>
          <w:szCs w:val="24"/>
        </w:rPr>
        <w:t>，经双方核定数据后由</w:t>
      </w:r>
      <w:r>
        <w:rPr>
          <w:rFonts w:hint="eastAsia" w:ascii="宋体" w:hAnsi="宋体" w:eastAsia="宋体" w:cs="Times New Roman"/>
          <w:sz w:val="24"/>
          <w:szCs w:val="24"/>
          <w:lang w:eastAsia="zh-CN"/>
        </w:rPr>
        <w:t>中标人</w:t>
      </w:r>
      <w:r>
        <w:rPr>
          <w:rFonts w:hint="eastAsia" w:ascii="宋体" w:hAnsi="宋体" w:eastAsia="宋体" w:cs="Times New Roman"/>
          <w:sz w:val="24"/>
          <w:szCs w:val="24"/>
        </w:rPr>
        <w:t>于</w:t>
      </w:r>
      <w:r>
        <w:rPr>
          <w:rFonts w:hint="eastAsia" w:ascii="宋体" w:hAnsi="宋体" w:eastAsia="宋体" w:cs="Times New Roman"/>
          <w:sz w:val="24"/>
          <w:szCs w:val="24"/>
          <w:highlight w:val="none"/>
        </w:rPr>
        <w:t>次月15 日前将</w:t>
      </w:r>
      <w:r>
        <w:rPr>
          <w:rFonts w:hint="eastAsia" w:ascii="宋体" w:hAnsi="宋体" w:eastAsia="宋体" w:cs="Times New Roman"/>
          <w:sz w:val="24"/>
          <w:szCs w:val="24"/>
        </w:rPr>
        <w:t>该费用交至</w:t>
      </w:r>
      <w:r>
        <w:rPr>
          <w:rFonts w:hint="eastAsia" w:ascii="宋体" w:hAnsi="宋体" w:eastAsia="宋体" w:cs="Times New Roman"/>
          <w:sz w:val="24"/>
          <w:szCs w:val="24"/>
          <w:lang w:eastAsia="zh-CN"/>
        </w:rPr>
        <w:t>采购人</w:t>
      </w:r>
      <w:r>
        <w:rPr>
          <w:rFonts w:hint="eastAsia" w:ascii="宋体" w:hAnsi="宋体" w:eastAsia="宋体" w:cs="Times New Roman"/>
          <w:sz w:val="24"/>
          <w:szCs w:val="24"/>
        </w:rPr>
        <w:t>指定账户。</w:t>
      </w:r>
      <w:r>
        <w:rPr>
          <w:rFonts w:hint="eastAsia" w:ascii="宋体" w:hAnsi="宋体" w:eastAsia="宋体" w:cs="Times New Roman"/>
          <w:sz w:val="24"/>
          <w:szCs w:val="24"/>
          <w:lang w:eastAsia="zh-CN"/>
        </w:rPr>
        <w:t>所有陪护人员服务费用及投入本项目的一切设备设施费用由中标</w:t>
      </w:r>
      <w:r>
        <w:rPr>
          <w:rFonts w:hint="eastAsia" w:ascii="宋体" w:hAnsi="宋体" w:eastAsia="宋体" w:cs="Times New Roman"/>
          <w:sz w:val="24"/>
          <w:szCs w:val="24"/>
          <w:lang w:val="en-US" w:eastAsia="zh-CN"/>
        </w:rPr>
        <w:t>人</w:t>
      </w:r>
      <w:r>
        <w:rPr>
          <w:rFonts w:hint="eastAsia" w:ascii="宋体" w:hAnsi="宋体" w:eastAsia="宋体" w:cs="Times New Roman"/>
          <w:sz w:val="24"/>
          <w:szCs w:val="24"/>
          <w:lang w:eastAsia="zh-CN"/>
        </w:rPr>
        <w:t>向病人或其家属收取，中标</w:t>
      </w:r>
      <w:r>
        <w:rPr>
          <w:rFonts w:hint="eastAsia" w:ascii="宋体" w:hAnsi="宋体" w:eastAsia="宋体" w:cs="Times New Roman"/>
          <w:sz w:val="24"/>
          <w:szCs w:val="24"/>
          <w:lang w:val="en-US" w:eastAsia="zh-CN"/>
        </w:rPr>
        <w:t>人</w:t>
      </w:r>
      <w:r>
        <w:rPr>
          <w:rFonts w:hint="eastAsia" w:ascii="宋体" w:hAnsi="宋体" w:eastAsia="宋体" w:cs="Times New Roman"/>
          <w:sz w:val="24"/>
          <w:szCs w:val="24"/>
          <w:lang w:eastAsia="zh-CN"/>
        </w:rPr>
        <w:t>独立经营、自负盈亏。</w:t>
      </w:r>
    </w:p>
    <w:p w14:paraId="7663E6D1">
      <w:pPr>
        <w:keepNext w:val="0"/>
        <w:keepLines w:val="0"/>
        <w:pageBreakBefore w:val="0"/>
        <w:widowControl w:val="0"/>
        <w:kinsoku/>
        <w:wordWrap/>
        <w:overflowPunct/>
        <w:topLinePunct w:val="0"/>
        <w:autoSpaceDE/>
        <w:autoSpaceDN/>
        <w:bidi w:val="0"/>
        <w:adjustRightInd w:val="0"/>
        <w:snapToGrid w:val="0"/>
        <w:spacing w:line="520" w:lineRule="atLeas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、其他要求</w:t>
      </w:r>
    </w:p>
    <w:p w14:paraId="21F21F9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textAlignment w:val="auto"/>
        <w:rPr>
          <w:rFonts w:hint="eastAsia" w:ascii="宋体" w:hAnsi="宋体" w:cs="宋体"/>
          <w:kern w:val="0"/>
          <w:sz w:val="24"/>
          <w:highlight w:val="none"/>
          <w:lang w:eastAsia="zh-CN"/>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1）</w:t>
      </w:r>
      <w:r>
        <w:rPr>
          <w:rFonts w:hint="eastAsia" w:ascii="宋体" w:hAnsi="宋体" w:cs="宋体"/>
          <w:kern w:val="0"/>
          <w:sz w:val="24"/>
          <w:highlight w:val="none"/>
          <w:lang w:eastAsia="zh-CN"/>
        </w:rPr>
        <w:t>采购人不向中标人提供员工的住宿用房，中标人须自行解决住宿问题，其员工不得在服务区使用水电物品设施干私活，注意节约水电等资源。</w:t>
      </w:r>
    </w:p>
    <w:p w14:paraId="2C4A1A7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textAlignment w:val="auto"/>
        <w:rPr>
          <w:rFonts w:hint="eastAsia" w:ascii="宋体" w:hAnsi="宋体" w:cs="宋体"/>
          <w:kern w:val="0"/>
          <w:sz w:val="24"/>
          <w:highlight w:val="none"/>
          <w:lang w:eastAsia="zh-CN"/>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2）</w:t>
      </w:r>
      <w:r>
        <w:rPr>
          <w:rFonts w:hint="eastAsia" w:ascii="宋体" w:hAnsi="宋体" w:cs="宋体"/>
          <w:kern w:val="0"/>
          <w:sz w:val="24"/>
          <w:highlight w:val="none"/>
          <w:lang w:eastAsia="zh-CN"/>
        </w:rPr>
        <w:t>中标人雇佣的员工偷盗医院、患者财物的，报告司法机关处理，中标人除积极协助司法机关调查和追究外，需赔偿相应的经济损失。</w:t>
      </w:r>
    </w:p>
    <w:p w14:paraId="17EE4D5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textAlignment w:val="auto"/>
        <w:rPr>
          <w:rFonts w:hint="eastAsia" w:ascii="宋体" w:hAnsi="宋体" w:cs="宋体"/>
          <w:kern w:val="0"/>
          <w:sz w:val="24"/>
          <w:highlight w:val="none"/>
          <w:lang w:eastAsia="zh-CN"/>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3）</w:t>
      </w:r>
      <w:r>
        <w:rPr>
          <w:rFonts w:hint="eastAsia" w:ascii="宋体" w:hAnsi="宋体" w:cs="宋体"/>
          <w:kern w:val="0"/>
          <w:sz w:val="24"/>
          <w:highlight w:val="none"/>
          <w:lang w:eastAsia="zh-CN"/>
        </w:rPr>
        <w:t>采购人与中标人人员不存在劳动合同关系或劳务合同关系。中标人员工在采购人工作期间发生工伤等劳动纠纷，由中标人负责。</w:t>
      </w:r>
    </w:p>
    <w:p w14:paraId="2AE3E45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textAlignment w:val="auto"/>
        <w:rPr>
          <w:rFonts w:hint="eastAsia" w:ascii="宋体" w:hAnsi="宋体" w:cs="宋体"/>
          <w:kern w:val="0"/>
          <w:sz w:val="24"/>
          <w:highlight w:val="none"/>
          <w:lang w:eastAsia="zh-CN"/>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4）</w:t>
      </w:r>
      <w:r>
        <w:rPr>
          <w:rFonts w:hint="eastAsia" w:ascii="宋体" w:hAnsi="宋体" w:cs="宋体"/>
          <w:kern w:val="0"/>
          <w:sz w:val="24"/>
          <w:highlight w:val="none"/>
          <w:lang w:eastAsia="zh-CN"/>
        </w:rPr>
        <w:t>中标人需配合医院节假日、特殊事件期间的应急管理要求。</w:t>
      </w:r>
    </w:p>
    <w:p w14:paraId="2FC9EF3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textAlignment w:val="auto"/>
        <w:rPr>
          <w:rFonts w:hint="eastAsia" w:ascii="宋体" w:hAnsi="宋体" w:cs="宋体"/>
          <w:kern w:val="0"/>
          <w:sz w:val="24"/>
          <w:highlight w:val="none"/>
          <w:lang w:eastAsia="zh-CN"/>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5）售后服务：</w:t>
      </w:r>
      <w:r>
        <w:rPr>
          <w:rFonts w:hint="eastAsia" w:ascii="宋体" w:hAnsi="宋体" w:cs="宋体"/>
          <w:kern w:val="0"/>
          <w:sz w:val="24"/>
          <w:highlight w:val="none"/>
          <w:lang w:eastAsia="zh-CN"/>
        </w:rPr>
        <w:t>当陪护人员与病人或病人家属出现纠纷时，由中标</w:t>
      </w:r>
      <w:r>
        <w:rPr>
          <w:rFonts w:hint="eastAsia" w:ascii="宋体" w:hAnsi="宋体" w:cs="宋体"/>
          <w:kern w:val="0"/>
          <w:sz w:val="24"/>
          <w:highlight w:val="none"/>
          <w:lang w:val="en-US" w:eastAsia="zh-CN"/>
        </w:rPr>
        <w:t>人</w:t>
      </w:r>
      <w:r>
        <w:rPr>
          <w:rFonts w:hint="eastAsia" w:ascii="宋体" w:hAnsi="宋体" w:cs="宋体"/>
          <w:kern w:val="0"/>
          <w:sz w:val="24"/>
          <w:highlight w:val="none"/>
          <w:lang w:eastAsia="zh-CN"/>
        </w:rPr>
        <w:t>自行调解，调解无效时走法律程序。本项目服务期满后或因其他原因中止合同的，中标人须服从采购人的工作安排，完成与新中标人的工作交接（交接手续期限为一个月），否则采购人保留追究本期中标人因其未能服从工作安排或未能及时完成交接手续所带来损失的权利。</w:t>
      </w:r>
    </w:p>
    <w:p w14:paraId="79122A0A">
      <w:pPr>
        <w:keepNext w:val="0"/>
        <w:keepLines w:val="0"/>
        <w:pageBreakBefore w:val="0"/>
        <w:widowControl w:val="0"/>
        <w:kinsoku/>
        <w:wordWrap/>
        <w:overflowPunct/>
        <w:topLinePunct w:val="0"/>
        <w:autoSpaceDE/>
        <w:autoSpaceDN/>
        <w:bidi w:val="0"/>
        <w:adjustRightInd w:val="0"/>
        <w:snapToGrid w:val="0"/>
        <w:spacing w:line="520" w:lineRule="atLeas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6、违约责任</w:t>
      </w:r>
    </w:p>
    <w:p w14:paraId="22C6AF7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宋体" w:hAnsi="宋体" w:cs="宋体"/>
          <w:kern w:val="0"/>
          <w:sz w:val="24"/>
          <w:highlight w:val="none"/>
          <w:lang w:val="en-US" w:eastAsia="zh-CN"/>
        </w:rPr>
        <w:t>采购人</w:t>
      </w:r>
      <w:r>
        <w:rPr>
          <w:rFonts w:hint="eastAsia" w:ascii="宋体" w:hAnsi="宋体" w:cs="宋体"/>
          <w:kern w:val="0"/>
          <w:sz w:val="24"/>
          <w:highlight w:val="none"/>
          <w:lang w:eastAsia="zh-CN"/>
        </w:rPr>
        <w:t>交付的服务不符合招标文件、投标文件或本合同规定的，</w:t>
      </w:r>
      <w:r>
        <w:rPr>
          <w:rFonts w:hint="eastAsia" w:ascii="宋体" w:hAnsi="宋体" w:cs="宋体"/>
          <w:kern w:val="0"/>
          <w:sz w:val="24"/>
          <w:highlight w:val="none"/>
          <w:lang w:val="en-US" w:eastAsia="zh-CN"/>
        </w:rPr>
        <w:t>采购人</w:t>
      </w:r>
      <w:r>
        <w:rPr>
          <w:rFonts w:hint="eastAsia" w:ascii="宋体" w:hAnsi="宋体" w:cs="宋体"/>
          <w:kern w:val="0"/>
          <w:sz w:val="24"/>
          <w:highlight w:val="none"/>
          <w:lang w:eastAsia="zh-CN"/>
        </w:rPr>
        <w:t>有权向中标人发出书面通知，中标人应当在收到通知的</w:t>
      </w:r>
      <w:r>
        <w:rPr>
          <w:rFonts w:hint="eastAsia" w:ascii="宋体" w:hAnsi="宋体" w:cs="宋体"/>
          <w:kern w:val="0"/>
          <w:sz w:val="24"/>
          <w:highlight w:val="none"/>
          <w:lang w:val="en-US" w:eastAsia="zh-CN"/>
        </w:rPr>
        <w:t>10</w:t>
      </w:r>
      <w:r>
        <w:rPr>
          <w:rFonts w:hint="eastAsia" w:ascii="宋体" w:hAnsi="宋体" w:cs="宋体"/>
          <w:kern w:val="0"/>
          <w:sz w:val="24"/>
          <w:highlight w:val="none"/>
          <w:lang w:eastAsia="zh-CN"/>
        </w:rPr>
        <w:t>日内纠正，</w:t>
      </w:r>
      <w:r>
        <w:rPr>
          <w:rFonts w:hint="eastAsia" w:ascii="宋体" w:hAnsi="宋体" w:cs="宋体"/>
          <w:kern w:val="0"/>
          <w:sz w:val="24"/>
          <w:highlight w:val="none"/>
          <w:lang w:val="en-US" w:eastAsia="zh-CN"/>
        </w:rPr>
        <w:t>采购人</w:t>
      </w:r>
      <w:r>
        <w:rPr>
          <w:rFonts w:hint="eastAsia" w:ascii="宋体" w:hAnsi="宋体" w:cs="宋体"/>
          <w:kern w:val="0"/>
          <w:sz w:val="24"/>
          <w:highlight w:val="none"/>
          <w:lang w:eastAsia="zh-CN"/>
        </w:rPr>
        <w:t>可对中标人进行处罚，并有权解除合同和没收履约保证金，损失由中标人负责。</w:t>
      </w:r>
      <w:r>
        <w:rPr>
          <w:rFonts w:hint="eastAsia" w:asciiTheme="minorEastAsia" w:hAnsiTheme="minorEastAsia" w:eastAsiaTheme="minorEastAsia" w:cstheme="minorEastAsia"/>
          <w:sz w:val="24"/>
          <w:szCs w:val="24"/>
          <w:highlight w:val="none"/>
        </w:rPr>
        <w:t>未经</w:t>
      </w:r>
      <w:r>
        <w:rPr>
          <w:rFonts w:hint="eastAsia" w:asciiTheme="minorEastAsia" w:hAnsi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书面同意，</w:t>
      </w:r>
      <w:r>
        <w:rPr>
          <w:rFonts w:hint="eastAsia" w:asciiTheme="minorEastAsia" w:hAnsi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不得将全部或部分权利、义务转让给任何第三方，否则</w:t>
      </w:r>
      <w:r>
        <w:rPr>
          <w:rFonts w:hint="eastAsia" w:asciiTheme="minorEastAsia" w:hAnsi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应向</w:t>
      </w:r>
      <w:r>
        <w:rPr>
          <w:rFonts w:hint="eastAsia" w:asciiTheme="minorEastAsia" w:hAnsi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支付违约金10000元。</w:t>
      </w:r>
    </w:p>
    <w:p w14:paraId="38AB85E0">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highlight w:val="none"/>
          <w:lang w:eastAsia="zh-CN"/>
        </w:rPr>
      </w:pPr>
      <w:bookmarkStart w:id="0" w:name="_Toc30664"/>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在履行合同过程中导致</w:t>
      </w:r>
      <w:r>
        <w:rPr>
          <w:rFonts w:hint="eastAsia" w:asciiTheme="minorEastAsia" w:hAnsi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eastAsia="zh-CN"/>
        </w:rPr>
        <w:t>采购人</w:t>
      </w:r>
      <w:r>
        <w:rPr>
          <w:rFonts w:hint="eastAsia" w:asciiTheme="minorEastAsia" w:hAnsiTheme="minorEastAsia" w:eastAsiaTheme="minorEastAsia" w:cstheme="minorEastAsia"/>
          <w:sz w:val="24"/>
          <w:szCs w:val="24"/>
          <w:highlight w:val="none"/>
        </w:rPr>
        <w:t>人员或第三方权益受损的，所有责任及损失均有由</w:t>
      </w:r>
      <w:r>
        <w:rPr>
          <w:rFonts w:hint="eastAsia" w:asciiTheme="minorEastAsia" w:hAnsi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承担。</w:t>
      </w:r>
      <w:bookmarkEnd w:id="0"/>
    </w:p>
    <w:p w14:paraId="1D10DE41">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kern w:val="0"/>
          <w:sz w:val="24"/>
          <w:highlight w:val="none"/>
          <w:lang w:eastAsia="zh-CN"/>
        </w:rPr>
      </w:pP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eastAsia="zh-CN"/>
        </w:rPr>
        <w:t>中标人</w:t>
      </w:r>
      <w:r>
        <w:rPr>
          <w:rFonts w:hint="eastAsia" w:asciiTheme="minorEastAsia" w:hAnsiTheme="minorEastAsia" w:eastAsiaTheme="minorEastAsia" w:cstheme="minorEastAsia"/>
          <w:sz w:val="24"/>
          <w:szCs w:val="24"/>
          <w:highlight w:val="none"/>
        </w:rPr>
        <w:t>违反合同、</w:t>
      </w:r>
      <w:r>
        <w:rPr>
          <w:rFonts w:hint="eastAsia" w:asciiTheme="minorEastAsia" w:hAnsiTheme="minorEastAsia" w:cstheme="minorEastAsia"/>
          <w:sz w:val="24"/>
          <w:szCs w:val="24"/>
          <w:highlight w:val="none"/>
          <w:lang w:val="en-US" w:eastAsia="zh-CN"/>
        </w:rPr>
        <w:t>招标</w:t>
      </w:r>
      <w:r>
        <w:rPr>
          <w:rFonts w:hint="eastAsia" w:asciiTheme="minorEastAsia" w:hAnsiTheme="minorEastAsia" w:eastAsiaTheme="minorEastAsia" w:cstheme="minorEastAsia"/>
          <w:sz w:val="24"/>
          <w:szCs w:val="24"/>
          <w:highlight w:val="none"/>
        </w:rPr>
        <w:t>文件及响应文件项下其他义务的，</w:t>
      </w:r>
      <w:r>
        <w:rPr>
          <w:rFonts w:hint="eastAsia" w:asciiTheme="minorEastAsia" w:hAnsiTheme="minorEastAsia" w:cstheme="minorEastAsia"/>
          <w:sz w:val="24"/>
          <w:szCs w:val="24"/>
          <w:lang w:eastAsia="zh-CN"/>
        </w:rPr>
        <w:t>采购人</w:t>
      </w:r>
      <w:r>
        <w:rPr>
          <w:rFonts w:hint="eastAsia" w:asciiTheme="minorEastAsia" w:hAnsiTheme="minorEastAsia" w:eastAsiaTheme="minorEastAsia" w:cstheme="minorEastAsia"/>
          <w:sz w:val="24"/>
          <w:szCs w:val="24"/>
          <w:highlight w:val="none"/>
        </w:rPr>
        <w:t>有权主张违约，根据责任严重程度对</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highlight w:val="none"/>
        </w:rPr>
        <w:t>处以500-2000元不等违约金。情况恶劣的，</w:t>
      </w:r>
      <w:r>
        <w:rPr>
          <w:rFonts w:hint="eastAsia" w:asciiTheme="minorEastAsia" w:hAnsiTheme="minorEastAsia" w:cstheme="minorEastAsia"/>
          <w:sz w:val="24"/>
          <w:szCs w:val="24"/>
          <w:lang w:eastAsia="zh-CN"/>
        </w:rPr>
        <w:t>采购人</w:t>
      </w:r>
      <w:r>
        <w:rPr>
          <w:rFonts w:hint="eastAsia" w:asciiTheme="minorEastAsia" w:hAnsiTheme="minorEastAsia" w:eastAsiaTheme="minorEastAsia" w:cstheme="minorEastAsia"/>
          <w:sz w:val="24"/>
          <w:szCs w:val="24"/>
          <w:highlight w:val="none"/>
        </w:rPr>
        <w:t>有权解除合同，违约金不足以弥补</w:t>
      </w:r>
      <w:r>
        <w:rPr>
          <w:rFonts w:hint="eastAsia" w:asciiTheme="minorEastAsia" w:hAnsiTheme="minorEastAsia" w:cstheme="minorEastAsia"/>
          <w:sz w:val="24"/>
          <w:szCs w:val="24"/>
          <w:lang w:eastAsia="zh-CN"/>
        </w:rPr>
        <w:t>采购人</w:t>
      </w:r>
      <w:r>
        <w:rPr>
          <w:rFonts w:hint="eastAsia" w:asciiTheme="minorEastAsia" w:hAnsiTheme="minorEastAsia" w:eastAsiaTheme="minorEastAsia" w:cstheme="minorEastAsia"/>
          <w:sz w:val="24"/>
          <w:szCs w:val="24"/>
          <w:highlight w:val="none"/>
        </w:rPr>
        <w:t>损失，</w:t>
      </w:r>
      <w:r>
        <w:rPr>
          <w:rFonts w:hint="eastAsia" w:asciiTheme="minorEastAsia" w:hAnsiTheme="minorEastAsia" w:cstheme="minorEastAsia"/>
          <w:sz w:val="24"/>
          <w:szCs w:val="24"/>
          <w:lang w:eastAsia="zh-CN"/>
        </w:rPr>
        <w:t>采购人</w:t>
      </w:r>
      <w:r>
        <w:rPr>
          <w:rFonts w:hint="eastAsia" w:asciiTheme="minorEastAsia" w:hAnsiTheme="minorEastAsia" w:eastAsiaTheme="minorEastAsia" w:cstheme="minorEastAsia"/>
          <w:sz w:val="24"/>
          <w:szCs w:val="24"/>
          <w:highlight w:val="none"/>
        </w:rPr>
        <w:t>有权追偿。</w:t>
      </w:r>
    </w:p>
    <w:p w14:paraId="64F8F92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textAlignment w:val="auto"/>
        <w:rPr>
          <w:rFonts w:hint="eastAsia" w:ascii="宋体" w:hAnsi="宋体" w:cs="宋体"/>
          <w:kern w:val="0"/>
          <w:sz w:val="24"/>
          <w:highlight w:val="none"/>
          <w:lang w:eastAsia="zh-CN"/>
        </w:rPr>
      </w:pPr>
      <w:bookmarkStart w:id="1" w:name="_Toc1328"/>
      <w:bookmarkStart w:id="2" w:name="_Toc1638"/>
      <w:bookmarkStart w:id="3" w:name="_Toc19239"/>
      <w:r>
        <w:rPr>
          <w:rFonts w:hint="eastAsia" w:ascii="宋体" w:hAnsi="宋体" w:cs="宋体"/>
          <w:kern w:val="0"/>
          <w:sz w:val="24"/>
          <w:highlight w:val="none"/>
          <w:lang w:val="en-US" w:eastAsia="zh-CN"/>
        </w:rPr>
        <w:t>（4）</w:t>
      </w:r>
      <w:r>
        <w:rPr>
          <w:rFonts w:hint="eastAsia" w:ascii="宋体" w:hAnsi="宋体" w:cs="宋体"/>
          <w:kern w:val="0"/>
          <w:sz w:val="24"/>
          <w:highlight w:val="none"/>
          <w:lang w:eastAsia="zh-CN"/>
        </w:rPr>
        <w:t>中标人未按本合同约定向</w:t>
      </w:r>
      <w:r>
        <w:rPr>
          <w:rFonts w:hint="eastAsia" w:ascii="宋体" w:hAnsi="宋体" w:cs="宋体"/>
          <w:kern w:val="0"/>
          <w:sz w:val="24"/>
          <w:highlight w:val="none"/>
          <w:lang w:val="en-US" w:eastAsia="zh-CN"/>
        </w:rPr>
        <w:t>采购人</w:t>
      </w:r>
      <w:r>
        <w:rPr>
          <w:rFonts w:hint="eastAsia" w:ascii="宋体" w:hAnsi="宋体" w:cs="宋体"/>
          <w:kern w:val="0"/>
          <w:sz w:val="24"/>
          <w:highlight w:val="none"/>
          <w:lang w:eastAsia="zh-CN"/>
        </w:rPr>
        <w:t>提供足额服务</w:t>
      </w:r>
      <w:r>
        <w:rPr>
          <w:rFonts w:hint="eastAsia" w:ascii="宋体" w:hAnsi="宋体" w:cs="宋体"/>
          <w:kern w:val="0"/>
          <w:sz w:val="24"/>
          <w:highlight w:val="none"/>
          <w:lang w:val="en-US" w:eastAsia="zh-CN"/>
        </w:rPr>
        <w:t>人</w:t>
      </w:r>
      <w:r>
        <w:rPr>
          <w:rFonts w:hint="eastAsia" w:ascii="宋体" w:hAnsi="宋体" w:cs="宋体"/>
          <w:kern w:val="0"/>
          <w:sz w:val="24"/>
          <w:highlight w:val="none"/>
          <w:lang w:eastAsia="zh-CN"/>
        </w:rPr>
        <w:t>数的，必须在4天内补充。超过4天不能补充所缺人员，</w:t>
      </w:r>
      <w:r>
        <w:rPr>
          <w:rFonts w:hint="eastAsia" w:ascii="宋体" w:hAnsi="宋体" w:cs="宋体"/>
          <w:kern w:val="0"/>
          <w:sz w:val="24"/>
          <w:highlight w:val="none"/>
          <w:lang w:val="en-US" w:eastAsia="zh-CN"/>
        </w:rPr>
        <w:t>采购人</w:t>
      </w:r>
      <w:r>
        <w:rPr>
          <w:rFonts w:hint="eastAsia" w:ascii="宋体" w:hAnsi="宋体" w:cs="宋体"/>
          <w:kern w:val="0"/>
          <w:sz w:val="24"/>
          <w:highlight w:val="none"/>
          <w:lang w:eastAsia="zh-CN"/>
        </w:rPr>
        <w:t>有权另请人员补充，所需费用由中标人支付。</w:t>
      </w:r>
    </w:p>
    <w:bookmarkEnd w:id="1"/>
    <w:bookmarkEnd w:id="2"/>
    <w:bookmarkEnd w:id="3"/>
    <w:p w14:paraId="5C6366C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textAlignment w:val="auto"/>
        <w:rPr>
          <w:rFonts w:hint="eastAsia" w:ascii="宋体" w:hAnsi="宋体" w:cs="宋体"/>
          <w:kern w:val="0"/>
          <w:sz w:val="24"/>
          <w:highlight w:val="none"/>
          <w:lang w:eastAsia="zh-CN"/>
        </w:rPr>
      </w:pPr>
      <w:r>
        <w:rPr>
          <w:rFonts w:hint="eastAsia" w:ascii="宋体" w:hAnsi="宋体" w:cs="宋体"/>
          <w:kern w:val="0"/>
          <w:sz w:val="24"/>
          <w:highlight w:val="none"/>
          <w:lang w:val="en-US" w:eastAsia="zh-CN"/>
        </w:rPr>
        <w:t>（5）</w:t>
      </w:r>
      <w:r>
        <w:rPr>
          <w:rFonts w:hint="eastAsia" w:ascii="宋体" w:hAnsi="宋体" w:cs="宋体"/>
          <w:kern w:val="0"/>
          <w:sz w:val="24"/>
          <w:highlight w:val="none"/>
          <w:lang w:eastAsia="zh-CN"/>
        </w:rPr>
        <w:t>中标人未能按本合同规定提供服务，从逾期之日起每日处以中标人5000元罚款。逾期半个月以上的，</w:t>
      </w:r>
      <w:r>
        <w:rPr>
          <w:rFonts w:hint="eastAsia" w:ascii="宋体" w:hAnsi="宋体" w:cs="宋体"/>
          <w:kern w:val="0"/>
          <w:sz w:val="24"/>
          <w:highlight w:val="none"/>
          <w:lang w:val="en-US" w:eastAsia="zh-CN"/>
        </w:rPr>
        <w:t>采购人</w:t>
      </w:r>
      <w:r>
        <w:rPr>
          <w:rFonts w:hint="eastAsia" w:ascii="宋体" w:hAnsi="宋体" w:cs="宋体"/>
          <w:kern w:val="0"/>
          <w:sz w:val="24"/>
          <w:highlight w:val="none"/>
          <w:lang w:eastAsia="zh-CN"/>
        </w:rPr>
        <w:t>有权终止合同，由此造成的</w:t>
      </w:r>
      <w:r>
        <w:rPr>
          <w:rFonts w:hint="eastAsia" w:ascii="宋体" w:hAnsi="宋体" w:cs="宋体"/>
          <w:kern w:val="0"/>
          <w:sz w:val="24"/>
          <w:highlight w:val="none"/>
          <w:lang w:val="en-US" w:eastAsia="zh-CN"/>
        </w:rPr>
        <w:t>采购人</w:t>
      </w:r>
      <w:r>
        <w:rPr>
          <w:rFonts w:hint="eastAsia" w:ascii="宋体" w:hAnsi="宋体" w:cs="宋体"/>
          <w:kern w:val="0"/>
          <w:sz w:val="24"/>
          <w:highlight w:val="none"/>
          <w:lang w:eastAsia="zh-CN"/>
        </w:rPr>
        <w:t>经济损失由中标人承担。</w:t>
      </w:r>
    </w:p>
    <w:p w14:paraId="3E0A2B5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textAlignment w:val="auto"/>
        <w:rPr>
          <w:rFonts w:hint="eastAsia" w:ascii="宋体" w:hAnsi="宋体" w:cs="宋体"/>
          <w:kern w:val="0"/>
          <w:sz w:val="24"/>
          <w:highlight w:val="none"/>
          <w:lang w:eastAsia="zh-CN"/>
        </w:rPr>
      </w:pPr>
      <w:r>
        <w:rPr>
          <w:rFonts w:hint="eastAsia" w:ascii="宋体" w:hAnsi="宋体" w:cs="宋体"/>
          <w:kern w:val="0"/>
          <w:sz w:val="24"/>
          <w:highlight w:val="none"/>
          <w:lang w:val="en-US" w:eastAsia="zh-CN"/>
        </w:rPr>
        <w:t>（6）采购人</w:t>
      </w:r>
      <w:r>
        <w:rPr>
          <w:rFonts w:hint="eastAsia" w:ascii="宋体" w:hAnsi="宋体" w:cs="宋体"/>
          <w:kern w:val="0"/>
          <w:sz w:val="24"/>
          <w:highlight w:val="none"/>
          <w:lang w:eastAsia="zh-CN"/>
        </w:rPr>
        <w:t>无正当理由不接受服务，</w:t>
      </w:r>
      <w:r>
        <w:rPr>
          <w:rFonts w:hint="eastAsia" w:ascii="宋体" w:hAnsi="宋体" w:cs="宋体"/>
          <w:kern w:val="0"/>
          <w:sz w:val="24"/>
          <w:highlight w:val="none"/>
          <w:lang w:val="en-US" w:eastAsia="zh-CN"/>
        </w:rPr>
        <w:t>采购人</w:t>
      </w:r>
      <w:r>
        <w:rPr>
          <w:rFonts w:hint="eastAsia" w:ascii="宋体" w:hAnsi="宋体" w:cs="宋体"/>
          <w:kern w:val="0"/>
          <w:sz w:val="24"/>
          <w:highlight w:val="none"/>
          <w:lang w:eastAsia="zh-CN"/>
        </w:rPr>
        <w:t>向中标人偿付5000元的违约金。</w:t>
      </w:r>
    </w:p>
    <w:p w14:paraId="48EC7B3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textAlignment w:val="auto"/>
        <w:rPr>
          <w:rFonts w:hint="eastAsia" w:ascii="宋体" w:hAnsi="宋体" w:cs="宋体"/>
          <w:kern w:val="0"/>
          <w:sz w:val="24"/>
          <w:highlight w:val="none"/>
          <w:lang w:eastAsia="zh-CN"/>
        </w:rPr>
      </w:pPr>
      <w:r>
        <w:rPr>
          <w:rFonts w:hint="eastAsia" w:ascii="宋体" w:hAnsi="宋体" w:cs="宋体"/>
          <w:kern w:val="0"/>
          <w:sz w:val="24"/>
          <w:highlight w:val="none"/>
          <w:lang w:val="en-US" w:eastAsia="zh-CN"/>
        </w:rPr>
        <w:t>（7）</w:t>
      </w:r>
      <w:r>
        <w:rPr>
          <w:rFonts w:hint="eastAsia" w:ascii="宋体" w:hAnsi="宋体" w:cs="宋体"/>
          <w:kern w:val="0"/>
          <w:sz w:val="24"/>
          <w:highlight w:val="none"/>
          <w:lang w:eastAsia="zh-CN"/>
        </w:rPr>
        <w:t>其他违约责任按《中华人民共和国民法典》处理。</w:t>
      </w:r>
    </w:p>
    <w:p w14:paraId="5E57D0E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left="400" w:leftChars="0"/>
        <w:textAlignment w:val="auto"/>
        <w:rPr>
          <w:rFonts w:hint="eastAsia" w:ascii="宋体" w:hAnsi="宋体" w:cs="宋体"/>
          <w:kern w:val="0"/>
          <w:sz w:val="24"/>
          <w:highlight w:val="none"/>
          <w:lang w:eastAsia="zh-CN"/>
        </w:rPr>
      </w:pPr>
      <w:r>
        <w:rPr>
          <w:rFonts w:hint="eastAsia" w:ascii="宋体" w:hAnsi="宋体" w:cs="宋体"/>
          <w:kern w:val="0"/>
          <w:sz w:val="24"/>
          <w:highlight w:val="none"/>
          <w:lang w:val="en-US" w:eastAsia="zh-CN"/>
        </w:rPr>
        <w:t>上述的损失包括但不限于由此产生的诉讼费、律师费、调查费、差旅费、财产保全和担保费等费用。</w:t>
      </w:r>
    </w:p>
    <w:p w14:paraId="2507423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left="400" w:leftChars="0"/>
        <w:textAlignment w:val="auto"/>
        <w:rPr>
          <w:rFonts w:hint="eastAsia" w:ascii="宋体" w:hAnsi="宋体" w:cs="宋体"/>
          <w:kern w:val="0"/>
          <w:sz w:val="24"/>
          <w:highlight w:val="none"/>
          <w:lang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61215">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5911B9">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D5911B9">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B05B1"/>
    <w:multiLevelType w:val="singleLevel"/>
    <w:tmpl w:val="912B05B1"/>
    <w:lvl w:ilvl="0" w:tentative="0">
      <w:start w:val="1"/>
      <w:numFmt w:val="decimal"/>
      <w:suff w:val="nothing"/>
      <w:lvlText w:val="%1．"/>
      <w:lvlJc w:val="left"/>
      <w:pPr>
        <w:ind w:left="0" w:firstLine="400"/>
      </w:pPr>
      <w:rPr>
        <w:rFonts w:hint="default"/>
      </w:rPr>
    </w:lvl>
  </w:abstractNum>
  <w:abstractNum w:abstractNumId="1">
    <w:nsid w:val="F56B1C08"/>
    <w:multiLevelType w:val="singleLevel"/>
    <w:tmpl w:val="F56B1C08"/>
    <w:lvl w:ilvl="0" w:tentative="0">
      <w:start w:val="1"/>
      <w:numFmt w:val="chineseCounting"/>
      <w:suff w:val="nothing"/>
      <w:lvlText w:val="%1、"/>
      <w:lvlJc w:val="left"/>
      <w:pPr>
        <w:ind w:left="0" w:firstLine="420"/>
      </w:pPr>
      <w:rPr>
        <w:rFonts w:hint="eastAsia"/>
      </w:rPr>
    </w:lvl>
  </w:abstractNum>
  <w:abstractNum w:abstractNumId="2">
    <w:nsid w:val="0000000F"/>
    <w:multiLevelType w:val="singleLevel"/>
    <w:tmpl w:val="0000000F"/>
    <w:lvl w:ilvl="0" w:tentative="0">
      <w:start w:val="2"/>
      <w:numFmt w:val="chineseCounting"/>
      <w:suff w:val="nothing"/>
      <w:lvlText w:val="%1、"/>
      <w:lvlJc w:val="left"/>
      <w:rPr>
        <w:rFonts w:hint="eastAsia"/>
      </w:rPr>
    </w:lvl>
  </w:abstractNum>
  <w:abstractNum w:abstractNumId="3">
    <w:nsid w:val="02E8B8C7"/>
    <w:multiLevelType w:val="singleLevel"/>
    <w:tmpl w:val="02E8B8C7"/>
    <w:lvl w:ilvl="0" w:tentative="0">
      <w:start w:val="1"/>
      <w:numFmt w:val="decimal"/>
      <w:lvlText w:val="%1."/>
      <w:lvlJc w:val="left"/>
      <w:pPr>
        <w:tabs>
          <w:tab w:val="left" w:pos="312"/>
        </w:tabs>
      </w:pPr>
    </w:lvl>
  </w:abstractNum>
  <w:abstractNum w:abstractNumId="4">
    <w:nsid w:val="3ABC9A88"/>
    <w:multiLevelType w:val="singleLevel"/>
    <w:tmpl w:val="3ABC9A88"/>
    <w:lvl w:ilvl="0" w:tentative="0">
      <w:start w:val="1"/>
      <w:numFmt w:val="decimal"/>
      <w:suff w:val="nothing"/>
      <w:lvlText w:val="%1．"/>
      <w:lvlJc w:val="left"/>
      <w:pPr>
        <w:ind w:left="0" w:firstLine="400"/>
      </w:pPr>
      <w:rPr>
        <w:rFonts w:hint="default"/>
      </w:rPr>
    </w:lvl>
  </w:abstractNum>
  <w:abstractNum w:abstractNumId="5">
    <w:nsid w:val="49A8936B"/>
    <w:multiLevelType w:val="singleLevel"/>
    <w:tmpl w:val="49A8936B"/>
    <w:lvl w:ilvl="0" w:tentative="0">
      <w:start w:val="1"/>
      <w:numFmt w:val="decimal"/>
      <w:suff w:val="nothing"/>
      <w:lvlText w:val="%1．"/>
      <w:lvlJc w:val="left"/>
      <w:pPr>
        <w:ind w:left="0" w:firstLine="400"/>
      </w:pPr>
      <w:rPr>
        <w:rFonts w:hint="default"/>
      </w:rPr>
    </w:lvl>
  </w:abstractNum>
  <w:abstractNum w:abstractNumId="6">
    <w:nsid w:val="5B870740"/>
    <w:multiLevelType w:val="singleLevel"/>
    <w:tmpl w:val="5B870740"/>
    <w:lvl w:ilvl="0" w:tentative="0">
      <w:start w:val="2"/>
      <w:numFmt w:val="chineseCounting"/>
      <w:suff w:val="space"/>
      <w:lvlText w:val="第%1部分"/>
      <w:lvlJc w:val="left"/>
      <w:rPr>
        <w:rFonts w:hint="eastAsia"/>
      </w:rPr>
    </w:lvl>
  </w:abstractNum>
  <w:abstractNum w:abstractNumId="7">
    <w:nsid w:val="5FBDD496"/>
    <w:multiLevelType w:val="singleLevel"/>
    <w:tmpl w:val="5FBDD496"/>
    <w:lvl w:ilvl="0" w:tentative="0">
      <w:start w:val="1"/>
      <w:numFmt w:val="decimal"/>
      <w:suff w:val="nothing"/>
      <w:lvlText w:val="%1．"/>
      <w:lvlJc w:val="left"/>
      <w:pPr>
        <w:ind w:left="0" w:firstLine="400"/>
      </w:pPr>
      <w:rPr>
        <w:rFonts w:hint="default"/>
      </w:rPr>
    </w:lvl>
  </w:abstractNum>
  <w:num w:numId="1">
    <w:abstractNumId w:val="0"/>
  </w:num>
  <w:num w:numId="2">
    <w:abstractNumId w:val="2"/>
  </w:num>
  <w:num w:numId="3">
    <w:abstractNumId w:val="7"/>
  </w:num>
  <w:num w:numId="4">
    <w:abstractNumId w:val="6"/>
  </w:num>
  <w:num w:numId="5">
    <w:abstractNumId w:val="5"/>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YjMzY2Y3NjdjMGM1NDJiYjI1MGE2MWEyNTVkNTYifQ=="/>
  </w:docVars>
  <w:rsids>
    <w:rsidRoot w:val="4FFC5FA2"/>
    <w:rsid w:val="000424B0"/>
    <w:rsid w:val="000624C6"/>
    <w:rsid w:val="001C35EF"/>
    <w:rsid w:val="00415A24"/>
    <w:rsid w:val="006A471C"/>
    <w:rsid w:val="006C0F45"/>
    <w:rsid w:val="008E43D9"/>
    <w:rsid w:val="00A23411"/>
    <w:rsid w:val="02B018D2"/>
    <w:rsid w:val="02CE3596"/>
    <w:rsid w:val="0332621A"/>
    <w:rsid w:val="03FE7C11"/>
    <w:rsid w:val="05237BC9"/>
    <w:rsid w:val="05C30855"/>
    <w:rsid w:val="062B3C2B"/>
    <w:rsid w:val="063A0DB9"/>
    <w:rsid w:val="07207949"/>
    <w:rsid w:val="08A806F8"/>
    <w:rsid w:val="08B6005B"/>
    <w:rsid w:val="0AF34F6D"/>
    <w:rsid w:val="0B0E1CEF"/>
    <w:rsid w:val="0B705620"/>
    <w:rsid w:val="0BBE33AD"/>
    <w:rsid w:val="0C222435"/>
    <w:rsid w:val="0E352036"/>
    <w:rsid w:val="0F7B1B53"/>
    <w:rsid w:val="109F26E4"/>
    <w:rsid w:val="10B14C22"/>
    <w:rsid w:val="13C2433A"/>
    <w:rsid w:val="14E07226"/>
    <w:rsid w:val="154442A0"/>
    <w:rsid w:val="16150AC2"/>
    <w:rsid w:val="169608FB"/>
    <w:rsid w:val="177C0531"/>
    <w:rsid w:val="17A902FB"/>
    <w:rsid w:val="17C60361"/>
    <w:rsid w:val="18320B61"/>
    <w:rsid w:val="1AB64061"/>
    <w:rsid w:val="1BAA4748"/>
    <w:rsid w:val="1CF00880"/>
    <w:rsid w:val="1E096312"/>
    <w:rsid w:val="20D75FA7"/>
    <w:rsid w:val="20DB2F52"/>
    <w:rsid w:val="220152DE"/>
    <w:rsid w:val="268656D9"/>
    <w:rsid w:val="28804CE4"/>
    <w:rsid w:val="2B953293"/>
    <w:rsid w:val="2E9462E5"/>
    <w:rsid w:val="2EFE6E2D"/>
    <w:rsid w:val="2F29437E"/>
    <w:rsid w:val="2F7B77EF"/>
    <w:rsid w:val="30202DD3"/>
    <w:rsid w:val="30274161"/>
    <w:rsid w:val="307A7153"/>
    <w:rsid w:val="32AD00B9"/>
    <w:rsid w:val="32E225C2"/>
    <w:rsid w:val="34E40873"/>
    <w:rsid w:val="34E72111"/>
    <w:rsid w:val="351F3659"/>
    <w:rsid w:val="352D49CD"/>
    <w:rsid w:val="360D5BA8"/>
    <w:rsid w:val="36BB1AA7"/>
    <w:rsid w:val="370B0B2C"/>
    <w:rsid w:val="37B617D5"/>
    <w:rsid w:val="38855EC9"/>
    <w:rsid w:val="393B7820"/>
    <w:rsid w:val="3A0379ED"/>
    <w:rsid w:val="3B0F02EA"/>
    <w:rsid w:val="3B4A6275"/>
    <w:rsid w:val="3B7B4185"/>
    <w:rsid w:val="3BDB4DF3"/>
    <w:rsid w:val="3C330EEC"/>
    <w:rsid w:val="3FBB6674"/>
    <w:rsid w:val="41401527"/>
    <w:rsid w:val="420B225C"/>
    <w:rsid w:val="420B6603"/>
    <w:rsid w:val="426113AB"/>
    <w:rsid w:val="43B43B06"/>
    <w:rsid w:val="44B00772"/>
    <w:rsid w:val="4526655B"/>
    <w:rsid w:val="458251BD"/>
    <w:rsid w:val="462C3B16"/>
    <w:rsid w:val="46BD2CD2"/>
    <w:rsid w:val="46D71FE6"/>
    <w:rsid w:val="47020F3B"/>
    <w:rsid w:val="474D2607"/>
    <w:rsid w:val="47933067"/>
    <w:rsid w:val="48275E04"/>
    <w:rsid w:val="4A1C3C31"/>
    <w:rsid w:val="4A8C389E"/>
    <w:rsid w:val="4C616DE8"/>
    <w:rsid w:val="4DF407BC"/>
    <w:rsid w:val="4FFC5FA2"/>
    <w:rsid w:val="505856E3"/>
    <w:rsid w:val="508D3789"/>
    <w:rsid w:val="53460CB6"/>
    <w:rsid w:val="53D8114B"/>
    <w:rsid w:val="540E0EB6"/>
    <w:rsid w:val="55D65805"/>
    <w:rsid w:val="56FA2A30"/>
    <w:rsid w:val="579B705F"/>
    <w:rsid w:val="57D43243"/>
    <w:rsid w:val="58A837E2"/>
    <w:rsid w:val="59274D06"/>
    <w:rsid w:val="5F9E777B"/>
    <w:rsid w:val="608E2BDB"/>
    <w:rsid w:val="60B06C30"/>
    <w:rsid w:val="614E5143"/>
    <w:rsid w:val="619968FB"/>
    <w:rsid w:val="62355AF7"/>
    <w:rsid w:val="62EA2ED9"/>
    <w:rsid w:val="6401649C"/>
    <w:rsid w:val="64697F7E"/>
    <w:rsid w:val="65B958B6"/>
    <w:rsid w:val="665451F5"/>
    <w:rsid w:val="668F2FEA"/>
    <w:rsid w:val="66E433AB"/>
    <w:rsid w:val="6882064F"/>
    <w:rsid w:val="68A14D62"/>
    <w:rsid w:val="691D3680"/>
    <w:rsid w:val="6A37131C"/>
    <w:rsid w:val="6BBB5183"/>
    <w:rsid w:val="6BC23EED"/>
    <w:rsid w:val="6C067863"/>
    <w:rsid w:val="6CDB5633"/>
    <w:rsid w:val="6F463A56"/>
    <w:rsid w:val="70866F42"/>
    <w:rsid w:val="71E35433"/>
    <w:rsid w:val="724F3298"/>
    <w:rsid w:val="74920103"/>
    <w:rsid w:val="75337288"/>
    <w:rsid w:val="774F6E26"/>
    <w:rsid w:val="7BB865F7"/>
    <w:rsid w:val="7C06401A"/>
    <w:rsid w:val="7C9C425A"/>
    <w:rsid w:val="7D34021E"/>
    <w:rsid w:val="7DFF2EA4"/>
    <w:rsid w:val="7F46351C"/>
    <w:rsid w:val="7FD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spacing w:beforeAutospacing="0" w:afterAutospacing="0"/>
      <w:ind w:firstLine="0" w:firstLineChars="0"/>
      <w:jc w:val="left"/>
      <w:outlineLvl w:val="0"/>
    </w:pPr>
    <w:rPr>
      <w:rFonts w:hint="eastAsia" w:ascii="宋体" w:hAnsi="宋体" w:eastAsia="黑体"/>
      <w:b/>
      <w:kern w:val="44"/>
      <w:sz w:val="32"/>
      <w:szCs w:val="4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rPr>
      <w:sz w:val="21"/>
    </w:rPr>
  </w:style>
  <w:style w:type="paragraph" w:styleId="3">
    <w:name w:val="Body Text Indent"/>
    <w:basedOn w:val="1"/>
    <w:autoRedefine/>
    <w:qFormat/>
    <w:uiPriority w:val="0"/>
    <w:pPr>
      <w:spacing w:line="560" w:lineRule="exact"/>
      <w:ind w:left="300"/>
    </w:pPr>
    <w:rPr>
      <w:sz w:val="24"/>
    </w:rPr>
  </w:style>
  <w:style w:type="paragraph" w:styleId="5">
    <w:name w:val="Normal Indent"/>
    <w:basedOn w:val="1"/>
    <w:autoRedefine/>
    <w:qFormat/>
    <w:uiPriority w:val="0"/>
    <w:pPr>
      <w:adjustRightInd w:val="0"/>
      <w:spacing w:line="360" w:lineRule="atLeast"/>
      <w:ind w:firstLine="420"/>
      <w:jc w:val="left"/>
      <w:textAlignment w:val="baseline"/>
    </w:pPr>
    <w:rPr>
      <w:kern w:val="0"/>
      <w:sz w:val="24"/>
    </w:rPr>
  </w:style>
  <w:style w:type="paragraph" w:styleId="6">
    <w:name w:val="annotation text"/>
    <w:basedOn w:val="1"/>
    <w:autoRedefine/>
    <w:qFormat/>
    <w:uiPriority w:val="0"/>
    <w:pPr>
      <w:jc w:val="left"/>
    </w:pPr>
  </w:style>
  <w:style w:type="paragraph" w:styleId="7">
    <w:name w:val="Body Text"/>
    <w:basedOn w:val="1"/>
    <w:next w:val="1"/>
    <w:autoRedefine/>
    <w:qFormat/>
    <w:uiPriority w:val="0"/>
    <w:pPr>
      <w:spacing w:line="360" w:lineRule="auto"/>
    </w:pPr>
    <w:rPr>
      <w:szCs w:val="20"/>
    </w:rPr>
  </w:style>
  <w:style w:type="paragraph" w:styleId="8">
    <w:name w:val="Plain Text"/>
    <w:basedOn w:val="1"/>
    <w:autoRedefine/>
    <w:qFormat/>
    <w:uiPriority w:val="0"/>
    <w:rPr>
      <w:rFonts w:ascii="宋体" w:hAnsi="Courier New" w:cs="Courier New" w:eastAsiaTheme="minorEastAsia"/>
      <w:szCs w:val="21"/>
    </w:rPr>
  </w:style>
  <w:style w:type="paragraph" w:styleId="9">
    <w:name w:val="Body Text Indent 2"/>
    <w:basedOn w:val="1"/>
    <w:autoRedefine/>
    <w:qFormat/>
    <w:uiPriority w:val="0"/>
    <w:pPr>
      <w:spacing w:after="120" w:line="480" w:lineRule="auto"/>
      <w:ind w:left="420" w:leftChars="2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7"/>
    <w:next w:val="1"/>
    <w:unhideWhenUsed/>
    <w:qFormat/>
    <w:uiPriority w:val="99"/>
    <w:pPr>
      <w:ind w:firstLine="420" w:firstLineChars="1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autoRedefine/>
    <w:qFormat/>
    <w:uiPriority w:val="99"/>
    <w:rPr>
      <w:sz w:val="21"/>
      <w:szCs w:val="21"/>
    </w:rPr>
  </w:style>
  <w:style w:type="paragraph" w:customStyle="1" w:styleId="18">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styleId="19">
    <w:name w:val="Quote"/>
    <w:next w:val="1"/>
    <w:autoRedefine/>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20">
    <w:name w:val="List Paragraph"/>
    <w:basedOn w:val="1"/>
    <w:autoRedefine/>
    <w:qFormat/>
    <w:uiPriority w:val="0"/>
    <w:pPr>
      <w:ind w:firstLine="420" w:firstLineChars="200"/>
    </w:pPr>
    <w:rPr>
      <w:rFonts w:ascii="Times New Roman" w:hAnsi="Times New Roman" w:eastAsia="宋体" w:cs="Times New Roman"/>
      <w:szCs w:val="20"/>
    </w:rPr>
  </w:style>
  <w:style w:type="paragraph" w:customStyle="1" w:styleId="2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22">
    <w:name w:val="font1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6026</Words>
  <Characters>6220</Characters>
  <Lines>25</Lines>
  <Paragraphs>7</Paragraphs>
  <TotalTime>17</TotalTime>
  <ScaleCrop>false</ScaleCrop>
  <LinksUpToDate>false</LinksUpToDate>
  <CharactersWithSpaces>6908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2019-11-07T01:08:00Z</dcterms:created>
  <dc:creator>yc</dc:creator>
  <cp:lastModifiedBy>Yuyu</cp:lastModifiedBy>
  <dcterms:modified xsi:type="dcterms:W3CDTF">2026-06-26T07:36:57Z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71CCE5108424441BADC311A10F54F65A_13</vt:lpwstr>
  </property>
  <property fmtid="{D5CDD505-2E9C-101B-9397-08002B2CF9AE}" pid="4" name="KSOTemplateDocerSaveRecord">
    <vt:lpwstr>eyJoZGlkIjoiMzEwNTM5NzYwMDRjMzkwZTVkZjY2ODkwMGIxNGU0OTUiLCJ1c2VySWQiOiI4MTg2ODgwOTUifQ==</vt:lpwstr>
  </property>
</Properties>
</file>