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793"/>
        <w:gridCol w:w="2357"/>
        <w:gridCol w:w="3823"/>
        <w:gridCol w:w="2854"/>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26</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51"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443F14E">
        <w:tblPrEx>
          <w:tblCellMar>
            <w:top w:w="0" w:type="dxa"/>
            <w:left w:w="108" w:type="dxa"/>
            <w:bottom w:w="0" w:type="dxa"/>
            <w:right w:w="108" w:type="dxa"/>
          </w:tblCellMar>
        </w:tblPrEx>
        <w:trPr>
          <w:trHeight w:val="71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263F09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3A3E03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6</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169</w:t>
            </w:r>
          </w:p>
        </w:tc>
        <w:tc>
          <w:tcPr>
            <w:tcW w:w="1945" w:type="pct"/>
            <w:tcBorders>
              <w:top w:val="single" w:color="auto" w:sz="4" w:space="0"/>
              <w:left w:val="nil"/>
              <w:bottom w:val="single" w:color="auto" w:sz="4" w:space="0"/>
              <w:right w:val="single" w:color="auto" w:sz="4" w:space="0"/>
            </w:tcBorders>
            <w:shd w:val="clear" w:color="auto" w:fill="auto"/>
            <w:vAlign w:val="center"/>
          </w:tcPr>
          <w:p w14:paraId="6BFB771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一次性使用单采血液成份分离器</w:t>
            </w:r>
          </w:p>
        </w:tc>
        <w:tc>
          <w:tcPr>
            <w:tcW w:w="1451" w:type="pct"/>
            <w:tcBorders>
              <w:top w:val="single" w:color="auto" w:sz="4" w:space="0"/>
              <w:left w:val="nil"/>
              <w:bottom w:val="single" w:color="auto" w:sz="4" w:space="0"/>
              <w:right w:val="single" w:color="auto" w:sz="4" w:space="0"/>
            </w:tcBorders>
            <w:shd w:val="clear" w:color="auto" w:fill="auto"/>
            <w:vAlign w:val="center"/>
          </w:tcPr>
          <w:p w14:paraId="22038F8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输血科</w:t>
            </w:r>
          </w:p>
        </w:tc>
      </w:tr>
      <w:tr w14:paraId="5C1128F6">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A9C2C1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56B1A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6</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170</w:t>
            </w:r>
          </w:p>
        </w:tc>
        <w:tc>
          <w:tcPr>
            <w:tcW w:w="1945" w:type="pct"/>
            <w:tcBorders>
              <w:top w:val="single" w:color="auto" w:sz="4" w:space="0"/>
              <w:left w:val="nil"/>
              <w:bottom w:val="single" w:color="auto" w:sz="4" w:space="0"/>
              <w:right w:val="single" w:color="auto" w:sz="4" w:space="0"/>
            </w:tcBorders>
            <w:shd w:val="clear" w:color="auto" w:fill="auto"/>
            <w:vAlign w:val="center"/>
          </w:tcPr>
          <w:p w14:paraId="2FDEAEF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桡骨小头关节系统</w:t>
            </w:r>
          </w:p>
        </w:tc>
        <w:tc>
          <w:tcPr>
            <w:tcW w:w="1451" w:type="pct"/>
            <w:tcBorders>
              <w:top w:val="single" w:color="auto" w:sz="4" w:space="0"/>
              <w:left w:val="nil"/>
              <w:bottom w:val="single" w:color="auto" w:sz="4" w:space="0"/>
              <w:right w:val="single" w:color="auto" w:sz="4" w:space="0"/>
            </w:tcBorders>
            <w:shd w:val="clear" w:color="auto" w:fill="auto"/>
            <w:vAlign w:val="center"/>
          </w:tcPr>
          <w:p w14:paraId="0A22FAA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创伤骨科</w:t>
            </w:r>
          </w:p>
        </w:tc>
      </w:tr>
      <w:tr w14:paraId="0CAA8A18">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73E84C3A">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7FE10C43">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165</w:t>
            </w:r>
          </w:p>
        </w:tc>
        <w:tc>
          <w:tcPr>
            <w:tcW w:w="1945" w:type="pct"/>
            <w:tcBorders>
              <w:top w:val="single" w:color="auto" w:sz="4" w:space="0"/>
              <w:left w:val="nil"/>
              <w:bottom w:val="single" w:color="auto" w:sz="4" w:space="0"/>
              <w:right w:val="single" w:color="auto" w:sz="4" w:space="0"/>
            </w:tcBorders>
            <w:shd w:val="clear" w:color="auto" w:fill="auto"/>
            <w:vAlign w:val="center"/>
          </w:tcPr>
          <w:p w14:paraId="7849C967">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一次性息肉勒除器</w:t>
            </w:r>
          </w:p>
        </w:tc>
        <w:tc>
          <w:tcPr>
            <w:tcW w:w="2852" w:type="dxa"/>
            <w:tcBorders>
              <w:top w:val="single" w:color="auto" w:sz="4" w:space="0"/>
              <w:left w:val="nil"/>
              <w:bottom w:val="single" w:color="auto" w:sz="4" w:space="0"/>
              <w:right w:val="single" w:color="auto" w:sz="4" w:space="0"/>
            </w:tcBorders>
            <w:shd w:val="clear" w:color="auto" w:fill="auto"/>
            <w:vAlign w:val="center"/>
          </w:tcPr>
          <w:p w14:paraId="0CD5CC1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消化内镜中心</w:t>
            </w:r>
          </w:p>
        </w:tc>
      </w:tr>
      <w:tr w14:paraId="1A5E01FB">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493B503B">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17D392F6">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166</w:t>
            </w:r>
          </w:p>
        </w:tc>
        <w:tc>
          <w:tcPr>
            <w:tcW w:w="1945" w:type="pct"/>
            <w:tcBorders>
              <w:top w:val="single" w:color="auto" w:sz="4" w:space="0"/>
              <w:left w:val="nil"/>
              <w:bottom w:val="single" w:color="auto" w:sz="4" w:space="0"/>
              <w:right w:val="single" w:color="auto" w:sz="4" w:space="0"/>
            </w:tcBorders>
            <w:shd w:val="clear" w:color="auto" w:fill="auto"/>
            <w:vAlign w:val="center"/>
          </w:tcPr>
          <w:p w14:paraId="23A9C7AA">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多参数血小板功能分析仪</w:t>
            </w:r>
          </w:p>
        </w:tc>
        <w:tc>
          <w:tcPr>
            <w:tcW w:w="2852" w:type="dxa"/>
            <w:tcBorders>
              <w:top w:val="single" w:color="auto" w:sz="4" w:space="0"/>
              <w:left w:val="nil"/>
              <w:bottom w:val="single" w:color="auto" w:sz="4" w:space="0"/>
              <w:right w:val="single" w:color="auto" w:sz="4" w:space="0"/>
            </w:tcBorders>
            <w:shd w:val="clear" w:color="auto" w:fill="auto"/>
            <w:vAlign w:val="center"/>
          </w:tcPr>
          <w:p w14:paraId="76A749AA">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输血科</w:t>
            </w:r>
          </w:p>
        </w:tc>
      </w:tr>
      <w:tr w14:paraId="633D1928">
        <w:tblPrEx>
          <w:tblCellMar>
            <w:top w:w="0" w:type="dxa"/>
            <w:left w:w="108" w:type="dxa"/>
            <w:bottom w:w="0" w:type="dxa"/>
            <w:right w:w="108" w:type="dxa"/>
          </w:tblCellMar>
        </w:tblPrEx>
        <w:trPr>
          <w:trHeight w:val="706" w:hRule="atLeast"/>
        </w:trPr>
        <w:tc>
          <w:tcPr>
            <w:tcW w:w="404" w:type="pct"/>
            <w:tcBorders>
              <w:top w:val="single" w:color="auto" w:sz="4" w:space="0"/>
              <w:left w:val="single" w:color="auto" w:sz="4" w:space="0"/>
              <w:bottom w:val="single" w:color="auto" w:sz="4" w:space="0"/>
              <w:right w:val="single" w:color="auto" w:sz="4" w:space="0"/>
            </w:tcBorders>
            <w:shd w:val="clear" w:color="auto" w:fill="auto"/>
            <w:vAlign w:val="center"/>
          </w:tcPr>
          <w:p w14:paraId="4A1BED8F">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199" w:type="pct"/>
            <w:tcBorders>
              <w:top w:val="single" w:color="auto" w:sz="4" w:space="0"/>
              <w:left w:val="nil"/>
              <w:bottom w:val="single" w:color="auto" w:sz="4" w:space="0"/>
              <w:right w:val="single" w:color="auto" w:sz="4" w:space="0"/>
            </w:tcBorders>
            <w:shd w:val="clear" w:color="auto" w:fill="auto"/>
            <w:vAlign w:val="center"/>
          </w:tcPr>
          <w:p w14:paraId="24366FB4">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171</w:t>
            </w:r>
          </w:p>
        </w:tc>
        <w:tc>
          <w:tcPr>
            <w:tcW w:w="1945" w:type="pct"/>
            <w:tcBorders>
              <w:top w:val="single" w:color="auto" w:sz="4" w:space="0"/>
              <w:left w:val="nil"/>
              <w:bottom w:val="single" w:color="auto" w:sz="4" w:space="0"/>
              <w:right w:val="single" w:color="auto" w:sz="4" w:space="0"/>
            </w:tcBorders>
            <w:shd w:val="clear" w:color="auto" w:fill="auto"/>
            <w:vAlign w:val="center"/>
          </w:tcPr>
          <w:p w14:paraId="61A57297">
            <w:pPr>
              <w:widowControl/>
              <w:jc w:val="center"/>
              <w:textAlignment w:val="center"/>
              <w:rPr>
                <w:rFonts w:hint="eastAsia" w:eastAsia="宋体"/>
                <w:color w:val="000000"/>
                <w:sz w:val="22"/>
                <w:lang w:eastAsia="zh-CN"/>
              </w:rPr>
            </w:pPr>
            <w:r>
              <w:rPr>
                <w:rFonts w:hint="eastAsia" w:eastAsia="宋体"/>
                <w:color w:val="000000"/>
                <w:sz w:val="22"/>
                <w:lang w:eastAsia="zh-CN"/>
              </w:rPr>
              <w:t>骨科外固定夹板</w:t>
            </w:r>
          </w:p>
        </w:tc>
        <w:tc>
          <w:tcPr>
            <w:tcW w:w="2852" w:type="dxa"/>
            <w:tcBorders>
              <w:top w:val="single" w:color="auto" w:sz="4" w:space="0"/>
              <w:left w:val="nil"/>
              <w:bottom w:val="single" w:color="auto" w:sz="4" w:space="0"/>
              <w:right w:val="single" w:color="auto" w:sz="4" w:space="0"/>
            </w:tcBorders>
            <w:shd w:val="clear" w:color="auto" w:fill="auto"/>
            <w:vAlign w:val="center"/>
          </w:tcPr>
          <w:p w14:paraId="7F09F516">
            <w:pPr>
              <w:widowControl/>
              <w:jc w:val="center"/>
              <w:textAlignment w:val="center"/>
              <w:rPr>
                <w:rFonts w:hint="eastAsia" w:eastAsia="宋体"/>
                <w:color w:val="000000"/>
                <w:sz w:val="22"/>
                <w:lang w:val="en-US" w:eastAsia="zh-CN"/>
              </w:rPr>
            </w:pPr>
            <w:r>
              <w:rPr>
                <w:rFonts w:hint="eastAsia" w:asciiTheme="minorHAnsi" w:hAnsiTheme="minorHAnsi" w:eastAsiaTheme="minorEastAsia" w:cstheme="minorBidi"/>
                <w:color w:val="000000"/>
                <w:kern w:val="2"/>
                <w:sz w:val="22"/>
                <w:szCs w:val="22"/>
                <w:lang w:val="en-US" w:eastAsia="zh-CN" w:bidi="ar-SA"/>
              </w:rPr>
              <w:t>创伤骨科</w:t>
            </w:r>
          </w:p>
        </w:tc>
      </w:tr>
    </w:tbl>
    <w:p w14:paraId="7CFABF8D">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5</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微软雅黑" w:hAnsi="微软雅黑" w:eastAsia="微软雅黑" w:cs="微软雅黑"/>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微软雅黑" w:hAnsi="微软雅黑" w:eastAsia="微软雅黑" w:cs="微软雅黑"/>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微软雅黑" w:hAnsi="微软雅黑" w:eastAsia="微软雅黑" w:cs="微软雅黑"/>
          <w:bCs w:val="0"/>
          <w:sz w:val="44"/>
          <w:szCs w:val="44"/>
        </w:rPr>
        <w:t xml:space="preserve">第一章 </w:t>
      </w:r>
      <w:r>
        <w:rPr>
          <w:rFonts w:hint="eastAsia" w:ascii="微软雅黑" w:hAnsi="微软雅黑" w:eastAsia="微软雅黑" w:cs="微软雅黑"/>
          <w:sz w:val="44"/>
          <w:szCs w:val="44"/>
        </w:rPr>
        <w:t>202</w:t>
      </w:r>
      <w:r>
        <w:rPr>
          <w:rFonts w:hint="eastAsia" w:ascii="微软雅黑" w:hAnsi="微软雅黑" w:eastAsia="微软雅黑" w:cs="微软雅黑"/>
          <w:sz w:val="44"/>
          <w:szCs w:val="44"/>
          <w:lang w:val="en-US" w:eastAsia="zh-CN"/>
        </w:rPr>
        <w:t>6</w:t>
      </w:r>
      <w:r>
        <w:rPr>
          <w:rFonts w:hint="eastAsia" w:ascii="微软雅黑" w:hAnsi="微软雅黑" w:eastAsia="微软雅黑" w:cs="微软雅黑"/>
          <w:sz w:val="44"/>
          <w:szCs w:val="44"/>
        </w:rPr>
        <w:t>年</w:t>
      </w:r>
      <w:r>
        <w:rPr>
          <w:rFonts w:hint="eastAsia" w:ascii="微软雅黑" w:hAnsi="微软雅黑" w:eastAsia="微软雅黑" w:cs="微软雅黑"/>
          <w:sz w:val="44"/>
          <w:szCs w:val="44"/>
          <w:lang w:eastAsia="zh-CN"/>
        </w:rPr>
        <w:t>第</w:t>
      </w:r>
      <w:r>
        <w:rPr>
          <w:rFonts w:hint="eastAsia" w:ascii="微软雅黑" w:hAnsi="微软雅黑" w:eastAsia="微软雅黑" w:cs="微软雅黑"/>
          <w:sz w:val="44"/>
          <w:szCs w:val="44"/>
          <w:lang w:val="en-US" w:eastAsia="zh-CN"/>
        </w:rPr>
        <w:t>26</w:t>
      </w:r>
      <w:r>
        <w:rPr>
          <w:rFonts w:hint="eastAsia" w:ascii="微软雅黑" w:hAnsi="微软雅黑" w:eastAsia="微软雅黑" w:cs="微软雅黑"/>
          <w:sz w:val="44"/>
          <w:szCs w:val="44"/>
          <w:lang w:eastAsia="zh-CN"/>
        </w:rPr>
        <w:t>期</w:t>
      </w:r>
      <w:r>
        <w:rPr>
          <w:rFonts w:hint="eastAsia" w:ascii="微软雅黑" w:hAnsi="微软雅黑" w:eastAsia="微软雅黑" w:cs="微软雅黑"/>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26</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28</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6</w:t>
      </w:r>
      <w:r>
        <w:rPr>
          <w:rFonts w:hint="eastAsia" w:ascii="Times New Roman" w:hAnsi="Times New Roman" w:cs="Times New Roman"/>
          <w:b/>
          <w:highlight w:val="yellow"/>
          <w:lang w:val="en-US" w:eastAsia="zh-CN"/>
        </w:rPr>
        <w:t>月</w:t>
      </w:r>
      <w:r>
        <w:rPr>
          <w:rFonts w:hint="eastAsia" w:cs="Times New Roman"/>
          <w:b/>
          <w:highlight w:val="yellow"/>
          <w:lang w:val="en-US" w:eastAsia="zh-CN"/>
        </w:rPr>
        <w:t>4</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06A1A7E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7363C39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41E8565A">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810" w:type="dxa"/>
            <w:vAlign w:val="center"/>
          </w:tcPr>
          <w:p w14:paraId="0E8D3060">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2F63B6C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0C479384">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1749A7B0">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63175013">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0E5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998FAD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61861FA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6</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169</w:t>
            </w:r>
          </w:p>
        </w:tc>
        <w:tc>
          <w:tcPr>
            <w:tcW w:w="1155" w:type="dxa"/>
            <w:shd w:val="clear" w:color="auto" w:fill="auto"/>
            <w:vAlign w:val="center"/>
          </w:tcPr>
          <w:p w14:paraId="1CE9772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一次性使用单采血液成份分离器</w:t>
            </w:r>
          </w:p>
        </w:tc>
        <w:tc>
          <w:tcPr>
            <w:tcW w:w="1440" w:type="dxa"/>
            <w:shd w:val="clear" w:color="auto" w:fill="auto"/>
            <w:vAlign w:val="center"/>
          </w:tcPr>
          <w:p w14:paraId="461664D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1500</w:t>
            </w:r>
          </w:p>
        </w:tc>
        <w:tc>
          <w:tcPr>
            <w:tcW w:w="3810" w:type="dxa"/>
            <w:shd w:val="clear" w:color="auto" w:fill="auto"/>
            <w:vAlign w:val="center"/>
          </w:tcPr>
          <w:p w14:paraId="05E86A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773097F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w:t>
            </w:r>
          </w:p>
          <w:p w14:paraId="4A3B3DA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w:t>
            </w:r>
          </w:p>
          <w:p w14:paraId="651005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w:t>
            </w:r>
          </w:p>
          <w:p w14:paraId="50C3158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4.工作尺寸要求（填范围-长度、直径...）</w:t>
            </w:r>
          </w:p>
          <w:p w14:paraId="759B644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5.是否需要配套设备：具体设备名称</w:t>
            </w:r>
          </w:p>
          <w:p w14:paraId="43E6BC9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w:t>
            </w:r>
          </w:p>
          <w:p w14:paraId="79A5776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7.消毒灭菌要求等...</w:t>
            </w:r>
          </w:p>
        </w:tc>
        <w:tc>
          <w:tcPr>
            <w:tcW w:w="930" w:type="dxa"/>
            <w:shd w:val="clear" w:color="auto" w:fill="auto"/>
            <w:vAlign w:val="center"/>
          </w:tcPr>
          <w:p w14:paraId="77B5E2D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25" w:type="dxa"/>
            <w:shd w:val="clear" w:color="auto" w:fill="auto"/>
            <w:vAlign w:val="center"/>
          </w:tcPr>
          <w:p w14:paraId="7524688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5043C9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输血科</w:t>
            </w:r>
          </w:p>
        </w:tc>
        <w:tc>
          <w:tcPr>
            <w:tcW w:w="714" w:type="dxa"/>
            <w:shd w:val="clear" w:color="auto" w:fill="auto"/>
            <w:vAlign w:val="center"/>
          </w:tcPr>
          <w:p w14:paraId="1B63F57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p>
        </w:tc>
      </w:tr>
      <w:tr w14:paraId="10AB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7A55E07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0" w:type="auto"/>
            <w:shd w:val="clear" w:color="auto" w:fill="auto"/>
            <w:vAlign w:val="center"/>
          </w:tcPr>
          <w:p w14:paraId="09A5879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6</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170</w:t>
            </w:r>
          </w:p>
        </w:tc>
        <w:tc>
          <w:tcPr>
            <w:tcW w:w="1155" w:type="dxa"/>
            <w:shd w:val="clear" w:color="auto" w:fill="auto"/>
            <w:vAlign w:val="center"/>
          </w:tcPr>
          <w:p w14:paraId="246C26E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桡骨小头关节系统</w:t>
            </w:r>
          </w:p>
        </w:tc>
        <w:tc>
          <w:tcPr>
            <w:tcW w:w="1440" w:type="dxa"/>
            <w:shd w:val="clear" w:color="auto" w:fill="auto"/>
            <w:vAlign w:val="center"/>
          </w:tcPr>
          <w:p w14:paraId="10E6E87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30000</w:t>
            </w:r>
          </w:p>
        </w:tc>
        <w:tc>
          <w:tcPr>
            <w:tcW w:w="3810" w:type="dxa"/>
            <w:shd w:val="clear" w:color="auto" w:fill="auto"/>
            <w:vAlign w:val="center"/>
          </w:tcPr>
          <w:p w14:paraId="40BACA6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450699B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1.使用范围:用于桡骨头置换。</w:t>
            </w:r>
          </w:p>
          <w:p w14:paraId="1F84868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2.主要部件:产品由桡骨头和桡骨柄组成</w:t>
            </w:r>
          </w:p>
          <w:p w14:paraId="6BA7C5A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3:.材质要求：符合YY 0605.12规定的锻造合金材料制成</w:t>
            </w:r>
          </w:p>
          <w:p w14:paraId="2F5C757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4.工作尺寸要求（桡骨头直径18mm-28mm   桡骨柄直径4.5mm-9.5mm）</w:t>
            </w:r>
          </w:p>
          <w:p w14:paraId="76F105D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5.效期要求：5年以上</w:t>
            </w:r>
          </w:p>
          <w:p w14:paraId="67EA3FE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6.消毒灭菌要求：辐照灭菌</w:t>
            </w:r>
          </w:p>
        </w:tc>
        <w:tc>
          <w:tcPr>
            <w:tcW w:w="930" w:type="dxa"/>
            <w:shd w:val="clear" w:color="auto" w:fill="auto"/>
            <w:vAlign w:val="center"/>
          </w:tcPr>
          <w:p w14:paraId="728005E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25" w:type="dxa"/>
            <w:shd w:val="clear" w:color="auto" w:fill="auto"/>
            <w:vAlign w:val="center"/>
          </w:tcPr>
          <w:p w14:paraId="7A000B9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5223904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创伤骨科</w:t>
            </w:r>
          </w:p>
        </w:tc>
        <w:tc>
          <w:tcPr>
            <w:tcW w:w="0" w:type="auto"/>
            <w:shd w:val="clear" w:color="auto" w:fill="auto"/>
            <w:vAlign w:val="center"/>
          </w:tcPr>
          <w:p w14:paraId="6A53992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p>
        </w:tc>
      </w:tr>
      <w:tr w14:paraId="3C53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6C15EF28">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0" w:type="auto"/>
            <w:shd w:val="clear" w:color="auto" w:fill="auto"/>
            <w:vAlign w:val="center"/>
          </w:tcPr>
          <w:p w14:paraId="55E33482">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165</w:t>
            </w:r>
          </w:p>
        </w:tc>
        <w:tc>
          <w:tcPr>
            <w:tcW w:w="1155" w:type="dxa"/>
            <w:shd w:val="clear" w:color="auto" w:fill="auto"/>
            <w:vAlign w:val="center"/>
          </w:tcPr>
          <w:p w14:paraId="793C05E4">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一次性息肉勒除器</w:t>
            </w:r>
          </w:p>
        </w:tc>
        <w:tc>
          <w:tcPr>
            <w:tcW w:w="1440" w:type="dxa"/>
            <w:shd w:val="clear" w:color="auto" w:fill="auto"/>
            <w:vAlign w:val="center"/>
          </w:tcPr>
          <w:p w14:paraId="60BD08EF">
            <w:pPr>
              <w:widowControl/>
              <w:jc w:val="center"/>
              <w:textAlignment w:val="center"/>
              <w:rPr>
                <w:rFonts w:hint="eastAsia" w:ascii="Times New Roman" w:hAnsi="Times New Roman" w:eastAsia="宋体" w:cs="Times New Roman"/>
                <w:b w:val="0"/>
                <w:bCs w:val="0"/>
                <w:color w:val="000000"/>
                <w:kern w:val="2"/>
                <w:sz w:val="22"/>
                <w:szCs w:val="24"/>
                <w:lang w:val="en-US" w:eastAsia="zh-CN" w:bidi="ar-SA"/>
              </w:rPr>
            </w:pPr>
            <w:r>
              <w:rPr>
                <w:rFonts w:hint="eastAsia" w:eastAsia="宋体"/>
                <w:b w:val="0"/>
                <w:bCs w:val="0"/>
                <w:color w:val="000000"/>
                <w:sz w:val="22"/>
                <w:lang w:eastAsia="zh-CN"/>
              </w:rPr>
              <w:t>314.5</w:t>
            </w:r>
          </w:p>
        </w:tc>
        <w:tc>
          <w:tcPr>
            <w:tcW w:w="3810" w:type="dxa"/>
            <w:shd w:val="clear" w:color="auto" w:fill="auto"/>
            <w:vAlign w:val="center"/>
          </w:tcPr>
          <w:p w14:paraId="302A4F4E">
            <w:pPr>
              <w:widowControl/>
              <w:jc w:val="left"/>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用于消化道内小型息肉、无蒂息肉、有蒂息肉的切除和烧灼。</w:t>
            </w:r>
          </w:p>
        </w:tc>
        <w:tc>
          <w:tcPr>
            <w:tcW w:w="930" w:type="dxa"/>
            <w:shd w:val="clear" w:color="auto" w:fill="auto"/>
            <w:vAlign w:val="center"/>
          </w:tcPr>
          <w:p w14:paraId="3071275F">
            <w:pPr>
              <w:widowControl/>
              <w:jc w:val="center"/>
              <w:textAlignment w:val="center"/>
              <w:rPr>
                <w:rFonts w:hint="eastAsia" w:ascii="Times New Roman" w:hAnsi="Times New Roman" w:eastAsia="宋体" w:cs="Times New Roman"/>
                <w:b w:val="0"/>
                <w:bCs w:val="0"/>
                <w:color w:val="000000"/>
                <w:kern w:val="2"/>
                <w:sz w:val="22"/>
                <w:szCs w:val="24"/>
                <w:lang w:val="en-US" w:eastAsia="zh-CN" w:bidi="ar-SA"/>
              </w:rPr>
            </w:pPr>
            <w:r>
              <w:rPr>
                <w:rFonts w:hint="eastAsia" w:ascii="宋体" w:hAnsi="宋体" w:eastAsia="宋体" w:cs="宋体"/>
                <w:b w:val="0"/>
                <w:bCs w:val="0"/>
                <w:color w:val="000000"/>
                <w:kern w:val="0"/>
                <w:sz w:val="22"/>
                <w:szCs w:val="22"/>
              </w:rPr>
              <w:t>允许进口</w:t>
            </w:r>
          </w:p>
        </w:tc>
        <w:tc>
          <w:tcPr>
            <w:tcW w:w="1125" w:type="dxa"/>
            <w:shd w:val="clear" w:color="auto" w:fill="auto"/>
            <w:vAlign w:val="center"/>
          </w:tcPr>
          <w:p w14:paraId="3F30C66D">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c>
          <w:tcPr>
            <w:tcW w:w="786" w:type="dxa"/>
            <w:shd w:val="clear" w:color="auto" w:fill="auto"/>
            <w:vAlign w:val="center"/>
          </w:tcPr>
          <w:p w14:paraId="227AC9CF">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消化内镜中心</w:t>
            </w:r>
          </w:p>
        </w:tc>
        <w:tc>
          <w:tcPr>
            <w:tcW w:w="0" w:type="auto"/>
            <w:shd w:val="clear" w:color="auto" w:fill="auto"/>
            <w:vAlign w:val="center"/>
          </w:tcPr>
          <w:p w14:paraId="2ED3047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w:t>
            </w:r>
          </w:p>
        </w:tc>
      </w:tr>
      <w:tr w14:paraId="5C6C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26296AAE">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0" w:type="auto"/>
            <w:shd w:val="clear" w:color="auto" w:fill="auto"/>
            <w:vAlign w:val="center"/>
          </w:tcPr>
          <w:p w14:paraId="3EA05921">
            <w:pPr>
              <w:widowControl/>
              <w:jc w:val="center"/>
              <w:textAlignment w:val="center"/>
              <w:rPr>
                <w:rFonts w:hint="default" w:ascii="Times New Roman" w:hAnsi="Times New Roman" w:eastAsia="宋体" w:cs="Times New Roman"/>
                <w:color w:val="000000"/>
                <w:kern w:val="2"/>
                <w:sz w:val="22"/>
                <w:szCs w:val="24"/>
                <w:lang w:val="en-US" w:eastAsia="zh-CN" w:bidi="ar-SA"/>
              </w:rPr>
            </w:pPr>
            <w:bookmarkStart w:id="97" w:name="_GoBack"/>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166</w:t>
            </w:r>
            <w:bookmarkEnd w:id="97"/>
          </w:p>
        </w:tc>
        <w:tc>
          <w:tcPr>
            <w:tcW w:w="1155" w:type="dxa"/>
            <w:shd w:val="clear" w:color="auto" w:fill="auto"/>
            <w:vAlign w:val="center"/>
          </w:tcPr>
          <w:p w14:paraId="0C4BEECB">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多参数血小板功能分析仪</w:t>
            </w:r>
          </w:p>
        </w:tc>
        <w:tc>
          <w:tcPr>
            <w:tcW w:w="1440" w:type="dxa"/>
            <w:shd w:val="clear" w:color="auto" w:fill="auto"/>
            <w:vAlign w:val="center"/>
          </w:tcPr>
          <w:p w14:paraId="3B524B90">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0.2</w:t>
            </w:r>
          </w:p>
        </w:tc>
        <w:tc>
          <w:tcPr>
            <w:tcW w:w="3810" w:type="dxa"/>
            <w:shd w:val="clear" w:color="auto" w:fill="auto"/>
            <w:vAlign w:val="center"/>
          </w:tcPr>
          <w:p w14:paraId="0F20D2E0">
            <w:pPr>
              <w:widowControl/>
              <w:jc w:val="left"/>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可测血小板聚集率、粘附率等参数，样本量≤0.1ml，检测时间≤5分钟，结果重复性CV≤10%</w:t>
            </w:r>
          </w:p>
        </w:tc>
        <w:tc>
          <w:tcPr>
            <w:tcW w:w="930" w:type="dxa"/>
            <w:shd w:val="clear" w:color="auto" w:fill="auto"/>
            <w:vAlign w:val="center"/>
          </w:tcPr>
          <w:p w14:paraId="6E6BBB1B">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国产</w:t>
            </w:r>
          </w:p>
        </w:tc>
        <w:tc>
          <w:tcPr>
            <w:tcW w:w="1125" w:type="dxa"/>
            <w:shd w:val="clear" w:color="auto" w:fill="auto"/>
            <w:vAlign w:val="center"/>
          </w:tcPr>
          <w:p w14:paraId="1FC22F7B">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否</w:t>
            </w:r>
          </w:p>
        </w:tc>
        <w:tc>
          <w:tcPr>
            <w:tcW w:w="786" w:type="dxa"/>
            <w:shd w:val="clear" w:color="auto" w:fill="auto"/>
            <w:vAlign w:val="center"/>
          </w:tcPr>
          <w:p w14:paraId="52CE82EF">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输血科</w:t>
            </w:r>
          </w:p>
        </w:tc>
        <w:tc>
          <w:tcPr>
            <w:tcW w:w="0" w:type="auto"/>
            <w:shd w:val="clear" w:color="auto" w:fill="auto"/>
            <w:vAlign w:val="center"/>
          </w:tcPr>
          <w:p w14:paraId="1D06CC6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w:t>
            </w:r>
          </w:p>
        </w:tc>
      </w:tr>
      <w:tr w14:paraId="7B4B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66FD56B0">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0" w:type="auto"/>
            <w:shd w:val="clear" w:color="auto" w:fill="auto"/>
            <w:vAlign w:val="center"/>
          </w:tcPr>
          <w:p w14:paraId="7A202133">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171</w:t>
            </w:r>
          </w:p>
        </w:tc>
        <w:tc>
          <w:tcPr>
            <w:tcW w:w="1155" w:type="dxa"/>
            <w:shd w:val="clear" w:color="auto" w:fill="auto"/>
            <w:vAlign w:val="center"/>
          </w:tcPr>
          <w:p w14:paraId="6A445204">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骨科外固定夹板</w:t>
            </w:r>
          </w:p>
        </w:tc>
        <w:tc>
          <w:tcPr>
            <w:tcW w:w="1440" w:type="dxa"/>
            <w:shd w:val="clear" w:color="auto" w:fill="auto"/>
            <w:vAlign w:val="center"/>
          </w:tcPr>
          <w:p w14:paraId="106094F7">
            <w:pPr>
              <w:widowControl/>
              <w:jc w:val="center"/>
              <w:textAlignment w:val="center"/>
              <w:rPr>
                <w:rFonts w:hint="default" w:eastAsia="宋体"/>
                <w:color w:val="000000"/>
                <w:sz w:val="22"/>
                <w:lang w:val="en-US" w:eastAsia="zh-CN"/>
              </w:rPr>
            </w:pPr>
            <w:r>
              <w:rPr>
                <w:rFonts w:hint="eastAsia" w:eastAsia="宋体"/>
                <w:color w:val="000000"/>
                <w:sz w:val="22"/>
                <w:lang w:val="en-US" w:eastAsia="zh-CN"/>
              </w:rPr>
              <w:t>3160</w:t>
            </w:r>
          </w:p>
        </w:tc>
        <w:tc>
          <w:tcPr>
            <w:tcW w:w="3810" w:type="dxa"/>
            <w:shd w:val="clear" w:color="auto" w:fill="auto"/>
            <w:vAlign w:val="center"/>
          </w:tcPr>
          <w:p w14:paraId="79747432">
            <w:pPr>
              <w:widowControl/>
              <w:jc w:val="left"/>
              <w:textAlignment w:val="center"/>
              <w:rPr>
                <w:rFonts w:hint="eastAsia" w:eastAsia="宋体"/>
                <w:color w:val="000000"/>
                <w:sz w:val="22"/>
                <w:lang w:eastAsia="zh-CN"/>
              </w:rPr>
            </w:pPr>
            <w:r>
              <w:rPr>
                <w:rFonts w:hint="eastAsia" w:eastAsia="宋体"/>
                <w:color w:val="000000"/>
                <w:sz w:val="22"/>
                <w:lang w:eastAsia="zh-CN"/>
              </w:rPr>
              <w:t>主要技术和参数要求:</w:t>
            </w:r>
          </w:p>
          <w:p w14:paraId="1588F4D0">
            <w:pPr>
              <w:widowControl/>
              <w:jc w:val="left"/>
              <w:textAlignment w:val="center"/>
              <w:rPr>
                <w:rFonts w:hint="eastAsia" w:eastAsia="宋体"/>
                <w:color w:val="000000"/>
                <w:sz w:val="22"/>
                <w:lang w:eastAsia="zh-CN"/>
              </w:rPr>
            </w:pPr>
            <w:r>
              <w:rPr>
                <w:rFonts w:hint="eastAsia" w:eastAsia="宋体"/>
                <w:color w:val="000000"/>
                <w:sz w:val="22"/>
                <w:lang w:eastAsia="zh-CN"/>
              </w:rPr>
              <w:t>1、主要用以四肢骨折外固定、能透X线。</w:t>
            </w:r>
          </w:p>
          <w:p w14:paraId="2688C38C">
            <w:pPr>
              <w:widowControl/>
              <w:jc w:val="left"/>
              <w:textAlignment w:val="center"/>
              <w:rPr>
                <w:rFonts w:hint="eastAsia" w:eastAsia="宋体"/>
                <w:color w:val="000000"/>
                <w:sz w:val="22"/>
                <w:lang w:eastAsia="zh-CN"/>
              </w:rPr>
            </w:pPr>
            <w:r>
              <w:rPr>
                <w:rFonts w:hint="eastAsia" w:eastAsia="宋体"/>
                <w:color w:val="000000"/>
                <w:sz w:val="22"/>
                <w:lang w:eastAsia="zh-CN"/>
              </w:rPr>
              <w:t>2、提供产品生物相融性报告，无致敏等风险</w:t>
            </w:r>
          </w:p>
          <w:p w14:paraId="0282503E">
            <w:pPr>
              <w:widowControl/>
              <w:jc w:val="left"/>
              <w:textAlignment w:val="center"/>
              <w:rPr>
                <w:rFonts w:hint="eastAsia" w:eastAsia="宋体"/>
                <w:color w:val="000000"/>
                <w:sz w:val="22"/>
                <w:lang w:eastAsia="zh-CN"/>
              </w:rPr>
            </w:pPr>
            <w:r>
              <w:rPr>
                <w:rFonts w:hint="eastAsia" w:eastAsia="宋体"/>
                <w:color w:val="000000"/>
                <w:sz w:val="22"/>
                <w:lang w:eastAsia="zh-CN"/>
              </w:rPr>
              <w:t>3、定型强度，不低于50D（邵氏硬度）</w:t>
            </w:r>
          </w:p>
          <w:p w14:paraId="5B017DEB">
            <w:pPr>
              <w:widowControl/>
              <w:jc w:val="left"/>
              <w:textAlignment w:val="center"/>
              <w:rPr>
                <w:rFonts w:hint="eastAsia" w:eastAsia="宋体"/>
                <w:color w:val="000000"/>
                <w:sz w:val="22"/>
                <w:lang w:eastAsia="zh-CN"/>
              </w:rPr>
            </w:pPr>
            <w:r>
              <w:rPr>
                <w:rFonts w:hint="eastAsia" w:eastAsia="宋体"/>
                <w:color w:val="000000"/>
                <w:sz w:val="22"/>
                <w:lang w:eastAsia="zh-CN"/>
              </w:rPr>
              <w:t>4、夹板的弯曲强度，不低于35MPa</w:t>
            </w:r>
          </w:p>
          <w:p w14:paraId="7E4708A9">
            <w:pPr>
              <w:widowControl/>
              <w:jc w:val="left"/>
              <w:textAlignment w:val="center"/>
              <w:rPr>
                <w:rFonts w:hint="eastAsia" w:eastAsia="宋体"/>
                <w:color w:val="000000"/>
                <w:sz w:val="22"/>
                <w:lang w:eastAsia="zh-CN"/>
              </w:rPr>
            </w:pPr>
            <w:r>
              <w:rPr>
                <w:rFonts w:hint="eastAsia" w:eastAsia="宋体"/>
                <w:color w:val="000000"/>
                <w:sz w:val="22"/>
                <w:lang w:eastAsia="zh-CN"/>
              </w:rPr>
              <w:t>5、可重复塑形固定</w:t>
            </w:r>
          </w:p>
        </w:tc>
        <w:tc>
          <w:tcPr>
            <w:tcW w:w="930" w:type="dxa"/>
            <w:shd w:val="clear" w:color="auto" w:fill="auto"/>
            <w:vAlign w:val="center"/>
          </w:tcPr>
          <w:p w14:paraId="65435D93">
            <w:pPr>
              <w:widowControl/>
              <w:jc w:val="center"/>
              <w:textAlignment w:val="center"/>
              <w:rPr>
                <w:rFonts w:hint="eastAsia" w:eastAsia="宋体"/>
                <w:color w:val="000000"/>
                <w:sz w:val="22"/>
                <w:lang w:val="en-US" w:eastAsia="zh-CN"/>
              </w:rPr>
            </w:pPr>
            <w:r>
              <w:rPr>
                <w:rFonts w:hint="eastAsia" w:eastAsia="宋体"/>
                <w:color w:val="000000"/>
                <w:sz w:val="22"/>
                <w:lang w:val="en-US" w:eastAsia="zh-CN"/>
              </w:rPr>
              <w:t>国产</w:t>
            </w:r>
          </w:p>
        </w:tc>
        <w:tc>
          <w:tcPr>
            <w:tcW w:w="1125" w:type="dxa"/>
            <w:shd w:val="clear" w:color="auto" w:fill="auto"/>
            <w:vAlign w:val="center"/>
          </w:tcPr>
          <w:p w14:paraId="2ED9DA75">
            <w:pPr>
              <w:widowControl/>
              <w:jc w:val="center"/>
              <w:textAlignment w:val="center"/>
              <w:rPr>
                <w:rFonts w:hint="eastAsia" w:eastAsia="宋体"/>
                <w:color w:val="000000"/>
                <w:sz w:val="22"/>
                <w:lang w:val="en-US" w:eastAsia="zh-CN"/>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7B9AC6A">
            <w:pPr>
              <w:widowControl/>
              <w:jc w:val="center"/>
              <w:textAlignment w:val="center"/>
              <w:rPr>
                <w:rFonts w:hint="eastAsia" w:eastAsia="宋体"/>
                <w:color w:val="000000"/>
                <w:sz w:val="22"/>
                <w:lang w:val="en-US" w:eastAsia="zh-CN"/>
              </w:rPr>
            </w:pPr>
            <w:r>
              <w:rPr>
                <w:rFonts w:hint="eastAsia" w:eastAsia="宋体"/>
                <w:color w:val="000000"/>
                <w:sz w:val="22"/>
                <w:lang w:val="en-US" w:eastAsia="zh-CN"/>
              </w:rPr>
              <w:t>创伤骨科</w:t>
            </w:r>
          </w:p>
        </w:tc>
        <w:tc>
          <w:tcPr>
            <w:tcW w:w="0" w:type="auto"/>
            <w:shd w:val="clear" w:color="auto" w:fill="auto"/>
            <w:vAlign w:val="center"/>
          </w:tcPr>
          <w:p w14:paraId="43F246AA">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p>
        </w:tc>
      </w:tr>
    </w:tbl>
    <w:p w14:paraId="4949C8AB">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微软雅黑" w:hAnsi="微软雅黑" w:eastAsia="微软雅黑" w:cs="微软雅黑"/>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5月</w:t>
      </w:r>
    </w:p>
    <w:p w14:paraId="6003E70B">
      <w:pPr>
        <w:pStyle w:val="26"/>
        <w:adjustRightInd w:val="0"/>
        <w:snapToGrid w:val="0"/>
        <w:spacing w:line="360" w:lineRule="auto"/>
        <w:jc w:val="center"/>
        <w:outlineLvl w:val="0"/>
        <w:rPr>
          <w:rFonts w:ascii="微软雅黑" w:hAnsi="微软雅黑" w:eastAsia="微软雅黑" w:cs="微软雅黑"/>
          <w:b/>
          <w:bCs/>
          <w:sz w:val="32"/>
        </w:rPr>
      </w:pPr>
      <w:bookmarkStart w:id="1" w:name="_Toc992"/>
      <w:r>
        <w:rPr>
          <w:rFonts w:hint="eastAsia" w:ascii="微软雅黑" w:hAnsi="微软雅黑" w:eastAsia="微软雅黑" w:cs="微软雅黑"/>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根据2025年党办通7号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2025年党办通265号</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2026年党办通33号</w:t>
      </w:r>
      <w:r>
        <w:rPr>
          <w:rFonts w:hint="eastAsia" w:ascii="宋体" w:hAnsi="宋体" w:eastAsia="宋体" w:cs="宋体"/>
          <w:color w:val="000000" w:themeColor="text1"/>
          <w:kern w:val="0"/>
          <w:sz w:val="24"/>
          <w:highlight w:val="none"/>
          <w:lang w:val="en-US" w:eastAsia="zh-CN"/>
          <w14:textFill>
            <w14:solidFill>
              <w14:schemeClr w14:val="tx1"/>
            </w14:solidFill>
          </w14:textFill>
        </w:rPr>
        <w:t>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对新准入和协议到期的项目采购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173B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48E1E252">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636F2EBF">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4D7924FB">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1D966A4C">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★同类耗材不得超过在库价</w:t>
            </w:r>
            <w:r>
              <w:rPr>
                <w:rFonts w:hint="eastAsia" w:asciiTheme="majorEastAsia" w:hAnsiTheme="majorEastAsia" w:eastAsiaTheme="majorEastAsia" w:cstheme="majorEastAsia"/>
                <w:b/>
                <w:bCs/>
                <w:kern w:val="0"/>
                <w:sz w:val="20"/>
                <w:szCs w:val="20"/>
                <w:lang w:eastAsia="zh-CN"/>
              </w:rPr>
              <w:t>）</w:t>
            </w:r>
          </w:p>
        </w:tc>
        <w:tc>
          <w:tcPr>
            <w:tcW w:w="3810" w:type="dxa"/>
            <w:vAlign w:val="center"/>
          </w:tcPr>
          <w:p w14:paraId="3B3A753F">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3DDA713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6515C6DC">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0ADEFCCD">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79BE0248">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6A6C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1E4F8A9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063C988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6</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169</w:t>
            </w:r>
          </w:p>
        </w:tc>
        <w:tc>
          <w:tcPr>
            <w:tcW w:w="1155" w:type="dxa"/>
            <w:shd w:val="clear" w:color="auto" w:fill="auto"/>
            <w:vAlign w:val="center"/>
          </w:tcPr>
          <w:p w14:paraId="559B8DC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一次性使用单采血液成份分离器</w:t>
            </w:r>
          </w:p>
        </w:tc>
        <w:tc>
          <w:tcPr>
            <w:tcW w:w="1440" w:type="dxa"/>
            <w:shd w:val="clear" w:color="auto" w:fill="auto"/>
            <w:vAlign w:val="center"/>
          </w:tcPr>
          <w:p w14:paraId="02B7366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1500</w:t>
            </w:r>
          </w:p>
        </w:tc>
        <w:tc>
          <w:tcPr>
            <w:tcW w:w="3810" w:type="dxa"/>
            <w:shd w:val="clear" w:color="auto" w:fill="auto"/>
            <w:vAlign w:val="center"/>
          </w:tcPr>
          <w:p w14:paraId="21CB401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1D8493B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w:t>
            </w:r>
          </w:p>
          <w:p w14:paraId="3B1C370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w:t>
            </w:r>
          </w:p>
          <w:p w14:paraId="07A7F6B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w:t>
            </w:r>
          </w:p>
          <w:p w14:paraId="6DDD2C7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4.工作尺寸要求（填范围-长度、直径...）</w:t>
            </w:r>
          </w:p>
          <w:p w14:paraId="04D2614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5.是否需要配套设备：具体设备名称</w:t>
            </w:r>
          </w:p>
          <w:p w14:paraId="5EDDB68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6.效期要求</w:t>
            </w:r>
          </w:p>
          <w:p w14:paraId="71CB498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7.消毒灭菌要求等...</w:t>
            </w:r>
          </w:p>
        </w:tc>
        <w:tc>
          <w:tcPr>
            <w:tcW w:w="930" w:type="dxa"/>
            <w:shd w:val="clear" w:color="auto" w:fill="auto"/>
            <w:vAlign w:val="center"/>
          </w:tcPr>
          <w:p w14:paraId="556E555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25" w:type="dxa"/>
            <w:shd w:val="clear" w:color="auto" w:fill="auto"/>
            <w:vAlign w:val="center"/>
          </w:tcPr>
          <w:p w14:paraId="171B288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42FF0C9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输血科</w:t>
            </w:r>
          </w:p>
        </w:tc>
        <w:tc>
          <w:tcPr>
            <w:tcW w:w="714" w:type="dxa"/>
            <w:shd w:val="clear" w:color="auto" w:fill="auto"/>
            <w:vAlign w:val="center"/>
          </w:tcPr>
          <w:p w14:paraId="2F0A013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p>
        </w:tc>
      </w:tr>
      <w:tr w14:paraId="4839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3188272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0" w:type="auto"/>
            <w:shd w:val="clear" w:color="auto" w:fill="auto"/>
            <w:vAlign w:val="center"/>
          </w:tcPr>
          <w:p w14:paraId="5580DB7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6</w:t>
            </w:r>
            <w:r>
              <w:rPr>
                <w:rFonts w:hint="eastAsia" w:asciiTheme="minorHAnsi" w:hAnsiTheme="minorHAnsi" w:eastAsiaTheme="minorEastAsia" w:cstheme="minorBidi"/>
                <w:color w:val="000000"/>
                <w:kern w:val="2"/>
                <w:sz w:val="22"/>
                <w:szCs w:val="22"/>
                <w:lang w:val="en-US" w:eastAsia="zh-CN" w:bidi="ar-SA"/>
              </w:rPr>
              <w:t>-</w:t>
            </w:r>
            <w:r>
              <w:rPr>
                <w:rFonts w:hint="eastAsia" w:asciiTheme="minorHAnsi" w:hAnsiTheme="minorHAnsi" w:cstheme="minorBidi"/>
                <w:color w:val="000000"/>
                <w:kern w:val="2"/>
                <w:sz w:val="22"/>
                <w:szCs w:val="22"/>
                <w:lang w:val="en-US" w:eastAsia="zh-CN" w:bidi="ar-SA"/>
              </w:rPr>
              <w:t>170</w:t>
            </w:r>
          </w:p>
        </w:tc>
        <w:tc>
          <w:tcPr>
            <w:tcW w:w="1155" w:type="dxa"/>
            <w:shd w:val="clear" w:color="auto" w:fill="auto"/>
            <w:vAlign w:val="center"/>
          </w:tcPr>
          <w:p w14:paraId="66C129A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桡骨小头关节系统</w:t>
            </w:r>
          </w:p>
        </w:tc>
        <w:tc>
          <w:tcPr>
            <w:tcW w:w="1440" w:type="dxa"/>
            <w:shd w:val="clear" w:color="auto" w:fill="auto"/>
            <w:vAlign w:val="center"/>
          </w:tcPr>
          <w:p w14:paraId="7FECFF9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30000</w:t>
            </w:r>
          </w:p>
        </w:tc>
        <w:tc>
          <w:tcPr>
            <w:tcW w:w="3810" w:type="dxa"/>
            <w:shd w:val="clear" w:color="auto" w:fill="auto"/>
            <w:vAlign w:val="center"/>
          </w:tcPr>
          <w:p w14:paraId="3670A4A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主要技术和参数要求:</w:t>
            </w:r>
          </w:p>
          <w:p w14:paraId="66EFEC0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1.使用范围:用于桡骨头置换。</w:t>
            </w:r>
          </w:p>
          <w:p w14:paraId="6FBB8FC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2.主要部件:产品由桡骨头和桡骨柄组成</w:t>
            </w:r>
          </w:p>
          <w:p w14:paraId="476418C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3:.材质要求：符合YY 0605.12规定的锻造合金材料制成</w:t>
            </w:r>
          </w:p>
          <w:p w14:paraId="20ED70FB">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4.工作尺寸要求（桡骨头直径18mm-28mm   桡骨柄直径4.5mm-9.5mm）</w:t>
            </w:r>
          </w:p>
          <w:p w14:paraId="2C6C7BF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5.效期要求：5年以上</w:t>
            </w:r>
          </w:p>
          <w:p w14:paraId="26CBD3C0">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6.消毒灭菌要求：辐照灭菌</w:t>
            </w:r>
          </w:p>
        </w:tc>
        <w:tc>
          <w:tcPr>
            <w:tcW w:w="930" w:type="dxa"/>
            <w:shd w:val="clear" w:color="auto" w:fill="auto"/>
            <w:vAlign w:val="center"/>
          </w:tcPr>
          <w:p w14:paraId="12E3FC2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国产</w:t>
            </w:r>
          </w:p>
        </w:tc>
        <w:tc>
          <w:tcPr>
            <w:tcW w:w="1125" w:type="dxa"/>
            <w:shd w:val="clear" w:color="auto" w:fill="auto"/>
            <w:vAlign w:val="center"/>
          </w:tcPr>
          <w:p w14:paraId="679ADBD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103676D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创伤骨科</w:t>
            </w:r>
          </w:p>
        </w:tc>
        <w:tc>
          <w:tcPr>
            <w:tcW w:w="0" w:type="auto"/>
            <w:shd w:val="clear" w:color="auto" w:fill="auto"/>
            <w:vAlign w:val="center"/>
          </w:tcPr>
          <w:p w14:paraId="7D08D72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p>
        </w:tc>
      </w:tr>
      <w:tr w14:paraId="18E9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09506466">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3</w:t>
            </w:r>
          </w:p>
        </w:tc>
        <w:tc>
          <w:tcPr>
            <w:tcW w:w="0" w:type="auto"/>
            <w:shd w:val="clear" w:color="auto" w:fill="auto"/>
            <w:vAlign w:val="center"/>
          </w:tcPr>
          <w:p w14:paraId="40335071">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165</w:t>
            </w:r>
          </w:p>
        </w:tc>
        <w:tc>
          <w:tcPr>
            <w:tcW w:w="1155" w:type="dxa"/>
            <w:shd w:val="clear" w:color="auto" w:fill="auto"/>
            <w:vAlign w:val="center"/>
          </w:tcPr>
          <w:p w14:paraId="6682DDDF">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一次性息肉勒除器</w:t>
            </w:r>
          </w:p>
        </w:tc>
        <w:tc>
          <w:tcPr>
            <w:tcW w:w="1440" w:type="dxa"/>
            <w:shd w:val="clear" w:color="auto" w:fill="auto"/>
            <w:vAlign w:val="center"/>
          </w:tcPr>
          <w:p w14:paraId="567B0DD1">
            <w:pPr>
              <w:widowControl/>
              <w:jc w:val="center"/>
              <w:textAlignment w:val="center"/>
              <w:rPr>
                <w:rFonts w:hint="eastAsia" w:ascii="Times New Roman" w:hAnsi="Times New Roman" w:eastAsia="宋体" w:cs="Times New Roman"/>
                <w:b w:val="0"/>
                <w:bCs w:val="0"/>
                <w:color w:val="000000"/>
                <w:kern w:val="2"/>
                <w:sz w:val="22"/>
                <w:szCs w:val="24"/>
                <w:lang w:val="en-US" w:eastAsia="zh-CN" w:bidi="ar-SA"/>
              </w:rPr>
            </w:pPr>
            <w:r>
              <w:rPr>
                <w:rFonts w:hint="eastAsia" w:eastAsia="宋体"/>
                <w:b w:val="0"/>
                <w:bCs w:val="0"/>
                <w:color w:val="000000"/>
                <w:sz w:val="22"/>
                <w:lang w:eastAsia="zh-CN"/>
              </w:rPr>
              <w:t>314.5</w:t>
            </w:r>
          </w:p>
        </w:tc>
        <w:tc>
          <w:tcPr>
            <w:tcW w:w="3810" w:type="dxa"/>
            <w:shd w:val="clear" w:color="auto" w:fill="auto"/>
            <w:vAlign w:val="center"/>
          </w:tcPr>
          <w:p w14:paraId="0823D861">
            <w:pPr>
              <w:widowControl/>
              <w:jc w:val="left"/>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用于消化道内小型息肉、无蒂息肉、有蒂息肉的切除和烧灼。</w:t>
            </w:r>
          </w:p>
        </w:tc>
        <w:tc>
          <w:tcPr>
            <w:tcW w:w="930" w:type="dxa"/>
            <w:shd w:val="clear" w:color="auto" w:fill="auto"/>
            <w:vAlign w:val="center"/>
          </w:tcPr>
          <w:p w14:paraId="591CC442">
            <w:pPr>
              <w:widowControl/>
              <w:jc w:val="center"/>
              <w:textAlignment w:val="center"/>
              <w:rPr>
                <w:rFonts w:hint="eastAsia" w:ascii="Times New Roman" w:hAnsi="Times New Roman" w:eastAsia="宋体" w:cs="Times New Roman"/>
                <w:b w:val="0"/>
                <w:bCs w:val="0"/>
                <w:color w:val="000000"/>
                <w:kern w:val="2"/>
                <w:sz w:val="22"/>
                <w:szCs w:val="24"/>
                <w:lang w:val="en-US" w:eastAsia="zh-CN" w:bidi="ar-SA"/>
              </w:rPr>
            </w:pPr>
            <w:r>
              <w:rPr>
                <w:rFonts w:hint="eastAsia" w:ascii="宋体" w:hAnsi="宋体" w:eastAsia="宋体" w:cs="宋体"/>
                <w:b w:val="0"/>
                <w:bCs w:val="0"/>
                <w:color w:val="000000"/>
                <w:kern w:val="0"/>
                <w:sz w:val="22"/>
                <w:szCs w:val="22"/>
              </w:rPr>
              <w:t>允许进口</w:t>
            </w:r>
          </w:p>
        </w:tc>
        <w:tc>
          <w:tcPr>
            <w:tcW w:w="1125" w:type="dxa"/>
            <w:shd w:val="clear" w:color="auto" w:fill="auto"/>
            <w:vAlign w:val="center"/>
          </w:tcPr>
          <w:p w14:paraId="41DA5A5B">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c>
          <w:tcPr>
            <w:tcW w:w="786" w:type="dxa"/>
            <w:shd w:val="clear" w:color="auto" w:fill="auto"/>
            <w:vAlign w:val="center"/>
          </w:tcPr>
          <w:p w14:paraId="3565FD9D">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消化内镜中心</w:t>
            </w:r>
          </w:p>
        </w:tc>
        <w:tc>
          <w:tcPr>
            <w:tcW w:w="0" w:type="auto"/>
            <w:shd w:val="clear" w:color="auto" w:fill="auto"/>
            <w:vAlign w:val="center"/>
          </w:tcPr>
          <w:p w14:paraId="16EED1E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w:t>
            </w:r>
          </w:p>
        </w:tc>
      </w:tr>
      <w:tr w14:paraId="2F54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683B94E4">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4</w:t>
            </w:r>
          </w:p>
        </w:tc>
        <w:tc>
          <w:tcPr>
            <w:tcW w:w="0" w:type="auto"/>
            <w:shd w:val="clear" w:color="auto" w:fill="auto"/>
            <w:vAlign w:val="center"/>
          </w:tcPr>
          <w:p w14:paraId="5627CD3D">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166</w:t>
            </w:r>
          </w:p>
        </w:tc>
        <w:tc>
          <w:tcPr>
            <w:tcW w:w="1155" w:type="dxa"/>
            <w:shd w:val="clear" w:color="auto" w:fill="auto"/>
            <w:vAlign w:val="center"/>
          </w:tcPr>
          <w:p w14:paraId="2FD000E2">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多参数血小板功能分析仪</w:t>
            </w:r>
          </w:p>
        </w:tc>
        <w:tc>
          <w:tcPr>
            <w:tcW w:w="1440" w:type="dxa"/>
            <w:shd w:val="clear" w:color="auto" w:fill="auto"/>
            <w:vAlign w:val="center"/>
          </w:tcPr>
          <w:p w14:paraId="4AA7C9CF">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0.2</w:t>
            </w:r>
          </w:p>
        </w:tc>
        <w:tc>
          <w:tcPr>
            <w:tcW w:w="3810" w:type="dxa"/>
            <w:shd w:val="clear" w:color="auto" w:fill="auto"/>
            <w:vAlign w:val="center"/>
          </w:tcPr>
          <w:p w14:paraId="7C28298A">
            <w:pPr>
              <w:widowControl/>
              <w:jc w:val="left"/>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可测血小板聚集率、粘附率等参数，样本量≤0.1ml，检测时间≤5分钟，结果重复性CV≤10%</w:t>
            </w:r>
          </w:p>
        </w:tc>
        <w:tc>
          <w:tcPr>
            <w:tcW w:w="930" w:type="dxa"/>
            <w:shd w:val="clear" w:color="auto" w:fill="auto"/>
            <w:vAlign w:val="center"/>
          </w:tcPr>
          <w:p w14:paraId="77C335C8">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国产</w:t>
            </w:r>
          </w:p>
        </w:tc>
        <w:tc>
          <w:tcPr>
            <w:tcW w:w="1125" w:type="dxa"/>
            <w:shd w:val="clear" w:color="auto" w:fill="auto"/>
            <w:vAlign w:val="center"/>
          </w:tcPr>
          <w:p w14:paraId="48FEDF9C">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否</w:t>
            </w:r>
          </w:p>
        </w:tc>
        <w:tc>
          <w:tcPr>
            <w:tcW w:w="786" w:type="dxa"/>
            <w:shd w:val="clear" w:color="auto" w:fill="auto"/>
            <w:vAlign w:val="center"/>
          </w:tcPr>
          <w:p w14:paraId="47660334">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输血科</w:t>
            </w:r>
          </w:p>
        </w:tc>
        <w:tc>
          <w:tcPr>
            <w:tcW w:w="0" w:type="auto"/>
            <w:shd w:val="clear" w:color="auto" w:fill="auto"/>
            <w:vAlign w:val="center"/>
          </w:tcPr>
          <w:p w14:paraId="302FEA7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协议到期</w:t>
            </w:r>
          </w:p>
        </w:tc>
      </w:tr>
      <w:tr w14:paraId="2F59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0" w:type="auto"/>
            <w:shd w:val="clear" w:color="auto" w:fill="auto"/>
            <w:vAlign w:val="center"/>
          </w:tcPr>
          <w:p w14:paraId="56AF660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0" w:type="auto"/>
            <w:shd w:val="clear" w:color="auto" w:fill="auto"/>
            <w:vAlign w:val="center"/>
          </w:tcPr>
          <w:p w14:paraId="021BF09F">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ZCB2026-HC</w:t>
            </w:r>
            <w:r>
              <w:rPr>
                <w:rFonts w:hint="eastAsia" w:eastAsia="宋体"/>
                <w:color w:val="000000"/>
                <w:sz w:val="22"/>
                <w:lang w:val="en-US" w:eastAsia="zh-CN"/>
              </w:rPr>
              <w:t>26</w:t>
            </w:r>
            <w:r>
              <w:rPr>
                <w:rFonts w:hint="default" w:eastAsia="宋体"/>
                <w:color w:val="000000"/>
                <w:sz w:val="22"/>
                <w:lang w:val="en-US" w:eastAsia="zh-CN"/>
              </w:rPr>
              <w:t>-</w:t>
            </w:r>
            <w:r>
              <w:rPr>
                <w:rFonts w:hint="eastAsia" w:eastAsia="宋体"/>
                <w:color w:val="000000"/>
                <w:sz w:val="22"/>
                <w:lang w:val="en-US" w:eastAsia="zh-CN"/>
              </w:rPr>
              <w:t>171</w:t>
            </w:r>
          </w:p>
        </w:tc>
        <w:tc>
          <w:tcPr>
            <w:tcW w:w="1155" w:type="dxa"/>
            <w:shd w:val="clear" w:color="auto" w:fill="auto"/>
            <w:vAlign w:val="center"/>
          </w:tcPr>
          <w:p w14:paraId="6B993E1C">
            <w:pPr>
              <w:widowControl/>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eastAsia="zh-CN"/>
              </w:rPr>
              <w:t>骨科外固定夹板</w:t>
            </w:r>
          </w:p>
        </w:tc>
        <w:tc>
          <w:tcPr>
            <w:tcW w:w="1440" w:type="dxa"/>
            <w:shd w:val="clear" w:color="auto" w:fill="auto"/>
            <w:vAlign w:val="center"/>
          </w:tcPr>
          <w:p w14:paraId="21452C0A">
            <w:pPr>
              <w:widowControl/>
              <w:jc w:val="center"/>
              <w:textAlignment w:val="center"/>
              <w:rPr>
                <w:rFonts w:hint="default" w:eastAsia="宋体"/>
                <w:color w:val="000000"/>
                <w:sz w:val="22"/>
                <w:lang w:val="en-US" w:eastAsia="zh-CN"/>
              </w:rPr>
            </w:pPr>
            <w:r>
              <w:rPr>
                <w:rFonts w:hint="eastAsia" w:eastAsia="宋体"/>
                <w:color w:val="000000"/>
                <w:sz w:val="22"/>
                <w:lang w:val="en-US" w:eastAsia="zh-CN"/>
              </w:rPr>
              <w:t>3160</w:t>
            </w:r>
          </w:p>
        </w:tc>
        <w:tc>
          <w:tcPr>
            <w:tcW w:w="3810" w:type="dxa"/>
            <w:shd w:val="clear" w:color="auto" w:fill="auto"/>
            <w:vAlign w:val="center"/>
          </w:tcPr>
          <w:p w14:paraId="25285669">
            <w:pPr>
              <w:widowControl/>
              <w:jc w:val="left"/>
              <w:textAlignment w:val="center"/>
              <w:rPr>
                <w:rFonts w:hint="eastAsia" w:eastAsia="宋体"/>
                <w:color w:val="000000"/>
                <w:sz w:val="22"/>
                <w:lang w:eastAsia="zh-CN"/>
              </w:rPr>
            </w:pPr>
            <w:r>
              <w:rPr>
                <w:rFonts w:hint="eastAsia" w:eastAsia="宋体"/>
                <w:color w:val="000000"/>
                <w:sz w:val="22"/>
                <w:lang w:eastAsia="zh-CN"/>
              </w:rPr>
              <w:t>主要技术和参数要求:</w:t>
            </w:r>
          </w:p>
          <w:p w14:paraId="513B345D">
            <w:pPr>
              <w:widowControl/>
              <w:jc w:val="left"/>
              <w:textAlignment w:val="center"/>
              <w:rPr>
                <w:rFonts w:hint="eastAsia" w:eastAsia="宋体"/>
                <w:color w:val="000000"/>
                <w:sz w:val="22"/>
                <w:lang w:eastAsia="zh-CN"/>
              </w:rPr>
            </w:pPr>
            <w:r>
              <w:rPr>
                <w:rFonts w:hint="eastAsia" w:eastAsia="宋体"/>
                <w:color w:val="000000"/>
                <w:sz w:val="22"/>
                <w:lang w:eastAsia="zh-CN"/>
              </w:rPr>
              <w:t>1、主要用以四肢骨折外固定、能透X线。</w:t>
            </w:r>
          </w:p>
          <w:p w14:paraId="7856C154">
            <w:pPr>
              <w:widowControl/>
              <w:jc w:val="left"/>
              <w:textAlignment w:val="center"/>
              <w:rPr>
                <w:rFonts w:hint="eastAsia" w:eastAsia="宋体"/>
                <w:color w:val="000000"/>
                <w:sz w:val="22"/>
                <w:lang w:eastAsia="zh-CN"/>
              </w:rPr>
            </w:pPr>
            <w:r>
              <w:rPr>
                <w:rFonts w:hint="eastAsia" w:eastAsia="宋体"/>
                <w:color w:val="000000"/>
                <w:sz w:val="22"/>
                <w:lang w:eastAsia="zh-CN"/>
              </w:rPr>
              <w:t>2、提供产品生物相融性报告，无致敏等风险</w:t>
            </w:r>
          </w:p>
          <w:p w14:paraId="1BBBFDB2">
            <w:pPr>
              <w:widowControl/>
              <w:jc w:val="left"/>
              <w:textAlignment w:val="center"/>
              <w:rPr>
                <w:rFonts w:hint="eastAsia" w:eastAsia="宋体"/>
                <w:color w:val="000000"/>
                <w:sz w:val="22"/>
                <w:lang w:eastAsia="zh-CN"/>
              </w:rPr>
            </w:pPr>
            <w:r>
              <w:rPr>
                <w:rFonts w:hint="eastAsia" w:eastAsia="宋体"/>
                <w:color w:val="000000"/>
                <w:sz w:val="22"/>
                <w:lang w:eastAsia="zh-CN"/>
              </w:rPr>
              <w:t>3、定型强度，不低于50D（邵氏硬度）</w:t>
            </w:r>
          </w:p>
          <w:p w14:paraId="7FE031DF">
            <w:pPr>
              <w:widowControl/>
              <w:jc w:val="left"/>
              <w:textAlignment w:val="center"/>
              <w:rPr>
                <w:rFonts w:hint="eastAsia" w:eastAsia="宋体"/>
                <w:color w:val="000000"/>
                <w:sz w:val="22"/>
                <w:lang w:eastAsia="zh-CN"/>
              </w:rPr>
            </w:pPr>
            <w:r>
              <w:rPr>
                <w:rFonts w:hint="eastAsia" w:eastAsia="宋体"/>
                <w:color w:val="000000"/>
                <w:sz w:val="22"/>
                <w:lang w:eastAsia="zh-CN"/>
              </w:rPr>
              <w:t>4、夹板的弯曲强度，不低于35MPa</w:t>
            </w:r>
          </w:p>
          <w:p w14:paraId="14285A11">
            <w:pPr>
              <w:widowControl/>
              <w:jc w:val="left"/>
              <w:textAlignment w:val="center"/>
              <w:rPr>
                <w:rFonts w:hint="eastAsia" w:eastAsia="宋体"/>
                <w:color w:val="000000"/>
                <w:sz w:val="22"/>
                <w:lang w:eastAsia="zh-CN"/>
              </w:rPr>
            </w:pPr>
            <w:r>
              <w:rPr>
                <w:rFonts w:hint="eastAsia" w:eastAsia="宋体"/>
                <w:color w:val="000000"/>
                <w:sz w:val="22"/>
                <w:lang w:eastAsia="zh-CN"/>
              </w:rPr>
              <w:t>5、可重复塑形固定</w:t>
            </w:r>
          </w:p>
        </w:tc>
        <w:tc>
          <w:tcPr>
            <w:tcW w:w="930" w:type="dxa"/>
            <w:shd w:val="clear" w:color="auto" w:fill="auto"/>
            <w:vAlign w:val="center"/>
          </w:tcPr>
          <w:p w14:paraId="49AEB329">
            <w:pPr>
              <w:widowControl/>
              <w:jc w:val="center"/>
              <w:textAlignment w:val="center"/>
              <w:rPr>
                <w:rFonts w:hint="eastAsia" w:eastAsia="宋体"/>
                <w:color w:val="000000"/>
                <w:sz w:val="22"/>
                <w:lang w:val="en-US" w:eastAsia="zh-CN"/>
              </w:rPr>
            </w:pPr>
            <w:r>
              <w:rPr>
                <w:rFonts w:hint="eastAsia" w:eastAsia="宋体"/>
                <w:color w:val="000000"/>
                <w:sz w:val="22"/>
                <w:lang w:val="en-US" w:eastAsia="zh-CN"/>
              </w:rPr>
              <w:t>国产</w:t>
            </w:r>
          </w:p>
        </w:tc>
        <w:tc>
          <w:tcPr>
            <w:tcW w:w="1125" w:type="dxa"/>
            <w:shd w:val="clear" w:color="auto" w:fill="auto"/>
            <w:vAlign w:val="center"/>
          </w:tcPr>
          <w:p w14:paraId="623453FF">
            <w:pPr>
              <w:widowControl/>
              <w:jc w:val="center"/>
              <w:textAlignment w:val="center"/>
              <w:rPr>
                <w:rFonts w:hint="eastAsia" w:eastAsia="宋体"/>
                <w:color w:val="000000"/>
                <w:sz w:val="22"/>
                <w:lang w:val="en-US" w:eastAsia="zh-CN"/>
              </w:rPr>
            </w:pPr>
            <w:r>
              <w:rPr>
                <w:rFonts w:hint="default" w:asciiTheme="minorHAnsi" w:hAnsiTheme="minorHAnsi" w:eastAsiaTheme="minorEastAsia" w:cstheme="minorBidi"/>
                <w:color w:val="000000"/>
                <w:kern w:val="2"/>
                <w:sz w:val="22"/>
                <w:szCs w:val="22"/>
                <w:lang w:val="en-US" w:eastAsia="zh-CN" w:bidi="ar-SA"/>
              </w:rPr>
              <w:t>是</w:t>
            </w:r>
          </w:p>
        </w:tc>
        <w:tc>
          <w:tcPr>
            <w:tcW w:w="786" w:type="dxa"/>
            <w:shd w:val="clear" w:color="auto" w:fill="auto"/>
            <w:vAlign w:val="center"/>
          </w:tcPr>
          <w:p w14:paraId="6DD8D7EB">
            <w:pPr>
              <w:widowControl/>
              <w:jc w:val="center"/>
              <w:textAlignment w:val="center"/>
              <w:rPr>
                <w:rFonts w:hint="eastAsia" w:eastAsia="宋体"/>
                <w:color w:val="000000"/>
                <w:sz w:val="22"/>
                <w:lang w:val="en-US" w:eastAsia="zh-CN"/>
              </w:rPr>
            </w:pPr>
            <w:r>
              <w:rPr>
                <w:rFonts w:hint="eastAsia" w:eastAsia="宋体"/>
                <w:color w:val="000000"/>
                <w:sz w:val="22"/>
                <w:lang w:val="en-US" w:eastAsia="zh-CN"/>
              </w:rPr>
              <w:t>创伤骨科</w:t>
            </w:r>
          </w:p>
        </w:tc>
        <w:tc>
          <w:tcPr>
            <w:tcW w:w="0" w:type="auto"/>
            <w:shd w:val="clear" w:color="auto" w:fill="auto"/>
            <w:vAlign w:val="center"/>
          </w:tcPr>
          <w:p w14:paraId="4AC1F78E">
            <w:pPr>
              <w:widowControl/>
              <w:jc w:val="center"/>
              <w:textAlignment w:val="center"/>
              <w:rPr>
                <w:rFonts w:hint="default" w:asciiTheme="minorHAnsi" w:hAnsiTheme="minorHAnsi"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新准入</w:t>
            </w:r>
          </w:p>
        </w:tc>
      </w:tr>
    </w:tbl>
    <w:p w14:paraId="564B8B84">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32335"/>
      <w:bookmarkStart w:id="12" w:name="_Toc15209"/>
      <w:bookmarkStart w:id="13" w:name="_Toc57128621"/>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w:t>
      </w:r>
    </w:p>
    <w:p w14:paraId="040A9ED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说明：投标人必须严格按照《符合性审查表》的评审内容的要求如实提供证明材料并应</w:t>
      </w:r>
    </w:p>
    <w:p w14:paraId="24EDA293">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微软雅黑" w:hAnsi="微软雅黑" w:eastAsia="微软雅黑" w:cs="微软雅黑"/>
          <w:bCs/>
          <w:color w:val="000000" w:themeColor="text1"/>
          <w:sz w:val="32"/>
          <w:szCs w:val="32"/>
          <w14:textFill>
            <w14:solidFill>
              <w14:schemeClr w14:val="tx1"/>
            </w14:solidFill>
          </w14:textFill>
        </w:rPr>
        <w:tab/>
      </w:r>
      <w:r>
        <w:rPr>
          <w:rFonts w:hint="eastAsia" w:ascii="微软雅黑" w:hAnsi="微软雅黑" w:eastAsia="微软雅黑" w:cs="微软雅黑"/>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微软雅黑" w:hAnsi="微软雅黑" w:eastAsia="微软雅黑" w:cs="微软雅黑"/>
          <w:kern w:val="0"/>
          <w:sz w:val="44"/>
          <w:szCs w:val="36"/>
        </w:rPr>
      </w:pPr>
      <w:bookmarkStart w:id="23" w:name="_Toc9217"/>
      <w:bookmarkStart w:id="24" w:name="_Hlk72439043"/>
      <w:r>
        <w:rPr>
          <w:rFonts w:hint="eastAsia" w:ascii="微软雅黑" w:hAnsi="微软雅黑" w:eastAsia="微软雅黑" w:cs="微软雅黑"/>
          <w:kern w:val="0"/>
          <w:sz w:val="44"/>
          <w:szCs w:val="36"/>
        </w:rPr>
        <w:t xml:space="preserve">第四章 </w:t>
      </w:r>
      <w:bookmarkStart w:id="25" w:name="_Hlk135152312"/>
      <w:r>
        <w:rPr>
          <w:rFonts w:hint="eastAsia" w:ascii="微软雅黑" w:hAnsi="微软雅黑" w:eastAsia="微软雅黑" w:cs="微软雅黑"/>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微软雅黑" w:hAnsi="微软雅黑" w:eastAsia="微软雅黑" w:cs="微软雅黑"/>
          <w:kern w:val="0"/>
          <w:sz w:val="44"/>
          <w:szCs w:val="36"/>
        </w:rPr>
      </w:pPr>
    </w:p>
    <w:p w14:paraId="7AD03682">
      <w:pPr>
        <w:pStyle w:val="2"/>
        <w:ind w:firstLine="0" w:firstLineChars="0"/>
        <w:rPr>
          <w:rFonts w:ascii="微软雅黑" w:hAnsi="微软雅黑" w:eastAsia="微软雅黑" w:cs="微软雅黑"/>
          <w:sz w:val="44"/>
          <w:szCs w:val="36"/>
        </w:rPr>
      </w:pPr>
    </w:p>
    <w:bookmarkEnd w:id="24"/>
    <w:p w14:paraId="14AE8EBE">
      <w:pPr>
        <w:numPr>
          <w:ilvl w:val="0"/>
          <w:numId w:val="14"/>
        </w:numPr>
        <w:jc w:val="center"/>
        <w:outlineLvl w:val="0"/>
        <w:rPr>
          <w:rFonts w:ascii="微软雅黑" w:hAnsi="微软雅黑" w:eastAsia="微软雅黑" w:cs="微软雅黑"/>
          <w:kern w:val="0"/>
          <w:sz w:val="44"/>
          <w:szCs w:val="36"/>
        </w:rPr>
      </w:pPr>
      <w:bookmarkStart w:id="39" w:name="_Toc3265"/>
      <w:r>
        <w:rPr>
          <w:rFonts w:hint="eastAsia" w:ascii="微软雅黑" w:hAnsi="微软雅黑" w:eastAsia="微软雅黑" w:cs="微软雅黑"/>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586"/>
      <w:bookmarkStart w:id="41" w:name="_Toc73517679"/>
      <w:bookmarkStart w:id="42" w:name="_Toc73518157"/>
      <w:bookmarkStart w:id="43" w:name="_Toc17773"/>
      <w:bookmarkStart w:id="44" w:name="_Toc100052408"/>
      <w:bookmarkStart w:id="45" w:name="_Toc73521674"/>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21587"/>
      <w:bookmarkStart w:id="47" w:name="_Toc73521675"/>
      <w:bookmarkStart w:id="48" w:name="_Toc73517680"/>
      <w:bookmarkStart w:id="49" w:name="_Toc73518158"/>
      <w:bookmarkStart w:id="50" w:name="_Toc100052409"/>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28536"/>
      <w:bookmarkStart w:id="54" w:name="_Toc73521589"/>
      <w:bookmarkStart w:id="55" w:name="_Toc73517682"/>
      <w:bookmarkStart w:id="56" w:name="_Toc100052410"/>
      <w:bookmarkStart w:id="57" w:name="_Toc7351816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微软雅黑"/>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微软雅黑" w:hAnsi="微软雅黑" w:eastAsia="微软雅黑" w:cs="微软雅黑"/>
          <w:bCs/>
          <w:sz w:val="32"/>
          <w:szCs w:val="32"/>
        </w:rPr>
      </w:pPr>
      <w:r>
        <w:rPr>
          <w:rFonts w:hint="eastAsia" w:ascii="微软雅黑" w:hAnsi="微软雅黑" w:eastAsia="微软雅黑" w:cs="微软雅黑"/>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微软雅黑" w:hAnsi="微软雅黑" w:eastAsia="微软雅黑" w:cs="微软雅黑"/>
          <w:bCs/>
          <w:color w:val="000000"/>
          <w:sz w:val="28"/>
          <w:szCs w:val="28"/>
        </w:rPr>
      </w:pPr>
      <w:bookmarkStart w:id="65" w:name="_Toc13212"/>
      <w:r>
        <w:rPr>
          <w:rFonts w:hint="eastAsia" w:ascii="微软雅黑" w:hAnsi="微软雅黑" w:eastAsia="微软雅黑" w:cs="微软雅黑"/>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微软雅黑" w:hAnsi="微软雅黑" w:eastAsia="微软雅黑" w:cs="微软雅黑"/>
          <w:bCs/>
          <w:color w:val="000000"/>
          <w:sz w:val="28"/>
          <w:szCs w:val="28"/>
        </w:rPr>
      </w:pPr>
      <w:bookmarkStart w:id="66" w:name="_Toc57128634"/>
      <w:bookmarkStart w:id="67" w:name="_Toc12871"/>
      <w:r>
        <w:rPr>
          <w:rFonts w:hint="eastAsia" w:ascii="微软雅黑" w:hAnsi="微软雅黑" w:eastAsia="微软雅黑" w:cs="微软雅黑"/>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微软雅黑" w:hAnsi="微软雅黑" w:eastAsia="微软雅黑" w:cs="微软雅黑"/>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微软雅黑" w:hAnsi="微软雅黑" w:eastAsia="微软雅黑" w:cs="微软雅黑"/>
          <w:bCs/>
          <w:color w:val="000000"/>
          <w:sz w:val="28"/>
          <w:szCs w:val="28"/>
        </w:rPr>
      </w:pPr>
      <w:bookmarkStart w:id="68" w:name="_Toc1550"/>
      <w:r>
        <w:rPr>
          <w:rFonts w:hint="eastAsia" w:ascii="微软雅黑" w:hAnsi="微软雅黑" w:eastAsia="微软雅黑" w:cs="微软雅黑"/>
          <w:bCs/>
          <w:color w:val="000000"/>
          <w:sz w:val="28"/>
          <w:szCs w:val="28"/>
        </w:rPr>
        <w:t>（三）</w:t>
      </w:r>
      <w:r>
        <w:rPr>
          <w:rFonts w:ascii="微软雅黑" w:hAnsi="微软雅黑" w:eastAsia="微软雅黑" w:cs="微软雅黑"/>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微软雅黑" w:hAnsi="微软雅黑" w:eastAsia="微软雅黑" w:cs="微软雅黑"/>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微软雅黑" w:hAnsi="微软雅黑" w:eastAsia="微软雅黑" w:cs="微软雅黑"/>
          <w:bCs/>
          <w:color w:val="000000"/>
          <w:sz w:val="28"/>
          <w:szCs w:val="28"/>
        </w:rPr>
      </w:pPr>
      <w:bookmarkStart w:id="71" w:name="_Toc12206"/>
      <w:r>
        <w:rPr>
          <w:rFonts w:hint="eastAsia" w:ascii="微软雅黑" w:hAnsi="微软雅黑" w:eastAsia="微软雅黑" w:cs="微软雅黑"/>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微软雅黑" w:hAnsi="微软雅黑" w:eastAsia="微软雅黑" w:cs="微软雅黑"/>
          <w:bCs/>
          <w:color w:val="000000"/>
          <w:sz w:val="28"/>
          <w:szCs w:val="28"/>
        </w:rPr>
      </w:pPr>
      <w:bookmarkStart w:id="84" w:name="_Toc16702"/>
    </w:p>
    <w:p w14:paraId="206E9EAF">
      <w:pPr>
        <w:pStyle w:val="4"/>
        <w:numPr>
          <w:ilvl w:val="255"/>
          <w:numId w:val="0"/>
        </w:numPr>
        <w:jc w:val="center"/>
        <w:rPr>
          <w:rFonts w:ascii="微软雅黑" w:hAnsi="微软雅黑" w:eastAsia="微软雅黑" w:cs="微软雅黑"/>
          <w:bCs/>
          <w:color w:val="000000"/>
          <w:sz w:val="28"/>
          <w:szCs w:val="28"/>
        </w:rPr>
      </w:pPr>
    </w:p>
    <w:p w14:paraId="6DF50164">
      <w:pPr>
        <w:pStyle w:val="4"/>
        <w:numPr>
          <w:ilvl w:val="255"/>
          <w:numId w:val="0"/>
        </w:numPr>
        <w:jc w:val="center"/>
        <w:rPr>
          <w:rFonts w:ascii="微软雅黑" w:hAnsi="微软雅黑" w:eastAsia="微软雅黑" w:cs="微软雅黑"/>
          <w:bCs/>
          <w:color w:val="000000"/>
          <w:sz w:val="28"/>
          <w:szCs w:val="28"/>
        </w:rPr>
      </w:pPr>
    </w:p>
    <w:p w14:paraId="71B7870A">
      <w:pPr>
        <w:pStyle w:val="4"/>
        <w:numPr>
          <w:ilvl w:val="255"/>
          <w:numId w:val="0"/>
        </w:numPr>
        <w:jc w:val="center"/>
        <w:rPr>
          <w:rFonts w:ascii="微软雅黑" w:hAnsi="微软雅黑" w:eastAsia="微软雅黑" w:cs="微软雅黑"/>
          <w:bCs/>
          <w:color w:val="000000"/>
          <w:sz w:val="28"/>
          <w:szCs w:val="28"/>
        </w:rPr>
      </w:pPr>
    </w:p>
    <w:p w14:paraId="58BB11DA">
      <w:pPr>
        <w:pStyle w:val="4"/>
        <w:numPr>
          <w:ilvl w:val="255"/>
          <w:numId w:val="0"/>
        </w:numPr>
        <w:jc w:val="center"/>
        <w:rPr>
          <w:rFonts w:ascii="微软雅黑" w:hAnsi="微软雅黑" w:eastAsia="微软雅黑" w:cs="微软雅黑"/>
          <w:bCs/>
          <w:color w:val="000000"/>
          <w:sz w:val="28"/>
          <w:szCs w:val="28"/>
        </w:rPr>
      </w:pPr>
    </w:p>
    <w:p w14:paraId="294A8BDB">
      <w:pPr>
        <w:pStyle w:val="4"/>
        <w:numPr>
          <w:ilvl w:val="255"/>
          <w:numId w:val="0"/>
        </w:numPr>
        <w:jc w:val="center"/>
        <w:rPr>
          <w:rFonts w:ascii="微软雅黑" w:hAnsi="微软雅黑" w:eastAsia="微软雅黑" w:cs="微软雅黑"/>
          <w:bCs/>
          <w:color w:val="000000"/>
          <w:sz w:val="28"/>
          <w:szCs w:val="28"/>
        </w:rPr>
      </w:pPr>
    </w:p>
    <w:p w14:paraId="7B6064D8">
      <w:pPr>
        <w:pStyle w:val="4"/>
        <w:numPr>
          <w:ilvl w:val="255"/>
          <w:numId w:val="0"/>
        </w:numPr>
        <w:jc w:val="center"/>
        <w:rPr>
          <w:rFonts w:ascii="微软雅黑" w:hAnsi="微软雅黑" w:eastAsia="微软雅黑" w:cs="微软雅黑"/>
          <w:bCs/>
          <w:color w:val="000000"/>
          <w:sz w:val="28"/>
          <w:szCs w:val="28"/>
        </w:rPr>
      </w:pPr>
    </w:p>
    <w:p w14:paraId="34DDF3E2">
      <w:pPr>
        <w:pStyle w:val="4"/>
        <w:numPr>
          <w:ilvl w:val="255"/>
          <w:numId w:val="0"/>
        </w:numPr>
        <w:jc w:val="center"/>
        <w:rPr>
          <w:rFonts w:ascii="微软雅黑" w:hAnsi="微软雅黑" w:eastAsia="微软雅黑" w:cs="微软雅黑"/>
          <w:bCs/>
          <w:color w:val="000000"/>
          <w:sz w:val="28"/>
          <w:szCs w:val="28"/>
        </w:rPr>
      </w:pPr>
    </w:p>
    <w:p w14:paraId="3E87BE01">
      <w:pPr>
        <w:pStyle w:val="4"/>
        <w:numPr>
          <w:ilvl w:val="255"/>
          <w:numId w:val="0"/>
        </w:numPr>
        <w:jc w:val="center"/>
        <w:rPr>
          <w:rFonts w:ascii="微软雅黑" w:hAnsi="微软雅黑" w:eastAsia="微软雅黑" w:cs="微软雅黑"/>
          <w:bCs/>
          <w:color w:val="000000"/>
          <w:sz w:val="28"/>
          <w:szCs w:val="28"/>
        </w:rPr>
      </w:pPr>
    </w:p>
    <w:p w14:paraId="38F13C68">
      <w:pPr>
        <w:pStyle w:val="4"/>
        <w:numPr>
          <w:ilvl w:val="255"/>
          <w:numId w:val="0"/>
        </w:numPr>
        <w:jc w:val="center"/>
        <w:rPr>
          <w:rFonts w:ascii="微软雅黑" w:hAnsi="微软雅黑" w:eastAsia="微软雅黑" w:cs="微软雅黑"/>
          <w:bCs/>
          <w:color w:val="000000"/>
          <w:sz w:val="28"/>
          <w:szCs w:val="28"/>
        </w:rPr>
      </w:pPr>
    </w:p>
    <w:p w14:paraId="45C4BC4A">
      <w:pPr>
        <w:pStyle w:val="4"/>
        <w:numPr>
          <w:ilvl w:val="255"/>
          <w:numId w:val="0"/>
        </w:numPr>
        <w:jc w:val="center"/>
        <w:rPr>
          <w:rFonts w:ascii="微软雅黑" w:hAnsi="微软雅黑" w:eastAsia="微软雅黑" w:cs="微软雅黑"/>
          <w:bCs/>
          <w:color w:val="000000"/>
          <w:sz w:val="28"/>
          <w:szCs w:val="28"/>
        </w:rPr>
      </w:pPr>
    </w:p>
    <w:p w14:paraId="60E7B532">
      <w:pPr>
        <w:pStyle w:val="4"/>
        <w:numPr>
          <w:ilvl w:val="255"/>
          <w:numId w:val="0"/>
        </w:numPr>
        <w:jc w:val="center"/>
        <w:rPr>
          <w:rFonts w:ascii="微软雅黑" w:hAnsi="微软雅黑" w:eastAsia="微软雅黑" w:cs="微软雅黑"/>
          <w:bCs/>
          <w:color w:val="000000"/>
          <w:sz w:val="28"/>
          <w:szCs w:val="28"/>
        </w:rPr>
      </w:pPr>
    </w:p>
    <w:p w14:paraId="0E1C9ADA">
      <w:pPr>
        <w:pStyle w:val="4"/>
        <w:numPr>
          <w:ilvl w:val="255"/>
          <w:numId w:val="0"/>
        </w:numPr>
        <w:jc w:val="center"/>
        <w:rPr>
          <w:rFonts w:ascii="微软雅黑" w:hAnsi="微软雅黑" w:eastAsia="微软雅黑" w:cs="微软雅黑"/>
          <w:bCs/>
          <w:color w:val="000000"/>
          <w:sz w:val="28"/>
          <w:szCs w:val="28"/>
        </w:rPr>
      </w:pPr>
    </w:p>
    <w:p w14:paraId="7959B552">
      <w:pPr>
        <w:pStyle w:val="4"/>
        <w:numPr>
          <w:ilvl w:val="255"/>
          <w:numId w:val="0"/>
        </w:numPr>
        <w:jc w:val="center"/>
        <w:rPr>
          <w:rFonts w:ascii="微软雅黑" w:hAnsi="微软雅黑" w:eastAsia="微软雅黑" w:cs="微软雅黑"/>
          <w:bCs/>
          <w:color w:val="000000"/>
          <w:sz w:val="28"/>
          <w:szCs w:val="28"/>
        </w:rPr>
      </w:pPr>
    </w:p>
    <w:p w14:paraId="37BA3FCF">
      <w:pPr>
        <w:pStyle w:val="4"/>
        <w:numPr>
          <w:ilvl w:val="255"/>
          <w:numId w:val="0"/>
        </w:numPr>
        <w:jc w:val="center"/>
        <w:rPr>
          <w:rFonts w:ascii="微软雅黑" w:hAnsi="微软雅黑" w:eastAsia="微软雅黑" w:cs="微软雅黑"/>
          <w:bCs/>
          <w:color w:val="000000"/>
          <w:sz w:val="28"/>
          <w:szCs w:val="28"/>
        </w:rPr>
      </w:pPr>
    </w:p>
    <w:p w14:paraId="55453086">
      <w:pPr>
        <w:pStyle w:val="4"/>
        <w:numPr>
          <w:ilvl w:val="255"/>
          <w:numId w:val="0"/>
        </w:numPr>
        <w:jc w:val="center"/>
        <w:rPr>
          <w:rFonts w:ascii="微软雅黑" w:hAnsi="微软雅黑" w:eastAsia="微软雅黑" w:cs="微软雅黑"/>
          <w:bCs/>
          <w:color w:val="000000"/>
          <w:sz w:val="28"/>
          <w:szCs w:val="28"/>
        </w:rPr>
      </w:pPr>
      <w:r>
        <w:rPr>
          <w:rFonts w:hint="eastAsia" w:ascii="微软雅黑" w:hAnsi="微软雅黑" w:eastAsia="微软雅黑" w:cs="微软雅黑"/>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微软雅黑" w:hAnsi="微软雅黑" w:eastAsia="微软雅黑" w:cs="微软雅黑"/>
          <w:bCs/>
          <w:color w:val="000000"/>
          <w:sz w:val="28"/>
          <w:szCs w:val="28"/>
        </w:rPr>
      </w:pPr>
      <w:bookmarkStart w:id="87" w:name="_Toc3342"/>
      <w:r>
        <w:rPr>
          <w:rFonts w:hint="eastAsia" w:ascii="微软雅黑" w:hAnsi="微软雅黑" w:eastAsia="微软雅黑" w:cs="微软雅黑"/>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BFFD4D-3451-41F0-911C-06F3B7516E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3324F80-9E8B-487B-825B-95546FBC6CC5}"/>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819F6E11-CCAB-43FA-A942-BBE0355E5583}"/>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A9B09CFC-3927-4EF0-BF71-2AC2F384D58E}"/>
  </w:font>
  <w:font w:name="华文中宋">
    <w:panose1 w:val="02010600040101010101"/>
    <w:charset w:val="86"/>
    <w:family w:val="auto"/>
    <w:pitch w:val="default"/>
    <w:sig w:usb0="00000287" w:usb1="080F0000" w:usb2="00000000" w:usb3="00000000" w:csb0="0004009F" w:csb1="DFD70000"/>
    <w:embedRegular r:id="rId5" w:fontKey="{EF3B1CBD-0BD1-4531-AA61-217E3133F88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5E82F14E-9742-4736-AAFA-AE9D2E4DC18B}"/>
  </w:font>
  <w:font w:name="仿宋">
    <w:panose1 w:val="02010609060101010101"/>
    <w:charset w:val="86"/>
    <w:family w:val="modern"/>
    <w:pitch w:val="default"/>
    <w:sig w:usb0="800002BF" w:usb1="38CF7CFA" w:usb2="00000016" w:usb3="00000000" w:csb0="00040001" w:csb1="00000000"/>
    <w:embedRegular r:id="rId7" w:fontKey="{5D01F78E-F0B5-4310-86BB-348C370EFA7C}"/>
  </w:font>
  <w:font w:name="方正小标宋_GBK">
    <w:panose1 w:val="02000000000000000000"/>
    <w:charset w:val="86"/>
    <w:family w:val="script"/>
    <w:pitch w:val="default"/>
    <w:sig w:usb0="A00002BF" w:usb1="38CF7CFA" w:usb2="00082016" w:usb3="00000000" w:csb0="00040001" w:csb1="00000000"/>
    <w:embedRegular r:id="rId8" w:fontKey="{4C349494-CB02-4E20-A964-2B7BEF690869}"/>
  </w:font>
  <w:font w:name="WPSEMBED12">
    <w:panose1 w:val="02000000000000000000"/>
    <w:charset w:val="86"/>
    <w:family w:val="auto"/>
    <w:pitch w:val="default"/>
    <w:sig w:usb0="A00002BF" w:usb1="38CF7CFA" w:usb2="00082016" w:usb3="00000000" w:csb0="00040001" w:csb1="00000000"/>
  </w:font>
  <w:font w:name="WPSEMBED1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1AE1312"/>
    <w:rsid w:val="02430D13"/>
    <w:rsid w:val="02B33C2A"/>
    <w:rsid w:val="034F5608"/>
    <w:rsid w:val="035565DF"/>
    <w:rsid w:val="03B42887"/>
    <w:rsid w:val="03BD1657"/>
    <w:rsid w:val="04C31787"/>
    <w:rsid w:val="056904DD"/>
    <w:rsid w:val="05825342"/>
    <w:rsid w:val="05AC5740"/>
    <w:rsid w:val="066426AB"/>
    <w:rsid w:val="068A4E6D"/>
    <w:rsid w:val="06A16104"/>
    <w:rsid w:val="06D6606E"/>
    <w:rsid w:val="0722284A"/>
    <w:rsid w:val="074D1B24"/>
    <w:rsid w:val="076C043D"/>
    <w:rsid w:val="077C6018"/>
    <w:rsid w:val="07A05F2C"/>
    <w:rsid w:val="08403A7A"/>
    <w:rsid w:val="08453B68"/>
    <w:rsid w:val="085546C8"/>
    <w:rsid w:val="08B81D86"/>
    <w:rsid w:val="08F105C3"/>
    <w:rsid w:val="08F7273B"/>
    <w:rsid w:val="09491AC5"/>
    <w:rsid w:val="094E6858"/>
    <w:rsid w:val="095847F4"/>
    <w:rsid w:val="09836074"/>
    <w:rsid w:val="099212CA"/>
    <w:rsid w:val="09BD13CC"/>
    <w:rsid w:val="09FA4319"/>
    <w:rsid w:val="0A263C68"/>
    <w:rsid w:val="0A3C5721"/>
    <w:rsid w:val="0A5667CD"/>
    <w:rsid w:val="0B113C33"/>
    <w:rsid w:val="0B262E10"/>
    <w:rsid w:val="0B802691"/>
    <w:rsid w:val="0BCE3FEB"/>
    <w:rsid w:val="0BE95409"/>
    <w:rsid w:val="0BFE26F4"/>
    <w:rsid w:val="0C105208"/>
    <w:rsid w:val="0CF4642C"/>
    <w:rsid w:val="0CF52F5E"/>
    <w:rsid w:val="0E9D201C"/>
    <w:rsid w:val="0E9F4A8D"/>
    <w:rsid w:val="0F1534E1"/>
    <w:rsid w:val="0F6950DE"/>
    <w:rsid w:val="0FAD08ED"/>
    <w:rsid w:val="109A5EF0"/>
    <w:rsid w:val="109D5D66"/>
    <w:rsid w:val="10A23C41"/>
    <w:rsid w:val="10DC7269"/>
    <w:rsid w:val="1104011A"/>
    <w:rsid w:val="117575D2"/>
    <w:rsid w:val="119E3AF5"/>
    <w:rsid w:val="12352795"/>
    <w:rsid w:val="13D77431"/>
    <w:rsid w:val="14161856"/>
    <w:rsid w:val="14175BB0"/>
    <w:rsid w:val="141D694C"/>
    <w:rsid w:val="14922FE9"/>
    <w:rsid w:val="14F420F5"/>
    <w:rsid w:val="14F930FD"/>
    <w:rsid w:val="15061398"/>
    <w:rsid w:val="15180BA4"/>
    <w:rsid w:val="1566146B"/>
    <w:rsid w:val="15706A67"/>
    <w:rsid w:val="15D6764D"/>
    <w:rsid w:val="15DC43E5"/>
    <w:rsid w:val="16503E5D"/>
    <w:rsid w:val="166B3497"/>
    <w:rsid w:val="166C12F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CBB536C"/>
    <w:rsid w:val="1D471F18"/>
    <w:rsid w:val="1E324BDA"/>
    <w:rsid w:val="1EAB60A6"/>
    <w:rsid w:val="1EAE474B"/>
    <w:rsid w:val="1F1B41F1"/>
    <w:rsid w:val="1F9F0833"/>
    <w:rsid w:val="200D74BF"/>
    <w:rsid w:val="20B25CBE"/>
    <w:rsid w:val="21D547D0"/>
    <w:rsid w:val="22221D49"/>
    <w:rsid w:val="222F1E4B"/>
    <w:rsid w:val="22635651"/>
    <w:rsid w:val="227616EA"/>
    <w:rsid w:val="22D03B47"/>
    <w:rsid w:val="2367560F"/>
    <w:rsid w:val="24180F0A"/>
    <w:rsid w:val="24B05A43"/>
    <w:rsid w:val="24DC343F"/>
    <w:rsid w:val="25335A76"/>
    <w:rsid w:val="257965BE"/>
    <w:rsid w:val="25897742"/>
    <w:rsid w:val="25ED62B3"/>
    <w:rsid w:val="26330C13"/>
    <w:rsid w:val="263F63D5"/>
    <w:rsid w:val="268272ED"/>
    <w:rsid w:val="26A86584"/>
    <w:rsid w:val="273E0B94"/>
    <w:rsid w:val="274D2199"/>
    <w:rsid w:val="27545AF9"/>
    <w:rsid w:val="27F65DCE"/>
    <w:rsid w:val="281B3EE1"/>
    <w:rsid w:val="28E90F18"/>
    <w:rsid w:val="298B4180"/>
    <w:rsid w:val="29C11B85"/>
    <w:rsid w:val="2A005F31"/>
    <w:rsid w:val="2A917F12"/>
    <w:rsid w:val="2A9D615B"/>
    <w:rsid w:val="2AA5709D"/>
    <w:rsid w:val="2AE65E55"/>
    <w:rsid w:val="2AEC7D6B"/>
    <w:rsid w:val="2B3A3C06"/>
    <w:rsid w:val="2B7B2CD7"/>
    <w:rsid w:val="2B8F2A3B"/>
    <w:rsid w:val="2BBE4A09"/>
    <w:rsid w:val="2C7F577D"/>
    <w:rsid w:val="2C916CE1"/>
    <w:rsid w:val="2CB55C73"/>
    <w:rsid w:val="2CB573F1"/>
    <w:rsid w:val="2D5E3590"/>
    <w:rsid w:val="2DC800B9"/>
    <w:rsid w:val="2DF5037E"/>
    <w:rsid w:val="2E1F29F2"/>
    <w:rsid w:val="2E5C663A"/>
    <w:rsid w:val="2ED962FD"/>
    <w:rsid w:val="2EF75A9F"/>
    <w:rsid w:val="2F4B1225"/>
    <w:rsid w:val="2FA22E86"/>
    <w:rsid w:val="30636F6F"/>
    <w:rsid w:val="308D7267"/>
    <w:rsid w:val="309A28A5"/>
    <w:rsid w:val="309B7B37"/>
    <w:rsid w:val="30DD3DF6"/>
    <w:rsid w:val="313D4B9F"/>
    <w:rsid w:val="31EE248D"/>
    <w:rsid w:val="33097BA0"/>
    <w:rsid w:val="33346566"/>
    <w:rsid w:val="340B487E"/>
    <w:rsid w:val="34876E3B"/>
    <w:rsid w:val="34B7733E"/>
    <w:rsid w:val="34BA2ACF"/>
    <w:rsid w:val="34C7272C"/>
    <w:rsid w:val="34CA155F"/>
    <w:rsid w:val="34D53509"/>
    <w:rsid w:val="34DB5F91"/>
    <w:rsid w:val="35003297"/>
    <w:rsid w:val="35A4296B"/>
    <w:rsid w:val="35AF70D3"/>
    <w:rsid w:val="35F23AD2"/>
    <w:rsid w:val="364452A8"/>
    <w:rsid w:val="3676199F"/>
    <w:rsid w:val="36DB2EFD"/>
    <w:rsid w:val="37295B73"/>
    <w:rsid w:val="376152DE"/>
    <w:rsid w:val="379773BF"/>
    <w:rsid w:val="37BA2B92"/>
    <w:rsid w:val="37C05C78"/>
    <w:rsid w:val="39EF3EF2"/>
    <w:rsid w:val="3A260546"/>
    <w:rsid w:val="3A736BBC"/>
    <w:rsid w:val="3AC4797F"/>
    <w:rsid w:val="3B0F15A5"/>
    <w:rsid w:val="3B83690E"/>
    <w:rsid w:val="3B950B19"/>
    <w:rsid w:val="3C6D291D"/>
    <w:rsid w:val="3C8D17F0"/>
    <w:rsid w:val="3D222D3E"/>
    <w:rsid w:val="3D5460D2"/>
    <w:rsid w:val="3E8D75E9"/>
    <w:rsid w:val="3EF21FA7"/>
    <w:rsid w:val="3F3423F7"/>
    <w:rsid w:val="3F663DE3"/>
    <w:rsid w:val="3F8C0AD9"/>
    <w:rsid w:val="3FD414E4"/>
    <w:rsid w:val="3FED5CCD"/>
    <w:rsid w:val="400D4BB3"/>
    <w:rsid w:val="405820D4"/>
    <w:rsid w:val="416D6A0E"/>
    <w:rsid w:val="417D1DC2"/>
    <w:rsid w:val="42A41642"/>
    <w:rsid w:val="42B64717"/>
    <w:rsid w:val="42C52901"/>
    <w:rsid w:val="42FC5059"/>
    <w:rsid w:val="435A5C35"/>
    <w:rsid w:val="449B56CE"/>
    <w:rsid w:val="44E87A7E"/>
    <w:rsid w:val="456D0411"/>
    <w:rsid w:val="46587C56"/>
    <w:rsid w:val="46756E72"/>
    <w:rsid w:val="46813D02"/>
    <w:rsid w:val="46BC2F5E"/>
    <w:rsid w:val="46EA336A"/>
    <w:rsid w:val="4732450F"/>
    <w:rsid w:val="474A1318"/>
    <w:rsid w:val="47C012A2"/>
    <w:rsid w:val="47DD64EB"/>
    <w:rsid w:val="498F35C1"/>
    <w:rsid w:val="4A0A5CC7"/>
    <w:rsid w:val="4A307253"/>
    <w:rsid w:val="4A6C0158"/>
    <w:rsid w:val="4AB41B33"/>
    <w:rsid w:val="4B0B5394"/>
    <w:rsid w:val="4B1465F0"/>
    <w:rsid w:val="4B4C0AC8"/>
    <w:rsid w:val="4B59602E"/>
    <w:rsid w:val="4BA56296"/>
    <w:rsid w:val="4C91405E"/>
    <w:rsid w:val="4CB01765"/>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EE68AA"/>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49C7E82"/>
    <w:rsid w:val="55BA07E5"/>
    <w:rsid w:val="55C656E6"/>
    <w:rsid w:val="56951575"/>
    <w:rsid w:val="573E4B0A"/>
    <w:rsid w:val="57EA00F6"/>
    <w:rsid w:val="57ED67F5"/>
    <w:rsid w:val="58117045"/>
    <w:rsid w:val="58365C18"/>
    <w:rsid w:val="589B7282"/>
    <w:rsid w:val="58CC4277"/>
    <w:rsid w:val="592E63F2"/>
    <w:rsid w:val="59462FFB"/>
    <w:rsid w:val="595F09CA"/>
    <w:rsid w:val="59D20454"/>
    <w:rsid w:val="5AC3366B"/>
    <w:rsid w:val="5B2C3479"/>
    <w:rsid w:val="5B6B4F9B"/>
    <w:rsid w:val="5B70435F"/>
    <w:rsid w:val="5BED33EA"/>
    <w:rsid w:val="5C4029EF"/>
    <w:rsid w:val="5C8508F0"/>
    <w:rsid w:val="5CA23721"/>
    <w:rsid w:val="5CDF7E3E"/>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CE2DC9"/>
    <w:rsid w:val="62E53885"/>
    <w:rsid w:val="62EF4D77"/>
    <w:rsid w:val="630006BE"/>
    <w:rsid w:val="63147DC8"/>
    <w:rsid w:val="63195E00"/>
    <w:rsid w:val="63473BF7"/>
    <w:rsid w:val="63670099"/>
    <w:rsid w:val="6384223E"/>
    <w:rsid w:val="63907C20"/>
    <w:rsid w:val="63B374DF"/>
    <w:rsid w:val="63BD55FE"/>
    <w:rsid w:val="63C4349A"/>
    <w:rsid w:val="63CE405B"/>
    <w:rsid w:val="649C5533"/>
    <w:rsid w:val="651915C4"/>
    <w:rsid w:val="6562740E"/>
    <w:rsid w:val="65F00D0C"/>
    <w:rsid w:val="65F93378"/>
    <w:rsid w:val="660A4DD7"/>
    <w:rsid w:val="669A773D"/>
    <w:rsid w:val="66A222C5"/>
    <w:rsid w:val="66A47F42"/>
    <w:rsid w:val="676E069F"/>
    <w:rsid w:val="67714DB8"/>
    <w:rsid w:val="677E3D99"/>
    <w:rsid w:val="67A47116"/>
    <w:rsid w:val="68120C78"/>
    <w:rsid w:val="68A40BAF"/>
    <w:rsid w:val="68E36170"/>
    <w:rsid w:val="68E62362"/>
    <w:rsid w:val="6911005B"/>
    <w:rsid w:val="693E3CEF"/>
    <w:rsid w:val="69501A60"/>
    <w:rsid w:val="6978527B"/>
    <w:rsid w:val="69BD0586"/>
    <w:rsid w:val="69E83CAC"/>
    <w:rsid w:val="69F6673E"/>
    <w:rsid w:val="6A480FCB"/>
    <w:rsid w:val="6A64428D"/>
    <w:rsid w:val="6A8F3D70"/>
    <w:rsid w:val="6B99622E"/>
    <w:rsid w:val="6BAA7419"/>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4C6FC1"/>
    <w:rsid w:val="710D3D1B"/>
    <w:rsid w:val="711B37E9"/>
    <w:rsid w:val="71C254BD"/>
    <w:rsid w:val="71F907BA"/>
    <w:rsid w:val="72A0767C"/>
    <w:rsid w:val="72CD4903"/>
    <w:rsid w:val="730C5665"/>
    <w:rsid w:val="732D33F2"/>
    <w:rsid w:val="738C75AC"/>
    <w:rsid w:val="741C4C96"/>
    <w:rsid w:val="74B925FE"/>
    <w:rsid w:val="74FE1ABE"/>
    <w:rsid w:val="74FE731B"/>
    <w:rsid w:val="753955B3"/>
    <w:rsid w:val="7542758E"/>
    <w:rsid w:val="75886FA4"/>
    <w:rsid w:val="75AD3D2D"/>
    <w:rsid w:val="765B28EF"/>
    <w:rsid w:val="774B1E6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B0C3BFE"/>
    <w:rsid w:val="7C2B4657"/>
    <w:rsid w:val="7C3B7E93"/>
    <w:rsid w:val="7CD30F7E"/>
    <w:rsid w:val="7D136079"/>
    <w:rsid w:val="7D9628D3"/>
    <w:rsid w:val="7DAA32A9"/>
    <w:rsid w:val="7DC14F90"/>
    <w:rsid w:val="7DFD696E"/>
    <w:rsid w:val="7E0C1A79"/>
    <w:rsid w:val="7E962F71"/>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19125</Words>
  <Characters>19999</Characters>
  <Lines>38</Lines>
  <Paragraphs>65</Paragraphs>
  <TotalTime>19</TotalTime>
  <ScaleCrop>false</ScaleCrop>
  <LinksUpToDate>false</LinksUpToDate>
  <CharactersWithSpaces>20642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2026-05-27T08:39:35Z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FE35A5996FFC4EDA9A3A68BC0F8EFFF5_13</vt:lpwstr>
  </property>
  <property fmtid="{D5CDD505-2E9C-101B-9397-08002B2CF9AE}" pid="4" name="KSOTemplateDocerSaveRecord">
    <vt:lpwstr>eyJoZGlkIjoiYjVmOGY2NmQ5OTJmMDI1Mjc1OTM0OTRmZDQ5YTZkODMiLCJ1c2VySWQiOiIxMjM0Njk1MzQ0In0=</vt:lpwstr>
  </property>
</Properties>
</file>