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rPr>
        <w:t>0</w:t>
      </w:r>
      <w:r>
        <w:rPr>
          <w:rFonts w:hint="eastAsia" w:eastAsia="方正小标宋简体"/>
          <w:sz w:val="32"/>
          <w:lang w:val="en-US" w:eastAsia="zh-CN"/>
        </w:rPr>
        <w:t>19</w:t>
      </w:r>
    </w:p>
    <w:p w14:paraId="1E200932">
      <w:pPr>
        <w:pStyle w:val="25"/>
        <w:ind w:left="0" w:firstLine="640"/>
        <w:rPr>
          <w:rFonts w:hint="default" w:eastAsia="方正小标宋简体"/>
          <w:sz w:val="32"/>
          <w:lang w:val="en-US" w:eastAsia="zh-CN"/>
        </w:rPr>
      </w:pPr>
      <w:r>
        <w:rPr>
          <w:rFonts w:eastAsia="方正小标宋简体"/>
          <w:sz w:val="32"/>
        </w:rPr>
        <w:t>项目名称：</w:t>
      </w:r>
      <w:r>
        <w:rPr>
          <w:rFonts w:hint="eastAsia" w:eastAsia="方正小标宋简体"/>
          <w:sz w:val="32"/>
        </w:rPr>
        <w:t>租赁</w:t>
      </w:r>
      <w:r>
        <w:rPr>
          <w:rFonts w:hint="eastAsia" w:eastAsia="方正小标宋简体"/>
          <w:sz w:val="32"/>
          <w:lang w:val="en-US" w:eastAsia="zh-CN"/>
        </w:rPr>
        <w:t>仓储仓库</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23B7BF61">
      <w:pPr>
        <w:pStyle w:val="11"/>
        <w:spacing w:line="360" w:lineRule="auto"/>
        <w:ind w:firstLine="643"/>
        <w:rPr>
          <w:rFonts w:eastAsiaTheme="majorEastAsia"/>
          <w:b/>
          <w:sz w:val="32"/>
        </w:rPr>
      </w:pPr>
      <w:r>
        <w:rPr>
          <w:rFonts w:eastAsiaTheme="majorEastAsia"/>
          <w:b/>
          <w:sz w:val="32"/>
        </w:rPr>
        <w:t>第一章 采购</w:t>
      </w:r>
      <w:r>
        <w:rPr>
          <w:rFonts w:hint="eastAsia" w:eastAsiaTheme="majorEastAsia"/>
          <w:b/>
          <w:sz w:val="32"/>
        </w:rPr>
        <w:t>公告</w:t>
      </w:r>
    </w:p>
    <w:p w14:paraId="5B35B1C5">
      <w:pPr>
        <w:pStyle w:val="11"/>
        <w:spacing w:line="360" w:lineRule="auto"/>
        <w:ind w:firstLine="643"/>
        <w:rPr>
          <w:rFonts w:eastAsiaTheme="majorEastAsia"/>
          <w:b/>
          <w:sz w:val="32"/>
        </w:rPr>
      </w:pPr>
      <w:r>
        <w:rPr>
          <w:rFonts w:eastAsiaTheme="majorEastAsia"/>
          <w:b/>
          <w:sz w:val="32"/>
        </w:rPr>
        <w:t>第二章 采购项目需求</w:t>
      </w:r>
    </w:p>
    <w:p w14:paraId="35F1C1FC">
      <w:pPr>
        <w:pStyle w:val="11"/>
        <w:numPr>
          <w:ilvl w:val="0"/>
          <w:numId w:val="0"/>
        </w:numPr>
        <w:spacing w:line="360" w:lineRule="auto"/>
        <w:ind w:firstLine="643" w:firstLineChars="0"/>
        <w:rPr>
          <w:rFonts w:eastAsiaTheme="majorEastAsia"/>
          <w:b/>
          <w:sz w:val="32"/>
        </w:rPr>
      </w:pPr>
      <w:r>
        <w:rPr>
          <w:rFonts w:hint="eastAsia" w:ascii="Times New Roman" w:hAnsi="Times New Roman" w:cs="Times New Roman" w:eastAsiaTheme="majorEastAsia"/>
          <w:b/>
          <w:kern w:val="2"/>
          <w:sz w:val="32"/>
          <w:szCs w:val="24"/>
          <w:lang w:val="en-US" w:eastAsia="zh-CN" w:bidi="ar-SA"/>
        </w:rPr>
        <w:t>第三章</w:t>
      </w:r>
      <w:r>
        <w:rPr>
          <w:rFonts w:hint="eastAsia" w:eastAsiaTheme="majorEastAsia"/>
          <w:b/>
          <w:sz w:val="32"/>
        </w:rPr>
        <w:t xml:space="preserve"> 议价评审规则</w:t>
      </w:r>
    </w:p>
    <w:p w14:paraId="16ABBE36">
      <w:pPr>
        <w:pStyle w:val="11"/>
        <w:numPr>
          <w:ilvl w:val="0"/>
          <w:numId w:val="0"/>
        </w:numPr>
        <w:spacing w:line="360" w:lineRule="auto"/>
        <w:ind w:firstLine="643" w:firstLineChars="0"/>
        <w:rPr>
          <w:rFonts w:eastAsiaTheme="majorEastAsia"/>
          <w:b/>
          <w:sz w:val="32"/>
        </w:rPr>
      </w:pPr>
      <w:r>
        <w:rPr>
          <w:rFonts w:hint="eastAsia" w:ascii="Times New Roman" w:hAnsi="Times New Roman" w:cs="Times New Roman" w:eastAsiaTheme="majorEastAsia"/>
          <w:b/>
          <w:kern w:val="2"/>
          <w:sz w:val="32"/>
          <w:szCs w:val="24"/>
          <w:lang w:val="en-US" w:eastAsia="zh-CN" w:bidi="ar-SA"/>
        </w:rPr>
        <w:t>第四章</w:t>
      </w:r>
      <w:r>
        <w:rPr>
          <w:rFonts w:hint="eastAsia" w:eastAsiaTheme="majorEastAsia"/>
          <w:b/>
          <w:sz w:val="32"/>
        </w:rPr>
        <w:t xml:space="preserve"> 供应商须知</w:t>
      </w:r>
    </w:p>
    <w:p w14:paraId="6AED914D">
      <w:pPr>
        <w:pStyle w:val="11"/>
        <w:spacing w:line="360" w:lineRule="auto"/>
        <w:ind w:firstLine="643"/>
        <w:rPr>
          <w:rFonts w:eastAsiaTheme="majorEastAsia"/>
          <w:b/>
          <w:sz w:val="32"/>
        </w:rPr>
      </w:pPr>
      <w:r>
        <w:rPr>
          <w:rFonts w:hint="eastAsia" w:ascii="Times New Roman" w:hAnsi="Times New Roman" w:cs="Times New Roman" w:eastAsiaTheme="majorEastAsia"/>
          <w:b/>
          <w:kern w:val="2"/>
          <w:sz w:val="32"/>
          <w:szCs w:val="24"/>
          <w:lang w:val="en-US" w:eastAsia="zh-CN" w:bidi="ar-SA"/>
        </w:rPr>
        <w:t>第五章</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rPr>
        <w:t>租赁仓储仓库</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19</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rPr>
        <w:t>租赁仓储仓库</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79.2</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79.2</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rPr>
              <w:t>租赁仓储仓库</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自合同签订之日起1年。本项目为长期服务类项目，第一年为本次招标的中标服务期限，采购人可根据项目需求和中标供应商的履约情况确定合同期限是否续签，但最长不超过三十六个月，合同一年一签</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w:t>
      </w:r>
      <w:r>
        <w:rPr>
          <w:rFonts w:hint="eastAsia"/>
          <w:color w:val="000000"/>
          <w:kern w:val="0"/>
          <w:sz w:val="24"/>
          <w:szCs w:val="22"/>
          <w:highlight w:val="none"/>
          <w:lang w:eastAsia="zh-CN"/>
        </w:rPr>
        <w:t>的具</w:t>
      </w:r>
      <w:r>
        <w:rPr>
          <w:color w:val="000000"/>
          <w:kern w:val="0"/>
          <w:sz w:val="24"/>
          <w:szCs w:val="22"/>
          <w:highlight w:val="none"/>
        </w:rPr>
        <w:t>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公告发布之日起三个工作日，即</w:t>
      </w:r>
      <w:r>
        <w:rPr>
          <w:rFonts w:hint="eastAsia"/>
          <w:kern w:val="0"/>
          <w:sz w:val="24"/>
          <w:szCs w:val="22"/>
          <w:lang w:val="en-US" w:eastAsia="zh-CN"/>
        </w:rPr>
        <w:t>5</w:t>
      </w:r>
      <w:r>
        <w:rPr>
          <w:rFonts w:hint="eastAsia"/>
          <w:kern w:val="0"/>
          <w:sz w:val="24"/>
          <w:szCs w:val="22"/>
        </w:rPr>
        <w:t>月</w:t>
      </w:r>
      <w:r>
        <w:rPr>
          <w:rFonts w:hint="eastAsia"/>
          <w:kern w:val="0"/>
          <w:sz w:val="24"/>
          <w:szCs w:val="22"/>
          <w:lang w:val="en-US" w:eastAsia="zh-CN"/>
        </w:rPr>
        <w:t>22</w:t>
      </w:r>
      <w:r>
        <w:rPr>
          <w:rFonts w:hint="eastAsia"/>
          <w:kern w:val="0"/>
          <w:sz w:val="24"/>
          <w:szCs w:val="22"/>
        </w:rPr>
        <w:t>日至</w:t>
      </w:r>
      <w:r>
        <w:rPr>
          <w:rFonts w:hint="eastAsia"/>
          <w:kern w:val="0"/>
          <w:sz w:val="24"/>
          <w:szCs w:val="22"/>
          <w:lang w:val="en-US" w:eastAsia="zh-CN"/>
        </w:rPr>
        <w:t>5</w:t>
      </w:r>
      <w:r>
        <w:rPr>
          <w:rFonts w:hint="eastAsia"/>
          <w:kern w:val="0"/>
          <w:sz w:val="24"/>
          <w:szCs w:val="22"/>
        </w:rPr>
        <w:t>月</w:t>
      </w:r>
      <w:r>
        <w:rPr>
          <w:rFonts w:hint="eastAsia"/>
          <w:kern w:val="0"/>
          <w:sz w:val="24"/>
          <w:szCs w:val="22"/>
          <w:lang w:val="en-US" w:eastAsia="zh-CN"/>
        </w:rPr>
        <w:t>26</w:t>
      </w:r>
      <w:r>
        <w:rPr>
          <w:rFonts w:hint="eastAsia"/>
          <w:kern w:val="0"/>
          <w:sz w:val="24"/>
          <w:szCs w:val="22"/>
        </w:rPr>
        <w:t>日17：00截止。拟参与议价的供应商须将报名表（盖公章扫描件及电子版）及营业执照、授权委托书、法人身份证、被授权人身份证、声明函等材料以“项目名称+供应商”命名并以文件压缩包形式发送至邮箱：zdbyzcb_88@163.com，报名表见附件</w:t>
      </w:r>
      <w:r>
        <w:rPr>
          <w:kern w:val="0"/>
          <w:sz w:val="24"/>
          <w:szCs w:val="22"/>
        </w:rPr>
        <w:t>。</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w:t>
      </w:r>
      <w:r>
        <w:rPr>
          <w:rFonts w:hint="eastAsia" w:ascii="宋体" w:hAnsi="宋体" w:eastAsia="宋体" w:cs="宋体"/>
          <w:kern w:val="0"/>
          <w:sz w:val="24"/>
          <w:szCs w:val="24"/>
        </w:rPr>
        <w:t>采购文件于公告附件自行下载。领取采购文件后，因供应商原因无法应标，请提前一个自然日通过电子邮件、书面等方式告知。若未告知，视为能够如期应标。如果出现未告知又没有如期应标的情况，违规供应商将被列入不诚信单位名单</w:t>
      </w:r>
      <w:r>
        <w:rPr>
          <w:rFonts w:hint="eastAsia"/>
          <w:color w:val="000000"/>
          <w:kern w:val="0"/>
          <w:sz w:val="24"/>
          <w:szCs w:val="22"/>
        </w:rPr>
        <w:t>。</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采购时间及地点：2026年</w:t>
      </w:r>
      <w:r>
        <w:rPr>
          <w:rFonts w:hint="eastAsia"/>
          <w:kern w:val="0"/>
          <w:sz w:val="24"/>
          <w:szCs w:val="22"/>
          <w:lang w:val="en-US" w:eastAsia="zh-CN"/>
        </w:rPr>
        <w:t>5</w:t>
      </w:r>
      <w:r>
        <w:rPr>
          <w:rFonts w:hint="eastAsia"/>
          <w:kern w:val="0"/>
          <w:sz w:val="24"/>
          <w:szCs w:val="22"/>
        </w:rPr>
        <w:t>月</w:t>
      </w:r>
      <w:r>
        <w:rPr>
          <w:rFonts w:hint="eastAsia"/>
          <w:kern w:val="0"/>
          <w:sz w:val="24"/>
          <w:szCs w:val="22"/>
          <w:lang w:val="en-US" w:eastAsia="zh-CN"/>
        </w:rPr>
        <w:t>28</w:t>
      </w:r>
      <w:r>
        <w:rPr>
          <w:rFonts w:hint="eastAsia"/>
          <w:kern w:val="0"/>
          <w:sz w:val="24"/>
          <w:szCs w:val="22"/>
        </w:rPr>
        <w:t>日（周</w:t>
      </w:r>
      <w:r>
        <w:rPr>
          <w:rFonts w:hint="eastAsia"/>
          <w:kern w:val="0"/>
          <w:sz w:val="24"/>
          <w:szCs w:val="22"/>
          <w:lang w:val="en-US" w:eastAsia="zh-CN"/>
        </w:rPr>
        <w:t>四</w:t>
      </w:r>
      <w:r>
        <w:rPr>
          <w:rFonts w:hint="eastAsia"/>
          <w:kern w:val="0"/>
          <w:sz w:val="24"/>
          <w:szCs w:val="22"/>
        </w:rPr>
        <w:t>）下午</w:t>
      </w:r>
      <w:r>
        <w:rPr>
          <w:rFonts w:hint="eastAsia"/>
          <w:kern w:val="0"/>
          <w:sz w:val="24"/>
          <w:szCs w:val="22"/>
          <w:lang w:val="en-US" w:eastAsia="zh-CN"/>
        </w:rPr>
        <w:t>2</w:t>
      </w:r>
      <w:r>
        <w:rPr>
          <w:rFonts w:hint="eastAsia"/>
          <w:kern w:val="0"/>
          <w:sz w:val="24"/>
          <w:szCs w:val="22"/>
        </w:rPr>
        <w:t>：</w:t>
      </w:r>
      <w:r>
        <w:rPr>
          <w:rFonts w:hint="eastAsia"/>
          <w:kern w:val="0"/>
          <w:sz w:val="24"/>
          <w:szCs w:val="22"/>
          <w:lang w:val="en-US" w:eastAsia="zh-CN"/>
        </w:rPr>
        <w:t>3</w:t>
      </w:r>
      <w:r>
        <w:rPr>
          <w:rFonts w:hint="eastAsia"/>
          <w:kern w:val="0"/>
          <w:sz w:val="24"/>
          <w:szCs w:val="22"/>
        </w:rPr>
        <w:t>0，福田区福华路福星北小区92号中大八院行政楼307会议室</w:t>
      </w:r>
      <w:r>
        <w:rPr>
          <w:kern w:val="0"/>
          <w:sz w:val="24"/>
          <w:szCs w:val="22"/>
        </w:rPr>
        <w:t>。</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w:t>
      </w:r>
      <w:r>
        <w:rPr>
          <w:rFonts w:hint="eastAsia"/>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r>
        <w:rPr>
          <w:kern w:val="0"/>
          <w:sz w:val="24"/>
          <w:szCs w:val="22"/>
        </w:rPr>
        <w:t>。</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ascii="Times New Roman" w:hAnsi="Times New Roman" w:eastAsia="宋体" w:cs="Times New Roman"/>
          <w:kern w:val="0"/>
          <w:sz w:val="24"/>
          <w:szCs w:val="24"/>
          <w:highlight w:val="none"/>
          <w:lang w:val="en-US" w:eastAsia="zh-CN" w:bidi="ar-SA"/>
        </w:rPr>
        <w:t>采购人物资仓库现存放拟报废物资（医用物资）约2500平方在坪山</w:t>
      </w:r>
      <w:r>
        <w:rPr>
          <w:rFonts w:hint="eastAsia" w:eastAsia="宋体" w:cs="Times New Roman"/>
          <w:kern w:val="0"/>
          <w:sz w:val="24"/>
          <w:szCs w:val="24"/>
          <w:highlight w:val="none"/>
          <w:lang w:val="en-US" w:eastAsia="zh-CN" w:bidi="ar-SA"/>
        </w:rPr>
        <w:t>区坪葵路217号美达工业园</w:t>
      </w:r>
      <w:r>
        <w:rPr>
          <w:rFonts w:hint="eastAsia" w:ascii="Times New Roman" w:hAnsi="Times New Roman" w:eastAsia="宋体" w:cs="Times New Roman"/>
          <w:kern w:val="0"/>
          <w:sz w:val="24"/>
          <w:szCs w:val="24"/>
          <w:highlight w:val="none"/>
          <w:lang w:val="en-US" w:eastAsia="zh-CN" w:bidi="ar-SA"/>
        </w:rPr>
        <w:t>、采购人负4楼（约300平方）存放的废旧物资、及口岸社康（约100平方）的废旧物资 ，现坪山2500平的租赁合同即将到期，需租3000m2仓储场地。</w:t>
      </w:r>
      <w:bookmarkStart w:id="29" w:name="_GoBack"/>
      <w:bookmarkEnd w:id="29"/>
    </w:p>
    <w:p w14:paraId="79196303">
      <w:pPr>
        <w:adjustRightInd w:val="0"/>
        <w:snapToGrid w:val="0"/>
        <w:spacing w:line="240" w:lineRule="auto"/>
        <w:ind w:firstLine="482" w:firstLineChars="200"/>
        <w:rPr>
          <w:rFonts w:hAnsi="宋体"/>
          <w:b/>
          <w:bCs/>
          <w:sz w:val="24"/>
        </w:rPr>
      </w:pPr>
      <w:r>
        <w:rPr>
          <w:rFonts w:hint="eastAsia" w:hAnsi="宋体"/>
          <w:b/>
          <w:bCs/>
          <w:sz w:val="24"/>
        </w:rPr>
        <w:t>（二）</w:t>
      </w:r>
      <w:r>
        <w:rPr>
          <w:rFonts w:hint="eastAsia" w:eastAsia="宋体" w:cs="Times New Roman"/>
          <w:b/>
          <w:bCs/>
          <w:color w:val="C00000"/>
          <w:sz w:val="24"/>
          <w:highlight w:val="none"/>
          <w:lang w:val="en-US" w:eastAsia="zh-CN"/>
        </w:rPr>
        <w:t>需求清单</w:t>
      </w:r>
    </w:p>
    <w:tbl>
      <w:tblPr>
        <w:tblStyle w:val="26"/>
        <w:tblpPr w:leftFromText="180" w:rightFromText="180" w:vertAnchor="text" w:horzAnchor="page" w:tblpX="1688" w:tblpY="67"/>
        <w:tblOverlap w:val="never"/>
        <w:tblW w:w="9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911"/>
        <w:gridCol w:w="958"/>
        <w:gridCol w:w="1823"/>
        <w:gridCol w:w="1930"/>
        <w:gridCol w:w="2231"/>
      </w:tblGrid>
      <w:tr w14:paraId="3140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trPr>
        <w:tc>
          <w:tcPr>
            <w:tcW w:w="1565" w:type="dxa"/>
            <w:shd w:val="clear" w:color="auto" w:fill="EEECE1"/>
            <w:noWrap w:val="0"/>
            <w:vAlign w:val="center"/>
          </w:tcPr>
          <w:p w14:paraId="52C51970">
            <w:pPr>
              <w:pageBreakBefore w:val="0"/>
              <w:kinsoku/>
              <w:overflowPunct/>
              <w:topLinePunct w:val="0"/>
              <w:bidi w:val="0"/>
              <w:spacing w:line="360" w:lineRule="auto"/>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采购内容</w:t>
            </w:r>
          </w:p>
        </w:tc>
        <w:tc>
          <w:tcPr>
            <w:tcW w:w="911" w:type="dxa"/>
            <w:shd w:val="clear" w:color="auto" w:fill="EEECE1"/>
            <w:noWrap w:val="0"/>
            <w:vAlign w:val="center"/>
          </w:tcPr>
          <w:p w14:paraId="3F8C9202">
            <w:pPr>
              <w:pageBreakBefore w:val="0"/>
              <w:kinsoku/>
              <w:overflowPunct/>
              <w:topLinePunct w:val="0"/>
              <w:bidi w:val="0"/>
              <w:spacing w:line="360" w:lineRule="auto"/>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单位</w:t>
            </w:r>
          </w:p>
        </w:tc>
        <w:tc>
          <w:tcPr>
            <w:tcW w:w="958" w:type="dxa"/>
            <w:shd w:val="clear" w:color="auto" w:fill="EEECE1"/>
            <w:noWrap w:val="0"/>
            <w:vAlign w:val="center"/>
          </w:tcPr>
          <w:p w14:paraId="47B1273D">
            <w:pPr>
              <w:pageBreakBefore w:val="0"/>
              <w:kinsoku/>
              <w:overflowPunct/>
              <w:topLinePunct w:val="0"/>
              <w:bidi w:val="0"/>
              <w:spacing w:line="360" w:lineRule="auto"/>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数量</w:t>
            </w:r>
          </w:p>
        </w:tc>
        <w:tc>
          <w:tcPr>
            <w:tcW w:w="1823" w:type="dxa"/>
            <w:shd w:val="clear" w:color="auto" w:fill="EEECE1"/>
            <w:noWrap w:val="0"/>
            <w:vAlign w:val="center"/>
          </w:tcPr>
          <w:p w14:paraId="2F2D00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单价最高限价</w:t>
            </w:r>
          </w:p>
          <w:p w14:paraId="55EBC3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（元/平方米）</w:t>
            </w:r>
          </w:p>
        </w:tc>
        <w:tc>
          <w:tcPr>
            <w:tcW w:w="1930" w:type="dxa"/>
            <w:shd w:val="clear" w:color="auto" w:fill="EEECE1"/>
            <w:noWrap w:val="0"/>
            <w:vAlign w:val="center"/>
          </w:tcPr>
          <w:p w14:paraId="45D16F67">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月度最高限价</w:t>
            </w:r>
          </w:p>
          <w:p w14:paraId="7F4A69EB">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（万元/月）</w:t>
            </w:r>
          </w:p>
        </w:tc>
        <w:tc>
          <w:tcPr>
            <w:tcW w:w="2231" w:type="dxa"/>
            <w:shd w:val="clear" w:color="auto" w:fill="EEECE1"/>
            <w:noWrap w:val="0"/>
            <w:vAlign w:val="center"/>
          </w:tcPr>
          <w:p w14:paraId="244443DC">
            <w:pPr>
              <w:pageBreakBefore w:val="0"/>
              <w:kinsoku/>
              <w:overflowPunct/>
              <w:topLinePunct w:val="0"/>
              <w:bidi w:val="0"/>
              <w:spacing w:line="360" w:lineRule="auto"/>
              <w:jc w:val="center"/>
              <w:rPr>
                <w:rFonts w:hint="eastAsia" w:ascii="Times New Roman" w:hAnsi="Times New Roman" w:cs="Times New Roman"/>
                <w:vertAlign w:val="baseline"/>
                <w:lang w:val="en-US" w:eastAsia="zh-CN"/>
              </w:rPr>
            </w:pPr>
            <w:r>
              <w:rPr>
                <w:rFonts w:hint="eastAsia"/>
                <w:vertAlign w:val="baseline"/>
                <w:lang w:eastAsia="zh-CN"/>
              </w:rPr>
              <w:t>备注</w:t>
            </w:r>
          </w:p>
        </w:tc>
      </w:tr>
      <w:tr w14:paraId="15AD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1565" w:type="dxa"/>
            <w:noWrap w:val="0"/>
            <w:vAlign w:val="center"/>
          </w:tcPr>
          <w:p w14:paraId="0D60D646">
            <w:pPr>
              <w:pageBreakBefore w:val="0"/>
              <w:kinsoku/>
              <w:overflowPunct/>
              <w:topLinePunct w:val="0"/>
              <w:bidi w:val="0"/>
              <w:spacing w:line="360" w:lineRule="auto"/>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租赁仓储仓库</w:t>
            </w:r>
          </w:p>
        </w:tc>
        <w:tc>
          <w:tcPr>
            <w:tcW w:w="911" w:type="dxa"/>
            <w:noWrap w:val="0"/>
            <w:vAlign w:val="center"/>
          </w:tcPr>
          <w:p w14:paraId="2CC265BF">
            <w:pPr>
              <w:pageBreakBefore w:val="0"/>
              <w:kinsoku/>
              <w:overflowPunct/>
              <w:topLinePunct w:val="0"/>
              <w:bidi w:val="0"/>
              <w:spacing w:line="360" w:lineRule="auto"/>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平方米</w:t>
            </w:r>
          </w:p>
        </w:tc>
        <w:tc>
          <w:tcPr>
            <w:tcW w:w="958" w:type="dxa"/>
            <w:noWrap w:val="0"/>
            <w:vAlign w:val="center"/>
          </w:tcPr>
          <w:p w14:paraId="772DE192">
            <w:pPr>
              <w:pageBreakBefore w:val="0"/>
              <w:kinsoku/>
              <w:overflowPunct/>
              <w:topLinePunct w:val="0"/>
              <w:bidi w:val="0"/>
              <w:spacing w:line="360" w:lineRule="auto"/>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3000</w:t>
            </w:r>
          </w:p>
        </w:tc>
        <w:tc>
          <w:tcPr>
            <w:tcW w:w="1823" w:type="dxa"/>
            <w:noWrap w:val="0"/>
            <w:vAlign w:val="center"/>
          </w:tcPr>
          <w:p w14:paraId="1922EE49">
            <w:pPr>
              <w:pageBreakBefore w:val="0"/>
              <w:kinsoku/>
              <w:overflowPunct/>
              <w:topLinePunct w:val="0"/>
              <w:bidi w:val="0"/>
              <w:spacing w:line="360" w:lineRule="auto"/>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22</w:t>
            </w:r>
          </w:p>
        </w:tc>
        <w:tc>
          <w:tcPr>
            <w:tcW w:w="1930" w:type="dxa"/>
            <w:noWrap w:val="0"/>
            <w:vAlign w:val="center"/>
          </w:tcPr>
          <w:p w14:paraId="0EA753FA">
            <w:pPr>
              <w:pageBreakBefore w:val="0"/>
              <w:kinsoku/>
              <w:overflowPunct/>
              <w:topLinePunct w:val="0"/>
              <w:bidi w:val="0"/>
              <w:spacing w:line="360" w:lineRule="auto"/>
              <w:jc w:val="cente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6.6</w:t>
            </w:r>
          </w:p>
        </w:tc>
        <w:tc>
          <w:tcPr>
            <w:tcW w:w="2231" w:type="dxa"/>
            <w:noWrap w:val="0"/>
            <w:vAlign w:val="center"/>
          </w:tcPr>
          <w:p w14:paraId="43E50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按月据实结算，</w:t>
            </w:r>
            <w:r>
              <w:rPr>
                <w:rFonts w:hint="default"/>
                <w:vertAlign w:val="baseline"/>
                <w:lang w:val="en-US" w:eastAsia="zh-CN"/>
              </w:rPr>
              <w:t>含仓储、保管、</w:t>
            </w:r>
            <w:r>
              <w:rPr>
                <w:rFonts w:hint="eastAsia"/>
                <w:vertAlign w:val="baseline"/>
                <w:lang w:val="en-US" w:eastAsia="zh-CN"/>
              </w:rPr>
              <w:t>人员管理费、</w:t>
            </w:r>
            <w:r>
              <w:rPr>
                <w:rFonts w:hint="default"/>
                <w:vertAlign w:val="baseline"/>
                <w:lang w:val="en-US" w:eastAsia="zh-CN"/>
              </w:rPr>
              <w:t>税费等</w:t>
            </w:r>
          </w:p>
        </w:tc>
      </w:tr>
      <w:tr w14:paraId="5D9D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trPr>
        <w:tc>
          <w:tcPr>
            <w:tcW w:w="1565" w:type="dxa"/>
            <w:noWrap w:val="0"/>
            <w:vAlign w:val="center"/>
          </w:tcPr>
          <w:p w14:paraId="753514C4">
            <w:pPr>
              <w:pageBreakBefore w:val="0"/>
              <w:kinsoku/>
              <w:overflowPunct/>
              <w:topLinePunct w:val="0"/>
              <w:bidi w:val="0"/>
              <w:spacing w:line="360" w:lineRule="auto"/>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合计</w:t>
            </w:r>
          </w:p>
        </w:tc>
        <w:tc>
          <w:tcPr>
            <w:tcW w:w="7853" w:type="dxa"/>
            <w:gridSpan w:val="5"/>
            <w:noWrap w:val="0"/>
            <w:vAlign w:val="center"/>
          </w:tcPr>
          <w:p w14:paraId="652DD1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vertAlign w:val="baseline"/>
                <w:lang w:val="en-US" w:eastAsia="zh-CN"/>
              </w:rPr>
            </w:pPr>
            <w:r>
              <w:rPr>
                <w:rFonts w:hint="eastAsia"/>
                <w:vertAlign w:val="baseline"/>
                <w:lang w:val="en-US" w:eastAsia="zh-CN"/>
              </w:rPr>
              <w:t>79.2万元/年</w:t>
            </w:r>
          </w:p>
        </w:tc>
      </w:tr>
    </w:tbl>
    <w:p w14:paraId="61D6B5C6">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sz w:val="24"/>
        </w:rPr>
      </w:pPr>
      <w:r>
        <w:rPr>
          <w:rFonts w:hint="eastAsia" w:hAnsi="宋体"/>
          <w:b/>
          <w:bCs/>
          <w:sz w:val="24"/>
        </w:rPr>
        <w:t>（三）服务要求</w:t>
      </w:r>
    </w:p>
    <w:p w14:paraId="5AFD60F1">
      <w:pPr>
        <w:widowControl/>
        <w:numPr>
          <w:ilvl w:val="0"/>
          <w:numId w:val="8"/>
        </w:numPr>
        <w:adjustRightInd w:val="0"/>
        <w:snapToGrid w:val="0"/>
        <w:spacing w:line="400" w:lineRule="atLeast"/>
        <w:ind w:left="20" w:leftChars="0" w:firstLineChars="0"/>
        <w:rPr>
          <w:rFonts w:ascii="宋体" w:hAnsi="宋体" w:cs="宋体"/>
          <w:color w:val="auto"/>
          <w:szCs w:val="21"/>
          <w:highlight w:val="none"/>
        </w:rPr>
      </w:pPr>
      <w:r>
        <w:rPr>
          <w:rFonts w:hint="eastAsia" w:ascii="宋体" w:hAnsi="宋体" w:cs="宋体"/>
          <w:color w:val="auto"/>
          <w:szCs w:val="21"/>
          <w:highlight w:val="none"/>
        </w:rPr>
        <w:t>▲仓库需位于广东省内，仓库场地需邻近交通主干道，内部地面平整，独立仓库，车辆出入方便，同等条件下</w:t>
      </w:r>
      <w:r>
        <w:rPr>
          <w:rFonts w:hint="eastAsia" w:ascii="宋体" w:hAnsi="宋体" w:cs="宋体"/>
          <w:color w:val="auto"/>
          <w:szCs w:val="21"/>
          <w:highlight w:val="none"/>
          <w:lang w:val="en-US" w:eastAsia="zh-CN"/>
        </w:rPr>
        <w:t>不需搬迁或少搬迁仓储物资的</w:t>
      </w:r>
      <w:r>
        <w:rPr>
          <w:rFonts w:hint="eastAsia" w:ascii="宋体" w:hAnsi="宋体" w:cs="宋体"/>
          <w:color w:val="auto"/>
          <w:szCs w:val="21"/>
          <w:highlight w:val="none"/>
        </w:rPr>
        <w:t>优先选择。</w:t>
      </w:r>
    </w:p>
    <w:p w14:paraId="7BE035A8">
      <w:pPr>
        <w:widowControl/>
        <w:numPr>
          <w:ilvl w:val="0"/>
          <w:numId w:val="8"/>
        </w:numPr>
        <w:snapToGrid w:val="0"/>
        <w:spacing w:line="400" w:lineRule="atLeast"/>
        <w:ind w:left="20" w:leftChars="0" w:firstLineChars="0"/>
        <w:rPr>
          <w:color w:val="auto"/>
          <w:highlight w:val="none"/>
        </w:rPr>
      </w:pPr>
      <w:r>
        <w:rPr>
          <w:rFonts w:hint="eastAsia"/>
          <w:color w:val="auto"/>
          <w:highlight w:val="none"/>
        </w:rPr>
        <w:t>仓库规模面积至少</w:t>
      </w:r>
      <w:r>
        <w:rPr>
          <w:rFonts w:hint="eastAsia"/>
          <w:color w:val="auto"/>
          <w:highlight w:val="none"/>
          <w:lang w:val="en-US" w:eastAsia="zh-CN"/>
        </w:rPr>
        <w:t>5</w:t>
      </w:r>
      <w:r>
        <w:rPr>
          <w:rFonts w:hint="eastAsia"/>
          <w:color w:val="auto"/>
          <w:highlight w:val="none"/>
        </w:rPr>
        <w:t>000平方米。</w:t>
      </w:r>
    </w:p>
    <w:p w14:paraId="034A4A4B">
      <w:pPr>
        <w:widowControl/>
        <w:numPr>
          <w:ilvl w:val="0"/>
          <w:numId w:val="8"/>
        </w:numPr>
        <w:adjustRightInd w:val="0"/>
        <w:snapToGrid w:val="0"/>
        <w:spacing w:line="400" w:lineRule="atLeast"/>
        <w:ind w:left="20" w:leftChars="0" w:firstLineChars="0"/>
        <w:rPr>
          <w:rFonts w:ascii="宋体" w:hAnsi="宋体" w:cs="宋体"/>
          <w:color w:val="auto"/>
          <w:szCs w:val="21"/>
          <w:highlight w:val="none"/>
        </w:rPr>
      </w:pPr>
      <w:r>
        <w:rPr>
          <w:rFonts w:hint="eastAsia" w:ascii="宋体" w:hAnsi="宋体" w:cs="宋体"/>
          <w:color w:val="auto"/>
          <w:szCs w:val="21"/>
          <w:highlight w:val="none"/>
        </w:rPr>
        <w:t>★仓库产权归属或租赁关系清晰，无债务纠纷</w:t>
      </w:r>
      <w:r>
        <w:rPr>
          <w:rFonts w:hint="eastAsia"/>
          <w:color w:val="auto"/>
          <w:highlight w:val="none"/>
        </w:rPr>
        <w:t>（提供承诺书，格式自拟）</w:t>
      </w:r>
      <w:r>
        <w:rPr>
          <w:rFonts w:hint="eastAsia" w:ascii="宋体" w:hAnsi="宋体" w:cs="宋体"/>
          <w:color w:val="auto"/>
          <w:szCs w:val="21"/>
          <w:highlight w:val="none"/>
        </w:rPr>
        <w:t>。</w:t>
      </w:r>
    </w:p>
    <w:p w14:paraId="2D6A009D">
      <w:pPr>
        <w:widowControl/>
        <w:numPr>
          <w:ilvl w:val="0"/>
          <w:numId w:val="8"/>
        </w:numPr>
        <w:adjustRightInd w:val="0"/>
        <w:snapToGrid w:val="0"/>
        <w:spacing w:line="400" w:lineRule="atLeast"/>
        <w:ind w:left="20" w:leftChars="0" w:firstLineChars="0"/>
        <w:rPr>
          <w:rFonts w:ascii="宋体" w:hAnsi="宋体" w:cs="宋体"/>
          <w:color w:val="auto"/>
          <w:szCs w:val="21"/>
          <w:highlight w:val="none"/>
        </w:rPr>
      </w:pPr>
      <w:r>
        <w:rPr>
          <w:rFonts w:hint="eastAsia" w:ascii="宋体" w:hAnsi="宋体" w:cs="宋体"/>
          <w:color w:val="auto"/>
          <w:szCs w:val="21"/>
          <w:highlight w:val="none"/>
        </w:rPr>
        <w:t>★承诺可连续出租给采购人</w:t>
      </w:r>
      <w:r>
        <w:rPr>
          <w:rFonts w:hint="eastAsia" w:ascii="宋体" w:hAnsi="宋体" w:cs="宋体"/>
          <w:color w:val="auto"/>
          <w:szCs w:val="21"/>
          <w:highlight w:val="none"/>
          <w:lang w:val="en-US" w:eastAsia="zh-CN"/>
        </w:rPr>
        <w:t>至少3年</w:t>
      </w:r>
      <w:r>
        <w:rPr>
          <w:rFonts w:hint="eastAsia" w:ascii="宋体" w:hAnsi="宋体" w:cs="宋体"/>
          <w:color w:val="auto"/>
          <w:szCs w:val="21"/>
          <w:highlight w:val="none"/>
        </w:rPr>
        <w:t>（投标人出具承诺函，格式自拟），因不可抗力因素（如国家征收或者房屋拆迁等）导致不能连续续租的情况除外。</w:t>
      </w:r>
      <w:r>
        <w:rPr>
          <w:rFonts w:hint="eastAsia" w:ascii="宋体" w:hAnsi="宋体" w:cs="宋体"/>
          <w:color w:val="auto"/>
          <w:kern w:val="0"/>
          <w:szCs w:val="21"/>
          <w:highlight w:val="none"/>
          <w:lang w:bidi="ar"/>
        </w:rPr>
        <w:t>若采购人不再续租的，投标人须配合完成服务期满后的交接工作。</w:t>
      </w:r>
    </w:p>
    <w:p w14:paraId="3564630B">
      <w:pPr>
        <w:widowControl/>
        <w:numPr>
          <w:ilvl w:val="0"/>
          <w:numId w:val="8"/>
        </w:numPr>
        <w:snapToGrid w:val="0"/>
        <w:spacing w:line="400" w:lineRule="atLeast"/>
        <w:ind w:left="20" w:leftChars="0" w:firstLineChars="0"/>
        <w:rPr>
          <w:color w:val="auto"/>
          <w:highlight w:val="none"/>
        </w:rPr>
      </w:pPr>
      <w:r>
        <w:rPr>
          <w:rFonts w:hint="eastAsia"/>
          <w:color w:val="auto"/>
          <w:highlight w:val="none"/>
        </w:rPr>
        <w:t>投标人承诺可开展仓储服务业务，能开具仓储服务业务的发票（提供承诺书，格式自拟）。</w:t>
      </w:r>
    </w:p>
    <w:p w14:paraId="5D135106">
      <w:pPr>
        <w:widowControl/>
        <w:numPr>
          <w:ilvl w:val="0"/>
          <w:numId w:val="8"/>
        </w:numPr>
        <w:adjustRightInd w:val="0"/>
        <w:snapToGrid w:val="0"/>
        <w:spacing w:line="400" w:lineRule="atLeast"/>
        <w:ind w:left="20" w:leftChars="0" w:firstLineChars="0"/>
        <w:rPr>
          <w:rFonts w:ascii="宋体" w:hAnsi="宋体" w:cs="宋体"/>
          <w:color w:val="auto"/>
          <w:szCs w:val="21"/>
          <w:highlight w:val="none"/>
        </w:rPr>
      </w:pPr>
      <w:r>
        <w:rPr>
          <w:rFonts w:hint="eastAsia" w:ascii="宋体" w:hAnsi="宋体" w:cs="宋体"/>
          <w:color w:val="auto"/>
          <w:szCs w:val="21"/>
          <w:highlight w:val="none"/>
        </w:rPr>
        <w:t>★为消除火灾风险，投标人须根据采购人要求，参照建筑设计防火规范</w:t>
      </w:r>
      <w:r>
        <w:rPr>
          <w:rFonts w:hint="eastAsia"/>
          <w:color w:val="auto"/>
          <w:highlight w:val="none"/>
        </w:rPr>
        <w:t>《GB50016》、建筑灭火器配置规范《GB50140》等要求并</w:t>
      </w:r>
      <w:r>
        <w:rPr>
          <w:rFonts w:hint="eastAsia" w:ascii="宋体" w:hAnsi="宋体" w:cs="宋体"/>
          <w:color w:val="auto"/>
          <w:szCs w:val="21"/>
          <w:highlight w:val="none"/>
        </w:rPr>
        <w:t>结合</w:t>
      </w:r>
      <w:r>
        <w:rPr>
          <w:rFonts w:hint="eastAsia"/>
          <w:color w:val="auto"/>
          <w:highlight w:val="none"/>
        </w:rPr>
        <w:t>仓库面积条件，完善</w:t>
      </w:r>
      <w:r>
        <w:rPr>
          <w:rFonts w:hint="eastAsia" w:ascii="宋体" w:hAnsi="宋体" w:cs="宋体"/>
          <w:color w:val="auto"/>
          <w:szCs w:val="21"/>
          <w:highlight w:val="none"/>
        </w:rPr>
        <w:t>消防安全配套设施，配备水灭火系统、自动报警系统、防排烟系统、应急疏散系统、防火分隔系统等</w:t>
      </w:r>
      <w:r>
        <w:rPr>
          <w:rFonts w:hint="eastAsia" w:ascii="宋体" w:hAnsi="宋体" w:cs="宋体"/>
          <w:color w:val="auto"/>
          <w:highlight w:val="none"/>
        </w:rPr>
        <w:t>。</w:t>
      </w:r>
    </w:p>
    <w:p w14:paraId="17E78599">
      <w:pPr>
        <w:widowControl/>
        <w:numPr>
          <w:ilvl w:val="0"/>
          <w:numId w:val="8"/>
        </w:numPr>
        <w:adjustRightInd w:val="0"/>
        <w:snapToGrid w:val="0"/>
        <w:spacing w:line="400" w:lineRule="atLeast"/>
        <w:ind w:left="20" w:leftChars="0" w:firstLineChars="0"/>
        <w:rPr>
          <w:rFonts w:ascii="宋体" w:hAnsi="宋体" w:cs="宋体"/>
          <w:color w:val="auto"/>
          <w:szCs w:val="21"/>
          <w:highlight w:val="none"/>
        </w:rPr>
      </w:pPr>
      <w:r>
        <w:rPr>
          <w:rFonts w:hint="eastAsia" w:ascii="宋体" w:hAnsi="宋体" w:cs="宋体"/>
          <w:color w:val="auto"/>
          <w:szCs w:val="21"/>
          <w:highlight w:val="none"/>
        </w:rPr>
        <w:t>仓库场地具备完善的用水用电配套措施，</w:t>
      </w:r>
      <w:r>
        <w:rPr>
          <w:rFonts w:hint="eastAsia"/>
          <w:color w:val="auto"/>
          <w:highlight w:val="none"/>
        </w:rPr>
        <w:t>室内照明、通讯设备齐全，无安全隐患</w:t>
      </w:r>
      <w:r>
        <w:rPr>
          <w:rFonts w:hint="eastAsia" w:ascii="宋体" w:hAnsi="宋体" w:cs="宋体"/>
          <w:color w:val="auto"/>
          <w:szCs w:val="21"/>
          <w:highlight w:val="none"/>
        </w:rPr>
        <w:t>。</w:t>
      </w:r>
    </w:p>
    <w:p w14:paraId="02A591B9">
      <w:pPr>
        <w:widowControl/>
        <w:numPr>
          <w:ilvl w:val="0"/>
          <w:numId w:val="8"/>
        </w:numPr>
        <w:adjustRightInd w:val="0"/>
        <w:snapToGrid w:val="0"/>
        <w:spacing w:line="400" w:lineRule="atLeast"/>
        <w:ind w:left="20" w:leftChars="0" w:firstLineChars="0"/>
        <w:rPr>
          <w:rFonts w:ascii="宋体" w:hAnsi="宋体" w:cs="宋体"/>
          <w:color w:val="auto"/>
          <w:szCs w:val="21"/>
          <w:highlight w:val="none"/>
        </w:rPr>
      </w:pPr>
      <w:r>
        <w:rPr>
          <w:rFonts w:hint="eastAsia" w:ascii="宋体" w:hAnsi="宋体" w:cs="宋体"/>
          <w:color w:val="auto"/>
          <w:szCs w:val="21"/>
          <w:highlight w:val="none"/>
        </w:rPr>
        <w:t>使用空调或抽湿机除湿</w:t>
      </w:r>
      <w:r>
        <w:rPr>
          <w:rStyle w:val="32"/>
          <w:rFonts w:hint="eastAsia" w:ascii="Calibri" w:hAnsi="Calibri" w:cs="宋体"/>
          <w:color w:val="auto"/>
          <w:highlight w:val="none"/>
        </w:rPr>
        <w:t>，仓储</w:t>
      </w:r>
      <w:r>
        <w:rPr>
          <w:rFonts w:hint="eastAsia" w:ascii="宋体" w:hAnsi="宋体" w:cs="宋体"/>
          <w:color w:val="auto"/>
          <w:szCs w:val="21"/>
          <w:highlight w:val="none"/>
        </w:rPr>
        <w:t>环境</w:t>
      </w:r>
      <w:r>
        <w:rPr>
          <w:rStyle w:val="32"/>
          <w:rFonts w:hint="eastAsia" w:ascii="Calibri" w:hAnsi="Calibri" w:cs="宋体"/>
          <w:color w:val="auto"/>
          <w:highlight w:val="none"/>
        </w:rPr>
        <w:t>湿度不得超过85%</w:t>
      </w:r>
      <w:r>
        <w:rPr>
          <w:rFonts w:hint="eastAsia" w:ascii="宋体" w:hAnsi="宋体" w:cs="宋体"/>
          <w:color w:val="auto"/>
          <w:szCs w:val="21"/>
          <w:highlight w:val="none"/>
        </w:rPr>
        <w:t>。</w:t>
      </w:r>
    </w:p>
    <w:p w14:paraId="3A5ED203">
      <w:pPr>
        <w:widowControl/>
        <w:numPr>
          <w:ilvl w:val="0"/>
          <w:numId w:val="8"/>
        </w:numPr>
        <w:adjustRightInd w:val="0"/>
        <w:snapToGrid w:val="0"/>
        <w:spacing w:line="400" w:lineRule="atLeast"/>
        <w:ind w:left="20" w:leftChars="0" w:firstLineChars="0"/>
        <w:rPr>
          <w:rFonts w:ascii="宋体" w:hAnsi="宋体" w:cs="宋体"/>
          <w:color w:val="auto"/>
          <w:szCs w:val="21"/>
          <w:highlight w:val="none"/>
        </w:rPr>
      </w:pPr>
      <w:r>
        <w:rPr>
          <w:rFonts w:hint="eastAsia" w:ascii="宋体" w:hAnsi="宋体" w:cs="宋体"/>
          <w:color w:val="auto"/>
          <w:szCs w:val="21"/>
          <w:highlight w:val="none"/>
        </w:rPr>
        <w:t>仓库提供24小时园区监控及室内监控，有窗户的须安装防盗网，</w:t>
      </w:r>
      <w:r>
        <w:rPr>
          <w:rFonts w:hint="eastAsia"/>
          <w:color w:val="auto"/>
          <w:highlight w:val="none"/>
        </w:rPr>
        <w:t>仓库外围四周建有围墙，</w:t>
      </w:r>
      <w:r>
        <w:rPr>
          <w:rFonts w:hint="eastAsia" w:ascii="宋体" w:hAnsi="宋体" w:cs="宋体"/>
          <w:color w:val="auto"/>
          <w:szCs w:val="21"/>
          <w:highlight w:val="none"/>
        </w:rPr>
        <w:t>安排人员巡逻，</w:t>
      </w:r>
      <w:r>
        <w:rPr>
          <w:rFonts w:hint="eastAsia"/>
          <w:color w:val="auto"/>
          <w:highlight w:val="none"/>
        </w:rPr>
        <w:t>配备防毒防爆面罩</w:t>
      </w:r>
      <w:r>
        <w:rPr>
          <w:rFonts w:hint="eastAsia" w:ascii="宋体" w:hAnsi="宋体" w:cs="宋体"/>
          <w:color w:val="auto"/>
          <w:szCs w:val="21"/>
          <w:highlight w:val="none"/>
        </w:rPr>
        <w:t>等必要设备</w:t>
      </w:r>
      <w:r>
        <w:rPr>
          <w:rFonts w:hint="eastAsia"/>
          <w:color w:val="auto"/>
          <w:highlight w:val="none"/>
        </w:rPr>
        <w:t>。</w:t>
      </w:r>
    </w:p>
    <w:p w14:paraId="55B95EFF">
      <w:pPr>
        <w:widowControl/>
        <w:numPr>
          <w:ilvl w:val="0"/>
          <w:numId w:val="8"/>
        </w:numPr>
        <w:adjustRightInd w:val="0"/>
        <w:snapToGrid w:val="0"/>
        <w:spacing w:line="400" w:lineRule="atLeast"/>
        <w:ind w:left="20" w:leftChars="0" w:firstLineChars="0"/>
        <w:rPr>
          <w:rFonts w:ascii="宋体" w:hAnsi="宋体" w:cs="宋体"/>
          <w:color w:val="auto"/>
          <w:szCs w:val="21"/>
          <w:highlight w:val="none"/>
        </w:rPr>
      </w:pPr>
      <w:r>
        <w:rPr>
          <w:rFonts w:hint="eastAsia" w:ascii="宋体" w:hAnsi="宋体" w:cs="宋体"/>
          <w:color w:val="auto"/>
          <w:szCs w:val="21"/>
          <w:highlight w:val="none"/>
        </w:rPr>
        <w:t>投标人须配合采购人为了物资存放负责对仓库进行包括但不限于隔断、</w:t>
      </w:r>
      <w:r>
        <w:rPr>
          <w:rFonts w:hint="eastAsia" w:ascii="宋体" w:hAnsi="宋体" w:cs="宋体"/>
          <w:color w:val="auto"/>
          <w:highlight w:val="none"/>
        </w:rPr>
        <w:t>简单装修、改造</w:t>
      </w:r>
      <w:r>
        <w:rPr>
          <w:rFonts w:hint="eastAsia" w:ascii="宋体" w:hAnsi="宋体" w:cs="宋体"/>
          <w:color w:val="auto"/>
          <w:szCs w:val="21"/>
          <w:highlight w:val="none"/>
        </w:rPr>
        <w:t>等其他事项。</w:t>
      </w:r>
    </w:p>
    <w:p w14:paraId="47385A5D">
      <w:pPr>
        <w:widowControl/>
        <w:numPr>
          <w:ilvl w:val="0"/>
          <w:numId w:val="8"/>
        </w:numPr>
        <w:adjustRightInd w:val="0"/>
        <w:snapToGrid w:val="0"/>
        <w:spacing w:line="400" w:lineRule="atLeast"/>
        <w:ind w:left="20" w:leftChars="0" w:firstLineChars="0"/>
        <w:rPr>
          <w:rFonts w:ascii="宋体" w:hAnsi="宋体" w:cs="宋体"/>
          <w:color w:val="auto"/>
          <w:szCs w:val="21"/>
          <w:highlight w:val="none"/>
        </w:rPr>
      </w:pPr>
      <w:r>
        <w:rPr>
          <w:rFonts w:hint="eastAsia" w:ascii="宋体" w:hAnsi="宋体" w:cs="宋体"/>
          <w:color w:val="auto"/>
          <w:szCs w:val="21"/>
          <w:highlight w:val="none"/>
        </w:rPr>
        <w:t>投标人做好</w:t>
      </w:r>
      <w:r>
        <w:rPr>
          <w:rFonts w:hint="eastAsia" w:ascii="宋体" w:hAnsi="宋体" w:cs="宋体"/>
          <w:color w:val="auto"/>
          <w:szCs w:val="21"/>
          <w:highlight w:val="none"/>
          <w:lang w:val="en-US" w:eastAsia="zh-CN"/>
        </w:rPr>
        <w:t>出入库</w:t>
      </w:r>
      <w:r>
        <w:rPr>
          <w:rFonts w:hint="eastAsia" w:ascii="宋体" w:hAnsi="宋体" w:cs="宋体"/>
          <w:color w:val="auto"/>
          <w:szCs w:val="21"/>
          <w:highlight w:val="none"/>
        </w:rPr>
        <w:t>交接登记，物资搬离医院需有物资清单，出入库需办理登记手续，由双方签名确认并存档。清单登记项目包括但不限于以下事项：姓名、联系电话、仓储物的品类、数量、日期、摆放位置及其它必要项等。</w:t>
      </w:r>
    </w:p>
    <w:p w14:paraId="724B4A87">
      <w:pPr>
        <w:widowControl/>
        <w:numPr>
          <w:ilvl w:val="0"/>
          <w:numId w:val="8"/>
        </w:numPr>
        <w:snapToGrid w:val="0"/>
        <w:spacing w:line="400" w:lineRule="atLeast"/>
        <w:ind w:left="20" w:leftChars="0" w:firstLineChars="0"/>
        <w:rPr>
          <w:color w:val="auto"/>
          <w:highlight w:val="none"/>
        </w:rPr>
      </w:pPr>
      <w:r>
        <w:rPr>
          <w:rFonts w:hint="eastAsia" w:ascii="宋体" w:hAnsi="宋体" w:cs="宋体"/>
          <w:color w:val="auto"/>
          <w:szCs w:val="21"/>
          <w:highlight w:val="none"/>
        </w:rPr>
        <w:t>投标人应当按照约定及时对入库仓储物进行验收，确认</w:t>
      </w:r>
      <w:r>
        <w:rPr>
          <w:rFonts w:hint="eastAsia"/>
          <w:color w:val="auto"/>
          <w:highlight w:val="none"/>
        </w:rPr>
        <w:t>入库仓储物与交接登记清单一致。由投标人出具仓储单、入库单等凭证，凭证一式两份，双方各执1份。</w:t>
      </w:r>
    </w:p>
    <w:p w14:paraId="31003263">
      <w:pPr>
        <w:widowControl/>
        <w:numPr>
          <w:ilvl w:val="0"/>
          <w:numId w:val="8"/>
        </w:numPr>
        <w:adjustRightInd w:val="0"/>
        <w:snapToGrid w:val="0"/>
        <w:spacing w:line="400" w:lineRule="atLeast"/>
        <w:ind w:left="20" w:leftChars="0" w:firstLineChars="0"/>
        <w:rPr>
          <w:rFonts w:ascii="宋体" w:hAnsi="宋体" w:cs="宋体"/>
          <w:color w:val="auto"/>
          <w:szCs w:val="21"/>
          <w:highlight w:val="none"/>
        </w:rPr>
      </w:pPr>
      <w:r>
        <w:rPr>
          <w:rFonts w:hint="eastAsia" w:ascii="宋体" w:hAnsi="宋体" w:cs="宋体"/>
          <w:color w:val="auto"/>
          <w:szCs w:val="21"/>
          <w:highlight w:val="none"/>
        </w:rPr>
        <w:t>物资仓储入库后需根据采购人要求分类摆放，</w:t>
      </w:r>
      <w:r>
        <w:rPr>
          <w:rFonts w:hint="eastAsia" w:ascii="宋体" w:hAnsi="宋体" w:cs="宋体"/>
          <w:color w:val="auto"/>
          <w:szCs w:val="21"/>
          <w:highlight w:val="none"/>
          <w:shd w:val="clear" w:color="auto" w:fill="auto"/>
        </w:rPr>
        <w:t>非仓库工作人员未经许可不得进入库房</w:t>
      </w:r>
      <w:r>
        <w:rPr>
          <w:rFonts w:hint="eastAsia" w:ascii="宋体" w:hAnsi="宋体" w:cs="宋体"/>
          <w:color w:val="auto"/>
          <w:szCs w:val="21"/>
          <w:highlight w:val="none"/>
        </w:rPr>
        <w:t>。</w:t>
      </w:r>
    </w:p>
    <w:p w14:paraId="18FA27F8">
      <w:pPr>
        <w:widowControl/>
        <w:numPr>
          <w:ilvl w:val="0"/>
          <w:numId w:val="8"/>
        </w:numPr>
        <w:adjustRightInd/>
        <w:snapToGrid w:val="0"/>
        <w:spacing w:line="400" w:lineRule="atLeast"/>
        <w:ind w:left="20" w:leftChars="0" w:firstLine="420" w:firstLineChars="0"/>
        <w:rPr>
          <w:rFonts w:ascii="宋体" w:hAnsi="宋体" w:cs="宋体"/>
          <w:color w:val="auto"/>
          <w:szCs w:val="21"/>
          <w:highlight w:val="none"/>
        </w:rPr>
      </w:pPr>
      <w:r>
        <w:rPr>
          <w:rFonts w:hint="eastAsia" w:ascii="宋体" w:hAnsi="宋体" w:cs="宋体"/>
          <w:color w:val="auto"/>
          <w:szCs w:val="21"/>
          <w:highlight w:val="none"/>
        </w:rPr>
        <w:t>物资储存期间，投标人配合采购人及时做好物资装卸、搬运等工作，改善物资的存储搬运环境，提高物资的装卸效率</w:t>
      </w:r>
      <w:r>
        <w:rPr>
          <w:rFonts w:hint="eastAsia" w:ascii="宋体" w:hAnsi="宋体" w:cs="宋体"/>
          <w:color w:val="auto"/>
          <w:szCs w:val="21"/>
          <w:highlight w:val="none"/>
          <w:lang w:eastAsia="zh-CN"/>
        </w:rPr>
        <w:t>。</w:t>
      </w:r>
    </w:p>
    <w:p w14:paraId="16FDB4B1">
      <w:pPr>
        <w:widowControl/>
        <w:numPr>
          <w:ilvl w:val="0"/>
          <w:numId w:val="8"/>
        </w:numPr>
        <w:adjustRightInd w:val="0"/>
        <w:snapToGrid w:val="0"/>
        <w:spacing w:line="400" w:lineRule="atLeast"/>
        <w:ind w:left="20" w:leftChars="0" w:firstLineChars="0"/>
        <w:rPr>
          <w:rFonts w:hint="eastAsia" w:ascii="宋体" w:hAnsi="宋体" w:eastAsia="宋体" w:cs="宋体"/>
          <w:kern w:val="2"/>
          <w:sz w:val="24"/>
          <w:szCs w:val="24"/>
          <w:lang w:val="en-US" w:eastAsia="zh-CN" w:bidi="ar-SA"/>
        </w:rPr>
      </w:pPr>
      <w:r>
        <w:rPr>
          <w:rFonts w:hint="eastAsia" w:ascii="宋体" w:hAnsi="宋体" w:cs="宋体"/>
          <w:color w:val="auto"/>
          <w:szCs w:val="21"/>
          <w:highlight w:val="none"/>
        </w:rPr>
        <w:t>采购人将不定期进行仓储管理服务的监督与检查，投标人需无条件配合。</w:t>
      </w:r>
    </w:p>
    <w:p w14:paraId="019A01F9">
      <w:pPr>
        <w:widowControl/>
        <w:numPr>
          <w:ilvl w:val="0"/>
          <w:numId w:val="8"/>
        </w:numPr>
        <w:adjustRightInd w:val="0"/>
        <w:snapToGrid w:val="0"/>
        <w:spacing w:line="400" w:lineRule="atLeast"/>
        <w:ind w:left="20" w:leftChars="0" w:firstLineChars="0"/>
        <w:rPr>
          <w:rFonts w:hint="eastAsia" w:ascii="宋体" w:hAnsi="宋体" w:eastAsia="宋体" w:cs="宋体"/>
          <w:kern w:val="2"/>
          <w:sz w:val="24"/>
          <w:szCs w:val="24"/>
          <w:lang w:val="en-US" w:eastAsia="zh-CN" w:bidi="ar-SA"/>
        </w:rPr>
      </w:pPr>
      <w:r>
        <w:rPr>
          <w:rFonts w:hint="eastAsia" w:ascii="宋体" w:hAnsi="宋体" w:cs="宋体"/>
          <w:color w:val="auto"/>
          <w:szCs w:val="21"/>
          <w:highlight w:val="none"/>
        </w:rPr>
        <w:t>投标</w:t>
      </w:r>
      <w:r>
        <w:rPr>
          <w:rFonts w:hint="eastAsia"/>
          <w:color w:val="auto"/>
          <w:highlight w:val="none"/>
        </w:rPr>
        <w:t>人</w:t>
      </w:r>
      <w:r>
        <w:rPr>
          <w:color w:val="auto"/>
          <w:highlight w:val="none"/>
        </w:rPr>
        <w:t>发现入库仓储物有</w:t>
      </w:r>
      <w:r>
        <w:rPr>
          <w:rFonts w:hint="eastAsia"/>
          <w:color w:val="auto"/>
          <w:highlight w:val="none"/>
        </w:rPr>
        <w:t>异常情况</w:t>
      </w:r>
      <w:r>
        <w:rPr>
          <w:color w:val="auto"/>
          <w:highlight w:val="none"/>
        </w:rPr>
        <w:t>的，应当</w:t>
      </w:r>
      <w:r>
        <w:rPr>
          <w:rFonts w:hint="eastAsia"/>
          <w:color w:val="auto"/>
          <w:highlight w:val="none"/>
        </w:rPr>
        <w:t>及时通知采购人</w:t>
      </w:r>
      <w:r>
        <w:rPr>
          <w:rFonts w:hint="eastAsia"/>
          <w:color w:val="auto"/>
          <w:highlight w:val="none"/>
          <w:lang w:eastAsia="zh-CN"/>
        </w:rPr>
        <w:t>做出</w:t>
      </w:r>
      <w:r>
        <w:rPr>
          <w:color w:val="auto"/>
          <w:highlight w:val="none"/>
        </w:rPr>
        <w:t>必要的处置。</w:t>
      </w:r>
      <w:r>
        <w:rPr>
          <w:rFonts w:hint="eastAsia"/>
          <w:color w:val="auto"/>
          <w:highlight w:val="none"/>
        </w:rPr>
        <w:t>如</w:t>
      </w:r>
      <w:r>
        <w:rPr>
          <w:color w:val="auto"/>
          <w:highlight w:val="none"/>
        </w:rPr>
        <w:t>因情况紧急，</w:t>
      </w:r>
      <w:r>
        <w:rPr>
          <w:rFonts w:hint="eastAsia"/>
          <w:color w:val="auto"/>
          <w:highlight w:val="none"/>
        </w:rPr>
        <w:t>投标人</w:t>
      </w:r>
      <w:r>
        <w:rPr>
          <w:color w:val="auto"/>
          <w:highlight w:val="none"/>
        </w:rPr>
        <w:t>可以</w:t>
      </w:r>
      <w:r>
        <w:rPr>
          <w:rFonts w:hint="eastAsia"/>
          <w:color w:val="auto"/>
          <w:highlight w:val="none"/>
          <w:lang w:eastAsia="zh-CN"/>
        </w:rPr>
        <w:t>做出</w:t>
      </w:r>
      <w:r>
        <w:rPr>
          <w:color w:val="auto"/>
          <w:highlight w:val="none"/>
        </w:rPr>
        <w:t>必要的处置</w:t>
      </w:r>
      <w:r>
        <w:rPr>
          <w:rFonts w:hint="eastAsia" w:ascii="宋体" w:hAnsi="宋体" w:eastAsia="宋体" w:cs="宋体"/>
          <w:kern w:val="2"/>
          <w:sz w:val="24"/>
          <w:szCs w:val="24"/>
          <w:lang w:val="en-US" w:eastAsia="zh-CN" w:bidi="ar-SA"/>
        </w:rPr>
        <w:t>。</w:t>
      </w:r>
    </w:p>
    <w:p w14:paraId="656050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宋体" w:hAnsi="宋体" w:eastAsia="宋体"/>
          <w:b/>
          <w:bCs w:val="0"/>
          <w:sz w:val="24"/>
          <w:highlight w:val="none"/>
          <w:lang w:eastAsia="zh-CN"/>
        </w:rPr>
      </w:pPr>
      <w:r>
        <w:rPr>
          <w:rFonts w:hint="eastAsia" w:ascii="宋体" w:hAnsi="宋体" w:eastAsia="宋体" w:cs="Times New Roman"/>
          <w:b/>
          <w:bCs w:val="0"/>
          <w:kern w:val="2"/>
          <w:sz w:val="24"/>
          <w:szCs w:val="24"/>
          <w:lang w:val="en-US" w:eastAsia="zh-CN" w:bidi="ar-SA"/>
        </w:rPr>
        <w:t>4、</w:t>
      </w:r>
      <w:r>
        <w:rPr>
          <w:rFonts w:hint="eastAsia" w:ascii="宋体" w:hAnsi="宋体" w:eastAsia="宋体" w:cs="宋体"/>
          <w:b/>
          <w:sz w:val="24"/>
          <w:lang w:val="en-US" w:eastAsia="zh-CN"/>
        </w:rPr>
        <w:t>人员要求</w:t>
      </w:r>
      <w:r>
        <w:rPr>
          <w:rFonts w:hint="eastAsia" w:ascii="宋体" w:hAnsi="宋体" w:eastAsia="宋体"/>
          <w:b/>
          <w:bCs w:val="0"/>
          <w:sz w:val="24"/>
          <w:highlight w:val="none"/>
          <w:lang w:eastAsia="zh-CN"/>
        </w:rPr>
        <w:t>：</w:t>
      </w:r>
    </w:p>
    <w:p w14:paraId="029513BA">
      <w:pPr>
        <w:numPr>
          <w:ilvl w:val="0"/>
          <w:numId w:val="0"/>
        </w:numPr>
        <w:adjustRightInd w:val="0"/>
        <w:snapToGrid w:val="0"/>
        <w:spacing w:line="400" w:lineRule="atLeast"/>
        <w:ind w:left="0" w:leftChars="0" w:firstLine="420" w:firstLineChars="200"/>
        <w:rPr>
          <w:rFonts w:ascii="宋体" w:hAnsi="宋体" w:cs="宋体"/>
          <w:color w:val="auto"/>
          <w:szCs w:val="21"/>
          <w:highlight w:val="none"/>
        </w:rPr>
      </w:pPr>
      <w:r>
        <w:rPr>
          <w:rFonts w:hint="eastAsia" w:ascii="宋体" w:hAnsi="宋体" w:cs="宋体"/>
          <w:color w:val="auto"/>
          <w:kern w:val="2"/>
          <w:sz w:val="21"/>
          <w:szCs w:val="21"/>
          <w:lang w:val="en-US" w:eastAsia="zh-CN" w:bidi="ar-SA"/>
        </w:rPr>
        <w:t>1.</w:t>
      </w:r>
      <w:r>
        <w:rPr>
          <w:rFonts w:hint="eastAsia" w:ascii="宋体" w:hAnsi="宋体" w:cs="宋体"/>
          <w:color w:val="auto"/>
          <w:szCs w:val="21"/>
          <w:highlight w:val="none"/>
        </w:rPr>
        <w:t>至少安排2名仓储管理人员，负责开关仓库并做好物资登记及交接手续，保证物资全天24小时可以随时出入库。</w:t>
      </w:r>
    </w:p>
    <w:p w14:paraId="275452B7">
      <w:pPr>
        <w:numPr>
          <w:ilvl w:val="0"/>
          <w:numId w:val="0"/>
        </w:numPr>
        <w:adjustRightInd w:val="0"/>
        <w:snapToGrid w:val="0"/>
        <w:spacing w:line="400" w:lineRule="atLeast"/>
        <w:ind w:left="0" w:leftChars="0" w:firstLine="420" w:firstLineChars="200"/>
        <w:rPr>
          <w:rFonts w:ascii="宋体" w:hAnsi="宋体" w:cs="宋体"/>
          <w:color w:val="auto"/>
          <w:szCs w:val="21"/>
          <w:highlight w:val="none"/>
        </w:rPr>
      </w:pPr>
      <w:r>
        <w:rPr>
          <w:rFonts w:hint="eastAsia" w:ascii="宋体" w:hAnsi="宋体" w:cs="宋体"/>
          <w:color w:val="auto"/>
          <w:kern w:val="2"/>
          <w:sz w:val="21"/>
          <w:szCs w:val="21"/>
          <w:lang w:val="en-US" w:eastAsia="zh-CN" w:bidi="ar-SA"/>
        </w:rPr>
        <w:t>2.</w:t>
      </w:r>
      <w:r>
        <w:rPr>
          <w:rFonts w:hint="eastAsia" w:ascii="宋体" w:hAnsi="宋体" w:cs="宋体"/>
          <w:color w:val="auto"/>
          <w:szCs w:val="21"/>
          <w:highlight w:val="none"/>
        </w:rPr>
        <w:t>投标人</w:t>
      </w:r>
      <w:r>
        <w:rPr>
          <w:rFonts w:hint="eastAsia" w:ascii="宋体" w:hAnsi="宋体" w:cs="宋体"/>
          <w:color w:val="auto"/>
          <w:szCs w:val="21"/>
          <w:highlight w:val="none"/>
          <w:lang w:val="zh-CN"/>
        </w:rPr>
        <w:t>应保持岗位工作人员的稳定性，不得随意调换岗位人员，因工作</w:t>
      </w:r>
      <w:r>
        <w:rPr>
          <w:rFonts w:hint="eastAsia" w:ascii="宋体" w:hAnsi="宋体" w:cs="宋体"/>
          <w:color w:val="auto"/>
          <w:szCs w:val="21"/>
          <w:highlight w:val="none"/>
        </w:rPr>
        <w:t>安排需</w:t>
      </w:r>
      <w:r>
        <w:rPr>
          <w:rFonts w:hint="eastAsia" w:ascii="宋体" w:hAnsi="宋体" w:cs="宋体"/>
          <w:color w:val="auto"/>
          <w:szCs w:val="21"/>
          <w:highlight w:val="none"/>
          <w:lang w:val="zh-CN"/>
        </w:rPr>
        <w:t>调整时，须征得采购</w:t>
      </w:r>
      <w:r>
        <w:rPr>
          <w:rFonts w:hint="eastAsia" w:ascii="宋体" w:hAnsi="宋体" w:cs="宋体"/>
          <w:color w:val="auto"/>
          <w:szCs w:val="21"/>
          <w:highlight w:val="none"/>
        </w:rPr>
        <w:t>人</w:t>
      </w:r>
      <w:r>
        <w:rPr>
          <w:rFonts w:hint="eastAsia" w:ascii="宋体" w:hAnsi="宋体" w:cs="宋体"/>
          <w:color w:val="auto"/>
          <w:szCs w:val="21"/>
          <w:highlight w:val="none"/>
          <w:lang w:val="zh-CN"/>
        </w:rPr>
        <w:t>同意</w:t>
      </w:r>
      <w:r>
        <w:rPr>
          <w:rFonts w:hint="eastAsia" w:ascii="宋体" w:hAnsi="宋体" w:cs="宋体"/>
          <w:color w:val="auto"/>
          <w:szCs w:val="21"/>
          <w:highlight w:val="none"/>
        </w:rPr>
        <w:t>并提前1个月通知。</w:t>
      </w:r>
    </w:p>
    <w:p w14:paraId="7E47F291">
      <w:pPr>
        <w:numPr>
          <w:ilvl w:val="0"/>
          <w:numId w:val="0"/>
        </w:numPr>
        <w:adjustRightInd w:val="0"/>
        <w:snapToGrid w:val="0"/>
        <w:spacing w:line="400" w:lineRule="atLeast"/>
        <w:ind w:left="0" w:leftChars="0" w:firstLine="420" w:firstLineChars="200"/>
        <w:rPr>
          <w:rFonts w:ascii="宋体" w:hAnsi="宋体" w:cs="宋体"/>
          <w:color w:val="auto"/>
          <w:szCs w:val="21"/>
          <w:highlight w:val="none"/>
        </w:rPr>
      </w:pPr>
      <w:r>
        <w:rPr>
          <w:rFonts w:hint="eastAsia" w:ascii="宋体" w:hAnsi="宋体" w:cs="宋体"/>
          <w:color w:val="auto"/>
          <w:kern w:val="2"/>
          <w:sz w:val="21"/>
          <w:szCs w:val="21"/>
          <w:lang w:val="en-US" w:eastAsia="zh-CN" w:bidi="ar-SA"/>
        </w:rPr>
        <w:t>3.</w:t>
      </w:r>
      <w:r>
        <w:rPr>
          <w:rFonts w:hint="eastAsia" w:ascii="宋体" w:hAnsi="宋体" w:cs="宋体"/>
          <w:color w:val="auto"/>
          <w:szCs w:val="21"/>
          <w:highlight w:val="none"/>
        </w:rPr>
        <w:t>仓储人员具有仓储管理相关经验且熟悉安全生产、消防、治安、环保、卫生等管理规定或标准，</w:t>
      </w:r>
      <w:r>
        <w:rPr>
          <w:rFonts w:hint="eastAsia" w:asciiTheme="minorEastAsia" w:hAnsiTheme="minorEastAsia" w:cstheme="minorEastAsia"/>
          <w:color w:val="auto"/>
          <w:szCs w:val="21"/>
          <w:highlight w:val="none"/>
          <w:shd w:val="clear" w:color="auto" w:fill="FFFFFF"/>
        </w:rPr>
        <w:t>认真负责，细致耐心。</w:t>
      </w:r>
    </w:p>
    <w:p w14:paraId="4EA9B3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szCs w:val="21"/>
          <w:highlight w:val="none"/>
          <w:shd w:val="clear" w:color="auto" w:fill="FFFFFF"/>
          <w:lang w:val="en-US" w:eastAsia="zh-CN"/>
        </w:rPr>
        <w:t>4.</w:t>
      </w:r>
      <w:r>
        <w:rPr>
          <w:rFonts w:hint="eastAsia" w:asciiTheme="minorEastAsia" w:hAnsiTheme="minorEastAsia" w:cstheme="minorEastAsia"/>
          <w:color w:val="auto"/>
          <w:szCs w:val="21"/>
          <w:highlight w:val="none"/>
          <w:shd w:val="clear" w:color="auto" w:fill="FFFFFF"/>
        </w:rPr>
        <w:t>服务期间服从采购人工作管理要求；采购人有权对工作不称职的人员提出更换要求，投标人应无条件更换</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firstLine="42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rPr>
        <w:t>自合同签订之日起1年。本项目为长期服务类项目，第一年为本次招标的中标服务期限，采购人可根据项目需求和中标供应商的履约情况确定合同期限是否续签，但最长不超过三十六个月，合同一年一签</w:t>
      </w:r>
    </w:p>
    <w:p w14:paraId="56C53118">
      <w:pPr>
        <w:keepNext w:val="0"/>
        <w:keepLines w:val="0"/>
        <w:pageBreakBefore w:val="0"/>
        <w:numPr>
          <w:ilvl w:val="0"/>
          <w:numId w:val="9"/>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Theme="minorEastAsia" w:hAnsiTheme="minorEastAsia" w:eastAsiaTheme="minorEastAsia" w:cstheme="minorEastAsia"/>
          <w:b w:val="0"/>
          <w:bCs w:val="0"/>
          <w:color w:val="auto"/>
          <w:sz w:val="24"/>
        </w:rPr>
        <w:t>中山大学附属第八医院（深圳福田)指定地点</w:t>
      </w:r>
    </w:p>
    <w:p w14:paraId="50AACA16">
      <w:pPr>
        <w:keepNext w:val="0"/>
        <w:keepLines w:val="0"/>
        <w:pageBreakBefore w:val="0"/>
        <w:numPr>
          <w:ilvl w:val="0"/>
          <w:numId w:val="9"/>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17F0AACF">
      <w:pPr>
        <w:keepNext w:val="0"/>
        <w:keepLines w:val="0"/>
        <w:pageBreakBefore w:val="0"/>
        <w:kinsoku/>
        <w:wordWrap/>
        <w:overflowPunct/>
        <w:topLinePunct w:val="0"/>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imes New Roman" w:hAnsi="Times New Roman" w:eastAsia="宋体" w:cs="Times New Roman"/>
          <w:bCs/>
          <w:sz w:val="24"/>
          <w:highlight w:val="none"/>
        </w:rPr>
        <w:t>投标货币为人民币，投标总价必须是完成该项目的一切费用总和，包括场地改造费用、仓储费、保管费、人员管理、水电杂费、物业费、国家规定的各项税费等全部费用。一经中标，投标单价报价作为中标单位签订的合同单价金额，合同期限内的合同单价金额不</w:t>
      </w:r>
      <w:r>
        <w:rPr>
          <w:rFonts w:hint="eastAsia" w:eastAsia="宋体" w:cs="Times New Roman"/>
          <w:bCs/>
          <w:sz w:val="24"/>
          <w:highlight w:val="none"/>
          <w:lang w:eastAsia="zh-CN"/>
        </w:rPr>
        <w:t>做</w:t>
      </w:r>
      <w:r>
        <w:rPr>
          <w:rFonts w:hint="eastAsia" w:ascii="Times New Roman" w:hAnsi="Times New Roman" w:eastAsia="宋体" w:cs="Times New Roman"/>
          <w:bCs/>
          <w:sz w:val="24"/>
          <w:highlight w:val="none"/>
        </w:rPr>
        <w:t>调整；投标报价不得超出采购人限价或预算，超过对应限价或预算的，将作为废标处理</w:t>
      </w:r>
      <w:r>
        <w:rPr>
          <w:rFonts w:hint="eastAsia" w:ascii="Times New Roman" w:hAnsi="Times New Roman" w:eastAsia="宋体" w:cs="Times New Roman"/>
          <w:bCs/>
          <w:sz w:val="24"/>
          <w:highlight w:val="none"/>
          <w:lang w:eastAsia="zh-CN"/>
        </w:rPr>
        <w:t>。</w:t>
      </w:r>
    </w:p>
    <w:p w14:paraId="1BD253B4">
      <w:pPr>
        <w:keepNext w:val="0"/>
        <w:keepLines w:val="0"/>
        <w:pageBreakBefore w:val="0"/>
        <w:numPr>
          <w:ilvl w:val="0"/>
          <w:numId w:val="9"/>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5F632806">
      <w:pPr>
        <w:keepNext w:val="0"/>
        <w:keepLines w:val="0"/>
        <w:pageBreakBefore w:val="0"/>
        <w:kinsoku/>
        <w:wordWrap/>
        <w:overflowPunct/>
        <w:topLinePunct w:val="0"/>
        <w:bidi w:val="0"/>
        <w:adjustRightInd w:val="0"/>
        <w:snapToGrid w:val="0"/>
        <w:spacing w:line="240" w:lineRule="auto"/>
        <w:ind w:firstLine="480" w:firstLineChars="200"/>
        <w:textAlignment w:val="auto"/>
        <w:rPr>
          <w:rFonts w:hint="eastAsia" w:ascii="Times New Roman" w:hAnsi="Times New Roman" w:eastAsia="宋体" w:cs="Times New Roman"/>
          <w:bCs/>
          <w:sz w:val="24"/>
          <w:highlight w:val="none"/>
        </w:rPr>
      </w:pPr>
      <w:r>
        <w:rPr>
          <w:rFonts w:hint="eastAsia" w:ascii="Times New Roman" w:hAnsi="Times New Roman" w:eastAsia="宋体" w:cs="Times New Roman"/>
          <w:bCs/>
          <w:sz w:val="24"/>
          <w:highlight w:val="none"/>
          <w:lang w:val="en-US" w:eastAsia="zh-CN"/>
        </w:rPr>
        <w:t>1.</w:t>
      </w:r>
      <w:r>
        <w:rPr>
          <w:rFonts w:hint="eastAsia" w:ascii="Times New Roman" w:hAnsi="Times New Roman" w:eastAsia="宋体" w:cs="Times New Roman"/>
          <w:bCs/>
          <w:sz w:val="24"/>
          <w:highlight w:val="none"/>
        </w:rPr>
        <w:t>合同签订后三个工作日内，中标人将采购合同总价10%的履约保证金汇入采购人指定账户，用于补偿采购人因中标人不履行/不妥善履行合同约定义务而蒙受的损失，如中标人不履行/不妥善履行合同约定义务的，采购人有权直接从履约保证金中扣除相应违约金/损失赔偿款项。如果在合同签订后至中标人履行完毕合同约定的义务事项之内未发生中标人不履行或不妥善履行合同约定义务的情况，在中标人履行完毕合同约定的义务事项后，中标人向采购人提供完整资料到达采购人财务之日起</w:t>
      </w:r>
      <w:r>
        <w:rPr>
          <w:rFonts w:hint="eastAsia" w:eastAsia="宋体" w:cs="Times New Roman"/>
          <w:bCs/>
          <w:sz w:val="24"/>
          <w:highlight w:val="none"/>
          <w:lang w:val="en-US" w:eastAsia="zh-CN"/>
        </w:rPr>
        <w:t>30</w:t>
      </w:r>
      <w:r>
        <w:rPr>
          <w:rFonts w:hint="eastAsia" w:ascii="Times New Roman" w:hAnsi="Times New Roman" w:eastAsia="宋体" w:cs="Times New Roman"/>
          <w:bCs/>
          <w:sz w:val="24"/>
          <w:highlight w:val="none"/>
        </w:rPr>
        <w:t>日内，采购人将履约保证金无息返还给中标人。</w:t>
      </w:r>
    </w:p>
    <w:p w14:paraId="4B3BECD8">
      <w:pPr>
        <w:keepNext w:val="0"/>
        <w:keepLines w:val="0"/>
        <w:pageBreakBefore w:val="0"/>
        <w:kinsoku/>
        <w:wordWrap/>
        <w:overflowPunct/>
        <w:topLinePunct w:val="0"/>
        <w:bidi w:val="0"/>
        <w:adjustRightInd w:val="0"/>
        <w:snapToGrid w:val="0"/>
        <w:spacing w:line="240" w:lineRule="auto"/>
        <w:ind w:firstLine="480" w:firstLineChars="200"/>
        <w:textAlignment w:val="auto"/>
        <w:rPr>
          <w:rFonts w:hint="eastAsia" w:asciiTheme="minorEastAsia" w:hAnsiTheme="minorEastAsia" w:eastAsiaTheme="minorEastAsia" w:cstheme="minorEastAsia"/>
          <w:color w:val="auto"/>
          <w:kern w:val="0"/>
          <w:sz w:val="24"/>
        </w:rPr>
      </w:pPr>
      <w:r>
        <w:rPr>
          <w:rFonts w:hint="eastAsia" w:ascii="Times New Roman" w:hAnsi="Times New Roman" w:eastAsia="宋体" w:cs="Times New Roman"/>
          <w:bCs/>
          <w:sz w:val="24"/>
          <w:highlight w:val="none"/>
          <w:lang w:val="en-US" w:eastAsia="zh-CN"/>
        </w:rPr>
        <w:t>2</w:t>
      </w:r>
      <w:r>
        <w:rPr>
          <w:rFonts w:hint="eastAsia" w:ascii="Times New Roman" w:hAnsi="Times New Roman" w:eastAsia="宋体" w:cs="Times New Roman"/>
          <w:bCs/>
          <w:sz w:val="24"/>
          <w:highlight w:val="none"/>
        </w:rPr>
        <w:t>.仓储费用支付：采购人按月向投标人支付</w:t>
      </w:r>
      <w:r>
        <w:rPr>
          <w:rFonts w:hint="eastAsia" w:eastAsia="宋体" w:cs="Times New Roman"/>
          <w:bCs/>
          <w:sz w:val="24"/>
          <w:highlight w:val="none"/>
          <w:lang w:val="en-US" w:eastAsia="zh-CN"/>
        </w:rPr>
        <w:t>仓储</w:t>
      </w:r>
      <w:r>
        <w:rPr>
          <w:rFonts w:hint="eastAsia" w:ascii="Times New Roman" w:hAnsi="Times New Roman" w:eastAsia="宋体" w:cs="Times New Roman"/>
          <w:bCs/>
          <w:sz w:val="24"/>
          <w:highlight w:val="none"/>
        </w:rPr>
        <w:t>费（据实结算），每月</w:t>
      </w:r>
      <w:r>
        <w:rPr>
          <w:rFonts w:hint="eastAsia" w:eastAsia="宋体" w:cs="Times New Roman"/>
          <w:bCs/>
          <w:sz w:val="24"/>
          <w:highlight w:val="none"/>
          <w:lang w:val="en-US" w:eastAsia="zh-CN"/>
        </w:rPr>
        <w:t>仓储费用</w:t>
      </w:r>
      <w:r>
        <w:rPr>
          <w:rFonts w:hint="eastAsia" w:ascii="Times New Roman" w:hAnsi="Times New Roman" w:eastAsia="宋体" w:cs="Times New Roman"/>
          <w:bCs/>
          <w:sz w:val="24"/>
          <w:highlight w:val="none"/>
        </w:rPr>
        <w:t>的结算金额须为采购人与</w:t>
      </w:r>
      <w:r>
        <w:rPr>
          <w:rFonts w:hint="eastAsia" w:eastAsia="宋体" w:cs="Times New Roman"/>
          <w:bCs/>
          <w:sz w:val="24"/>
          <w:highlight w:val="none"/>
          <w:lang w:val="en-US" w:eastAsia="zh-CN"/>
        </w:rPr>
        <w:t>中</w:t>
      </w:r>
      <w:r>
        <w:rPr>
          <w:rFonts w:hint="eastAsia" w:ascii="Times New Roman" w:hAnsi="Times New Roman" w:eastAsia="宋体" w:cs="Times New Roman"/>
          <w:bCs/>
          <w:sz w:val="24"/>
          <w:highlight w:val="none"/>
        </w:rPr>
        <w:t>标人双方一致确认后的金额。</w:t>
      </w:r>
    </w:p>
    <w:p w14:paraId="1301CD8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bCs/>
          <w:sz w:val="24"/>
        </w:rPr>
      </w:pPr>
      <w:r>
        <w:rPr>
          <w:rFonts w:hint="eastAsia" w:ascii="宋体" w:hAnsi="宋体"/>
          <w:b/>
          <w:bCs w:val="0"/>
          <w:sz w:val="24"/>
        </w:rPr>
        <w:t>（</w:t>
      </w:r>
      <w:r>
        <w:rPr>
          <w:rFonts w:hint="eastAsia" w:ascii="宋体" w:hAnsi="宋体"/>
          <w:b/>
          <w:bCs w:val="0"/>
          <w:sz w:val="24"/>
          <w:lang w:val="en-US" w:eastAsia="zh-CN"/>
        </w:rPr>
        <w:t>五</w:t>
      </w:r>
      <w:r>
        <w:rPr>
          <w:rFonts w:hint="eastAsia" w:ascii="宋体" w:hAnsi="宋体"/>
          <w:b/>
          <w:bCs w:val="0"/>
          <w:sz w:val="24"/>
        </w:rPr>
        <w:t>）违约责任</w:t>
      </w:r>
    </w:p>
    <w:p w14:paraId="37E7C4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rPr>
        <w:t>1.中标人须根据采购文件要求提供服务，若因中标人方面原因导致项目无法进行而给采购人造成损失的，中标人应当承担一切经济及法律责任。</w:t>
      </w:r>
    </w:p>
    <w:p w14:paraId="2690E1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rPr>
        <w:t>2.中标人必须遵守国家法律、法规和深圳市有关条例规定，项目服务内容不得有违法行为，如有违反法律法规或有关条例的规定，由此产生的一切责任由中标人承担。</w:t>
      </w:r>
    </w:p>
    <w:p w14:paraId="20AEF8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rPr>
        <w:t>3.中标人未按合同约定时间提供服务的，采购人付款的时间相应顺延。中标人须向采购人支付合同总金额30%的违约金。</w:t>
      </w:r>
    </w:p>
    <w:p w14:paraId="3CD47C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rPr>
        <w:t>4.若因非不可抗拒原因（或社区居民原因）导致合同无法履行的，采购人可单方解除合同，中标人须双倍返还采购人保证金。</w:t>
      </w:r>
    </w:p>
    <w:p w14:paraId="6660A6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rPr>
        <w:t>5.合同期限内，中标人应保证采购人财产安全，出现任何意外事故，中标人应第一时间组织人员进行处理，并通知采购人指定联系人。若意外事故的发生是因中标人所致，则中标人应对本次事故所造成的人员人身伤亡或财产损失，承担全部赔偿责任。若由于采购人个人的行为，导致安全事故或者人身安全的，由法律认定双方责任。合同期间，防火防盗责任在于中标人，因火因盗造成的一切损失由中标人承担。</w:t>
      </w:r>
    </w:p>
    <w:p w14:paraId="117110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20" w:leftChars="0" w:firstLine="400" w:firstLineChars="0"/>
        <w:textAlignment w:val="auto"/>
        <w:rPr>
          <w:rFonts w:hint="eastAsia" w:ascii="Times New Roman" w:hAnsi="宋体" w:eastAsia="宋体" w:cs="Times New Roman"/>
          <w:sz w:val="24"/>
          <w:highlight w:val="none"/>
        </w:rPr>
      </w:pPr>
      <w:r>
        <w:rPr>
          <w:rFonts w:hint="eastAsia" w:ascii="Times New Roman" w:hAnsi="宋体" w:eastAsia="宋体" w:cs="Times New Roman"/>
          <w:sz w:val="24"/>
          <w:highlight w:val="none"/>
        </w:rPr>
        <w:t>6.合同期内，如遇政府征收、拆迁该地段时，或因战争、自然灾害等不可抗力因素影响导致合同期内双方无法履行合同时，合同自行终止，双方互不承担责任，中标人全额返还保证金给采购人。</w:t>
      </w:r>
    </w:p>
    <w:p w14:paraId="508B3717">
      <w:pPr>
        <w:spacing w:line="360" w:lineRule="auto"/>
      </w:pPr>
    </w:p>
    <w:p w14:paraId="5D068B69">
      <w:pPr>
        <w:pStyle w:val="11"/>
      </w:pPr>
    </w:p>
    <w:p w14:paraId="074F738D"/>
    <w:p w14:paraId="2090A5D8">
      <w:pPr>
        <w:jc w:val="center"/>
      </w:pPr>
      <w:r>
        <w:rPr>
          <w:rFonts w:hint="eastAsia" w:ascii="方正小标宋简体" w:hAnsi="方正小标宋简体" w:eastAsia="方正小标宋简体" w:cs="方正小标宋简体"/>
          <w:kern w:val="0"/>
          <w:sz w:val="44"/>
          <w:szCs w:val="36"/>
        </w:rPr>
        <w:t>第三章 议价评审规则</w:t>
      </w:r>
    </w:p>
    <w:p w14:paraId="6837190C">
      <w:pPr>
        <w:pStyle w:val="3"/>
        <w:rPr>
          <w:rFonts w:ascii="宋体" w:hAnsi="宋体" w:eastAsia="宋体"/>
          <w:b/>
          <w:snapToGrid w:val="0"/>
          <w:kern w:val="0"/>
        </w:rPr>
      </w:pPr>
      <w:r>
        <w:rPr>
          <w:rFonts w:hint="eastAsia" w:ascii="宋体" w:hAnsi="宋体" w:eastAsia="宋体"/>
          <w:b/>
          <w:snapToGrid w:val="0"/>
          <w:kern w:val="0"/>
        </w:rPr>
        <w:t>一、开标</w:t>
      </w:r>
    </w:p>
    <w:p w14:paraId="24C8C970">
      <w:pPr>
        <w:adjustRightInd w:val="0"/>
        <w:spacing w:line="360" w:lineRule="auto"/>
        <w:rPr>
          <w:rFonts w:ascii="宋体" w:hAnsi="宋体" w:eastAsia="宋体"/>
          <w:snapToGrid w:val="0"/>
          <w:kern w:val="0"/>
        </w:rPr>
      </w:pPr>
      <w:r>
        <w:rPr>
          <w:rFonts w:hint="eastAsia" w:ascii="宋体" w:hAnsi="宋体" w:eastAsia="宋体"/>
          <w:snapToGrid w:val="0"/>
          <w:kern w:val="0"/>
        </w:rPr>
        <w:t>1、招标采购管理办公室在公示规定的时间和地点公开开标。</w:t>
      </w:r>
    </w:p>
    <w:p w14:paraId="45E48CA1">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14:paraId="6BF3C624">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14:paraId="02054220">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14:paraId="1EC68099">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14:paraId="40401F30">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14:paraId="76F9485B">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459B5AE">
      <w:pPr>
        <w:adjustRightInd w:val="0"/>
        <w:spacing w:line="360" w:lineRule="auto"/>
        <w:rPr>
          <w:rFonts w:ascii="宋体" w:hAnsi="宋体" w:eastAsia="宋体"/>
          <w:b/>
          <w:snapToGrid w:val="0"/>
          <w:kern w:val="0"/>
        </w:rPr>
      </w:pPr>
      <w:r>
        <w:rPr>
          <w:rFonts w:hint="eastAsia" w:ascii="宋体" w:hAnsi="宋体" w:eastAsia="宋体"/>
          <w:b/>
          <w:snapToGrid w:val="0"/>
          <w:kern w:val="0"/>
        </w:rPr>
        <w:t>三、对响应文件的审查和响应性的确定</w:t>
      </w:r>
    </w:p>
    <w:p w14:paraId="109BC056">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22E5AD7">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75FBB68">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14:paraId="7EA53B53">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14:paraId="23E1E859">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14:paraId="2C9B684A">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14:paraId="60FC9D12">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14:paraId="5622B299">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14:paraId="0C2A897A">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56E8C464">
      <w:pPr>
        <w:adjustRightInd w:val="0"/>
        <w:spacing w:line="360" w:lineRule="auto"/>
        <w:rPr>
          <w:rFonts w:ascii="宋体" w:hAnsi="宋体" w:eastAsia="宋体"/>
          <w:snapToGrid w:val="0"/>
          <w:kern w:val="0"/>
        </w:rPr>
      </w:pPr>
      <w:bookmarkStart w:id="0" w:name="_Hlk135152058"/>
      <w:r>
        <w:rPr>
          <w:rFonts w:hint="eastAsia" w:ascii="宋体" w:hAnsi="宋体" w:eastAsia="宋体"/>
          <w:snapToGrid w:val="0"/>
          <w:kern w:val="0"/>
        </w:rPr>
        <w:t>5、议价小组可以对采购文件的技术要求，根据实际需要作出改变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bookmarkEnd w:id="0"/>
    <w:p w14:paraId="3AC31D93">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6A5263CC">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14:paraId="75CB6950">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14:paraId="17942AF6">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2A40CD73">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14:paraId="13168375">
      <w:pPr>
        <w:adjustRightInd w:val="0"/>
        <w:spacing w:line="360" w:lineRule="auto"/>
        <w:rPr>
          <w:rFonts w:ascii="宋体" w:hAnsi="宋体" w:eastAsia="宋体"/>
          <w:snapToGrid w:val="0"/>
          <w:kern w:val="0"/>
        </w:rPr>
      </w:pPr>
      <w:r>
        <w:rPr>
          <w:rFonts w:hint="eastAsia" w:ascii="宋体" w:hAnsi="宋体" w:eastAsia="宋体"/>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61BDC857">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2、议价小组将只对确定为实质上响应的响应文件进行评价和比较。</w:t>
      </w:r>
    </w:p>
    <w:p w14:paraId="48BB8B38">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3、评审的基础为采购文件、各响应人响应文件、议价现场的评审记录。</w:t>
      </w:r>
    </w:p>
    <w:p w14:paraId="5DD8C67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6042F5B5">
      <w:pPr>
        <w:pStyle w:val="22"/>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03D9143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5、推荐中标候选人：议价小组结合最终方案的报价及报价是否与市场价格相匹配、质量、服务方案、质保期、售后服务等因素综合评判，共同择优推荐成交供应商或形成其他意见。</w:t>
      </w:r>
    </w:p>
    <w:p w14:paraId="39E97EA9">
      <w:pPr>
        <w:pStyle w:val="22"/>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p>
    <w:p w14:paraId="4DACFCD3">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14:paraId="006C05EB">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4B2BC4FD">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14:paraId="6930F5BA">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164FC161">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CBA73CB">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7F8E625">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2A20A82">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14:paraId="2D79FABD">
      <w:pPr>
        <w:rPr>
          <w:rFonts w:ascii="宋体" w:hAnsi="宋体" w:eastAsia="宋体"/>
          <w:snapToGrid w:val="0"/>
          <w:kern w:val="0"/>
        </w:rPr>
      </w:pPr>
      <w:r>
        <w:rPr>
          <w:rFonts w:hint="eastAsia" w:ascii="宋体" w:hAnsi="宋体" w:eastAsia="宋体"/>
          <w:snapToGrid w:val="0"/>
          <w:kern w:val="0"/>
        </w:rPr>
        <w:br w:type="page"/>
      </w:r>
    </w:p>
    <w:p w14:paraId="3B94F283">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5C285ADD">
      <w:pPr>
        <w:pStyle w:val="33"/>
        <w:ind w:firstLine="0" w:firstLineChars="0"/>
      </w:pPr>
    </w:p>
    <w:p w14:paraId="1332B0DF">
      <w:pPr>
        <w:pStyle w:val="33"/>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一、报名及报名的撤销</w:t>
      </w:r>
    </w:p>
    <w:p w14:paraId="1AB813A9">
      <w:pPr>
        <w:pStyle w:val="33"/>
        <w:ind w:firstLine="0" w:firstLineChars="0"/>
        <w:rPr>
          <w:rFonts w:ascii="宋体" w:hAnsi="宋体" w:eastAsia="宋体"/>
          <w:snapToGrid w:val="0"/>
          <w:szCs w:val="24"/>
        </w:rPr>
      </w:pPr>
      <w:r>
        <w:rPr>
          <w:rFonts w:hint="eastAsia" w:ascii="宋体" w:hAnsi="宋体" w:eastAsia="宋体"/>
          <w:snapToGrid w:val="0"/>
          <w:szCs w:val="24"/>
        </w:rPr>
        <w:t>（1）供应商需严格按照采购文件的格式和要求提供完整的报名资料，供招标采购管理办公室进行资料审核。如需补充资料，供应商应当按照要求补齐资料。</w:t>
      </w:r>
    </w:p>
    <w:p w14:paraId="22D6FA29">
      <w:pPr>
        <w:pStyle w:val="33"/>
        <w:ind w:firstLine="0" w:firstLineChars="0"/>
        <w:rPr>
          <w:rFonts w:ascii="宋体" w:hAnsi="宋体" w:eastAsia="宋体"/>
          <w:snapToGrid w:val="0"/>
          <w:szCs w:val="24"/>
        </w:rPr>
      </w:pPr>
      <w:r>
        <w:rPr>
          <w:rFonts w:hint="eastAsia" w:ascii="宋体" w:hAnsi="宋体"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C47C07A">
      <w:pPr>
        <w:pStyle w:val="33"/>
        <w:ind w:firstLine="0" w:firstLineChars="0"/>
        <w:rPr>
          <w:rFonts w:ascii="宋体" w:hAnsi="宋体" w:eastAsia="宋体"/>
          <w:snapToGrid w:val="0"/>
          <w:szCs w:val="24"/>
        </w:rPr>
      </w:pPr>
    </w:p>
    <w:p w14:paraId="57AFCA08">
      <w:pPr>
        <w:pStyle w:val="3"/>
      </w:pPr>
      <w:r>
        <w:rPr>
          <w:rFonts w:hint="eastAsia"/>
          <w:b/>
          <w:bCs/>
        </w:rPr>
        <w:t>二、响应文件的编写</w:t>
      </w:r>
    </w:p>
    <w:p w14:paraId="0DE67A36">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14:paraId="5DEB3345">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14:paraId="231ACD1D">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14:paraId="563B8C5A">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14:paraId="45844916">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响应文件应包括下列部分：《响应文件》、《开标一栏表》、《最终报价表》等采购文件和现场议价小组要求提供的所有文件。</w:t>
      </w:r>
    </w:p>
    <w:p w14:paraId="7EF4BC83">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14:paraId="0DF0E089">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14:paraId="6CE28D75">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14:paraId="4A59A95B">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响应报价应为到指定地点，以人民币为结算单位。</w:t>
      </w:r>
    </w:p>
    <w:p w14:paraId="6CC2D89B">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9FC9644">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14:paraId="3A1D6E2B">
      <w:pPr>
        <w:pStyle w:val="33"/>
        <w:ind w:firstLine="0" w:firstLineChars="0"/>
        <w:rPr>
          <w:rFonts w:eastAsia="宋体"/>
        </w:rPr>
      </w:pPr>
      <w:r>
        <w:rPr>
          <w:rFonts w:hint="eastAsia" w:ascii="宋体" w:hAnsi="宋体"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16183BB2">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14:paraId="3AB6C77F">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14:paraId="111036F2">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14:paraId="3618934B">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14:paraId="67D7729E">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14:paraId="4F551773">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14:paraId="0E7180E1">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14:paraId="3369F302">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14:paraId="029C6135">
      <w:pPr>
        <w:pStyle w:val="34"/>
      </w:pPr>
    </w:p>
    <w:p w14:paraId="4449DAB0">
      <w:pPr>
        <w:pStyle w:val="3"/>
      </w:pPr>
      <w:bookmarkStart w:id="1" w:name="q7"/>
      <w:bookmarkEnd w:id="1"/>
      <w:bookmarkStart w:id="2" w:name="_Toc2301"/>
      <w:r>
        <w:rPr>
          <w:rFonts w:hint="eastAsia"/>
          <w:b/>
          <w:bCs/>
        </w:rPr>
        <w:t>三、响应文件的递交</w:t>
      </w:r>
      <w:bookmarkEnd w:id="2"/>
    </w:p>
    <w:p w14:paraId="605760C3">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14:paraId="13280CFB">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14:paraId="0286C17E">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14:paraId="06B9BD1E">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14:paraId="1E98E02D">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14:paraId="69DCD243">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14:paraId="577B4093">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14:paraId="2E691CAC">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14:paraId="117DC116">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14:paraId="2065313A">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14:paraId="651E3571">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14:paraId="52F512CE">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14:paraId="1EDF521D">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14:paraId="785DDDE0">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14:paraId="4415D52F">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14:paraId="14A03AD4">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14:paraId="61FD86D1">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（2）响应供应商对响应文件修改的书面材料或撤销的通知应按本须规定进行.</w:t>
      </w:r>
    </w:p>
    <w:p w14:paraId="5629FBC8">
      <w:pPr>
        <w:tabs>
          <w:tab w:val="left" w:pos="0"/>
        </w:tabs>
        <w:adjustRightInd w:val="0"/>
        <w:spacing w:line="360" w:lineRule="auto"/>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23AD0B2A">
      <w:pPr>
        <w:pStyle w:val="33"/>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四、</w:t>
      </w:r>
      <w:r>
        <w:rPr>
          <w:rFonts w:hint="eastAsia" w:ascii="Times New Roman"/>
          <w:b/>
          <w:bCs/>
        </w:rPr>
        <w:t>议价评审现场答辩</w:t>
      </w:r>
    </w:p>
    <w:p w14:paraId="40920620">
      <w:pPr>
        <w:pStyle w:val="33"/>
        <w:ind w:firstLine="0" w:firstLineChars="0"/>
        <w:rPr>
          <w:rFonts w:ascii="宋体" w:hAnsi="宋体" w:eastAsia="宋体"/>
          <w:snapToGrid w:val="0"/>
          <w:szCs w:val="24"/>
        </w:rPr>
      </w:pPr>
      <w:r>
        <w:rPr>
          <w:rFonts w:hint="eastAsia" w:ascii="宋体" w:hAnsi="宋体" w:eastAsia="宋体"/>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3D01D87C">
      <w:pPr>
        <w:pStyle w:val="33"/>
        <w:ind w:firstLine="0" w:firstLineChars="0"/>
        <w:rPr>
          <w:rFonts w:ascii="宋体" w:hAnsi="宋体" w:eastAsia="宋体"/>
          <w:snapToGrid w:val="0"/>
          <w:szCs w:val="24"/>
        </w:rPr>
      </w:pPr>
      <w:r>
        <w:rPr>
          <w:rFonts w:hint="eastAsia" w:ascii="宋体" w:hAnsi="宋体" w:eastAsia="宋体"/>
          <w:snapToGrid w:val="0"/>
          <w:szCs w:val="24"/>
        </w:rPr>
        <w:t>（2）响应供应商应当与议价小组进行有效的谈判，授权人不得拒绝议价小组提出的多次谈判要求。</w:t>
      </w:r>
    </w:p>
    <w:p w14:paraId="0ADAE53E">
      <w:pPr>
        <w:pStyle w:val="33"/>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五、视为响应供应商串通，其投标无效的情况</w:t>
      </w:r>
    </w:p>
    <w:p w14:paraId="0A9926FC">
      <w:pPr>
        <w:pStyle w:val="33"/>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（1）不同响应供应商的响应文件由同一单位或者个人编制；</w:t>
      </w:r>
    </w:p>
    <w:p w14:paraId="30795283">
      <w:pPr>
        <w:pStyle w:val="33"/>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（2）不同响应供应商委托同一单位或者个人办理投标事宜；</w:t>
      </w:r>
    </w:p>
    <w:p w14:paraId="395F3193">
      <w:pPr>
        <w:pStyle w:val="33"/>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（3）不同响应供应商的响应文件载明的项目管理成员或者联系人员为同一人；</w:t>
      </w:r>
    </w:p>
    <w:p w14:paraId="13FDA0E8">
      <w:pPr>
        <w:pStyle w:val="33"/>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（4）不同响应供应商的响应文件异常一致或者投标报价呈规律性差异；</w:t>
      </w:r>
    </w:p>
    <w:p w14:paraId="0412A938">
      <w:pPr>
        <w:pStyle w:val="33"/>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（5）不同响应供应商的响应文件相互混装；</w:t>
      </w:r>
    </w:p>
    <w:p w14:paraId="5AF28104">
      <w:pPr>
        <w:pStyle w:val="33"/>
        <w:ind w:firstLine="0" w:firstLineChars="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　（6）不同响应供应商的资金从同一单位或者个人的账户转出。</w:t>
      </w:r>
    </w:p>
    <w:p w14:paraId="244C4EB8">
      <w:pPr>
        <w:pStyle w:val="33"/>
        <w:ind w:firstLine="211" w:firstLineChars="100"/>
        <w:rPr>
          <w:rFonts w:asciiTheme="majorHAnsi" w:hAnsiTheme="majorHAnsi" w:eastAsiaTheme="majorEastAsia" w:cstheme="majorBidi"/>
          <w:b/>
          <w:bCs/>
          <w:kern w:val="2"/>
          <w:szCs w:val="24"/>
        </w:rPr>
      </w:pPr>
      <w:r>
        <w:rPr>
          <w:rFonts w:hint="eastAsia" w:asciiTheme="majorHAnsi" w:hAnsiTheme="majorHAnsi" w:eastAsiaTheme="majorEastAsia" w:cstheme="majorBidi"/>
          <w:b/>
          <w:bCs/>
          <w:kern w:val="2"/>
          <w:szCs w:val="24"/>
        </w:rPr>
        <w:t>（7）被财政部门等其他主管部门认定为串标的其他情形。</w:t>
      </w:r>
    </w:p>
    <w:p w14:paraId="49BA77C3">
      <w:pPr>
        <w:pStyle w:val="11"/>
      </w:pPr>
      <w:r>
        <w:rPr>
          <w:rFonts w:hint="eastAsia" w:asciiTheme="majorHAnsi" w:hAnsiTheme="majorHAnsi" w:eastAsiaTheme="majorEastAsia" w:cstheme="majorBidi"/>
          <w:b/>
          <w:bCs/>
          <w:kern w:val="2"/>
          <w:szCs w:val="24"/>
        </w:rPr>
        <w:t>一经发现，立即取消供应商资格，纳入我院不诚信名单。</w:t>
      </w: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3" w:name="_Toc435115056"/>
      <w:bookmarkStart w:id="4" w:name="_Toc435514851"/>
      <w:bookmarkStart w:id="5" w:name="_Toc22206"/>
      <w:bookmarkStart w:id="6" w:name="_Toc57128626"/>
      <w:bookmarkStart w:id="7" w:name="_Toc24338"/>
      <w:bookmarkStart w:id="8" w:name="_Toc8307306"/>
      <w:bookmarkStart w:id="9" w:name="_Toc9128_WPSOffice_Level1"/>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1"/>
        <w:rPr>
          <w:rFonts w:eastAsia="方正小标宋简体"/>
          <w:kern w:val="0"/>
          <w:sz w:val="44"/>
          <w:szCs w:val="36"/>
        </w:rPr>
      </w:pPr>
    </w:p>
    <w:p w14:paraId="2AED19B6">
      <w:pPr>
        <w:rPr>
          <w:rFonts w:eastAsia="方正小标宋简体"/>
          <w:kern w:val="0"/>
          <w:sz w:val="44"/>
          <w:szCs w:val="36"/>
        </w:rPr>
      </w:pPr>
    </w:p>
    <w:p w14:paraId="399281C6">
      <w:pPr>
        <w:pStyle w:val="11"/>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w:t>
      </w:r>
      <w:r>
        <w:rPr>
          <w:rFonts w:hint="eastAsia" w:eastAsia="方正小标宋简体"/>
          <w:kern w:val="0"/>
          <w:sz w:val="44"/>
          <w:szCs w:val="36"/>
          <w:lang w:val="en-US" w:eastAsia="zh-CN"/>
        </w:rPr>
        <w:t>五</w:t>
      </w:r>
      <w:r>
        <w:rPr>
          <w:rFonts w:eastAsia="方正小标宋简体"/>
          <w:kern w:val="0"/>
          <w:sz w:val="44"/>
          <w:szCs w:val="36"/>
        </w:rPr>
        <w:t>章 投标文件格式</w:t>
      </w:r>
      <w:bookmarkEnd w:id="3"/>
      <w:bookmarkEnd w:id="4"/>
      <w:bookmarkEnd w:id="5"/>
      <w:bookmarkEnd w:id="6"/>
      <w:bookmarkEnd w:id="7"/>
      <w:bookmarkEnd w:id="8"/>
      <w:bookmarkEnd w:id="9"/>
    </w:p>
    <w:p w14:paraId="01505879">
      <w:pPr>
        <w:pStyle w:val="3"/>
        <w:ind w:left="420"/>
        <w:jc w:val="center"/>
        <w:rPr>
          <w:rFonts w:ascii="Times New Roman" w:hAnsi="Times New Roman" w:cs="Times New Roman"/>
          <w:sz w:val="30"/>
          <w:szCs w:val="30"/>
        </w:rPr>
      </w:pPr>
      <w:bookmarkStart w:id="10" w:name="_Toc8080"/>
      <w:bookmarkStart w:id="11" w:name="_Toc57128627"/>
      <w:bookmarkStart w:id="12" w:name="_Toc435514852"/>
      <w:bookmarkStart w:id="13" w:name="_Toc435515292"/>
      <w:bookmarkStart w:id="14" w:name="_Hlk126858767"/>
      <w:r>
        <w:rPr>
          <w:rFonts w:ascii="Times New Roman" w:hAnsi="Times New Roman" w:cs="Times New Roman"/>
          <w:sz w:val="30"/>
          <w:szCs w:val="30"/>
        </w:rPr>
        <w:t>投标文件包装封面参考</w:t>
      </w:r>
      <w:bookmarkEnd w:id="10"/>
      <w:bookmarkEnd w:id="11"/>
      <w:bookmarkEnd w:id="12"/>
      <w:bookmarkEnd w:id="13"/>
    </w:p>
    <w:bookmarkEnd w:id="14"/>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6</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0"/>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0"/>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0"/>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0"/>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0"/>
        </w:numPr>
        <w:adjustRightInd w:val="0"/>
        <w:spacing w:line="360" w:lineRule="auto"/>
        <w:rPr>
          <w:rFonts w:eastAsia="黑体"/>
          <w:bCs/>
          <w:sz w:val="28"/>
          <w:szCs w:val="28"/>
        </w:rPr>
      </w:pPr>
      <w:r>
        <w:rPr>
          <w:rFonts w:eastAsia="黑体"/>
          <w:bCs/>
          <w:sz w:val="28"/>
          <w:szCs w:val="28"/>
        </w:rPr>
        <w:t>实施方案</w:t>
      </w:r>
    </w:p>
    <w:p w14:paraId="5122C42D">
      <w:pPr>
        <w:numPr>
          <w:ilvl w:val="0"/>
          <w:numId w:val="10"/>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0"/>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0"/>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0"/>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0"/>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0"/>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10"/>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5"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5"/>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1"/>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1"/>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1"/>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6"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6"/>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327"/>
        <w:gridCol w:w="1200"/>
        <w:gridCol w:w="1512"/>
        <w:gridCol w:w="1557"/>
        <w:gridCol w:w="1604"/>
        <w:gridCol w:w="1454"/>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58"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1327"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00" w:type="dxa"/>
            <w:noWrap w:val="0"/>
            <w:vAlign w:val="center"/>
          </w:tcPr>
          <w:p w14:paraId="6FBF51B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宋体" w:hAnsi="宋体" w:cs="宋体"/>
                <w:b/>
                <w:bCs/>
                <w:color w:val="000000"/>
                <w:szCs w:val="21"/>
              </w:rPr>
            </w:pPr>
            <w:r>
              <w:rPr>
                <w:rFonts w:hint="eastAsia" w:ascii="宋体" w:hAnsi="宋体" w:cs="宋体"/>
                <w:b/>
                <w:bCs/>
                <w:color w:val="000000"/>
                <w:szCs w:val="21"/>
              </w:rPr>
              <w:t>数量</w:t>
            </w:r>
          </w:p>
          <w:p w14:paraId="38E9CF2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宋体" w:hAnsi="宋体" w:cs="宋体" w:eastAsiaTheme="minorEastAsia"/>
                <w:b/>
                <w:bCs/>
                <w:color w:val="000000"/>
                <w:szCs w:val="21"/>
                <w:lang w:val="en-US" w:eastAsia="zh-CN"/>
              </w:rPr>
            </w:pPr>
            <w:r>
              <w:rPr>
                <w:rFonts w:hint="eastAsia" w:ascii="宋体" w:hAnsi="宋体" w:cs="宋体"/>
                <w:b/>
                <w:bCs/>
                <w:color w:val="000000"/>
                <w:szCs w:val="21"/>
                <w:lang w:eastAsia="zh-CN"/>
              </w:rPr>
              <w:t>（</w:t>
            </w:r>
            <w:r>
              <w:rPr>
                <w:rFonts w:hint="eastAsia" w:ascii="宋体" w:hAnsi="宋体" w:cs="宋体"/>
                <w:b/>
                <w:bCs/>
                <w:color w:val="000000"/>
                <w:szCs w:val="21"/>
                <w:lang w:val="en-US" w:eastAsia="zh-CN"/>
              </w:rPr>
              <w:t>平方米</w:t>
            </w:r>
            <w:r>
              <w:rPr>
                <w:rFonts w:hint="eastAsia" w:ascii="宋体" w:hAnsi="宋体" w:cs="宋体"/>
                <w:b/>
                <w:bCs/>
                <w:color w:val="000000"/>
                <w:szCs w:val="21"/>
                <w:lang w:eastAsia="zh-CN"/>
              </w:rPr>
              <w:t>）</w:t>
            </w:r>
          </w:p>
        </w:tc>
        <w:tc>
          <w:tcPr>
            <w:tcW w:w="1512"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单价投标</w:t>
            </w:r>
            <w:r>
              <w:rPr>
                <w:rFonts w:hint="eastAsia" w:ascii="宋体" w:hAnsi="宋体" w:cs="宋体"/>
                <w:b/>
                <w:bCs/>
                <w:color w:val="000000"/>
                <w:szCs w:val="21"/>
              </w:rPr>
              <w:t>报价（元/平方米）</w:t>
            </w:r>
          </w:p>
        </w:tc>
        <w:tc>
          <w:tcPr>
            <w:tcW w:w="1557" w:type="dxa"/>
            <w:noWrap w:val="0"/>
            <w:vAlign w:val="center"/>
          </w:tcPr>
          <w:p w14:paraId="1F0F313D">
            <w:pPr>
              <w:widowControl/>
              <w:jc w:val="center"/>
              <w:textAlignment w:val="center"/>
              <w:rPr>
                <w:rFonts w:hint="eastAsia" w:ascii="宋体" w:hAnsi="宋体" w:cs="宋体"/>
                <w:b/>
                <w:bCs/>
                <w:color w:val="000000"/>
                <w:szCs w:val="21"/>
                <w:lang w:val="en-US" w:eastAsia="zh-CN"/>
              </w:rPr>
            </w:pPr>
            <w:r>
              <w:rPr>
                <w:rFonts w:hint="eastAsia" w:ascii="宋体" w:hAnsi="宋体" w:cs="宋体"/>
                <w:b/>
                <w:bCs/>
                <w:color w:val="000000"/>
                <w:szCs w:val="21"/>
                <w:lang w:val="en-US" w:eastAsia="zh-CN"/>
              </w:rPr>
              <w:t>月度投标报价</w:t>
            </w:r>
          </w:p>
          <w:p w14:paraId="7D0FBB0E">
            <w:pPr>
              <w:widowControl/>
              <w:jc w:val="center"/>
              <w:textAlignment w:val="center"/>
              <w:rPr>
                <w:rFonts w:hint="eastAsia" w:ascii="宋体" w:hAnsi="宋体" w:cs="宋体"/>
                <w:b/>
                <w:bCs/>
                <w:color w:val="000000"/>
                <w:szCs w:val="21"/>
                <w:lang w:val="en-US" w:eastAsia="zh-CN"/>
              </w:rPr>
            </w:pPr>
            <w:r>
              <w:rPr>
                <w:rFonts w:hint="eastAsia" w:ascii="宋体" w:hAnsi="宋体" w:cs="宋体"/>
                <w:b/>
                <w:bCs/>
                <w:color w:val="000000"/>
                <w:szCs w:val="21"/>
                <w:lang w:val="en-US" w:eastAsia="zh-CN"/>
              </w:rPr>
              <w:t>（万元/月）</w:t>
            </w:r>
          </w:p>
        </w:tc>
        <w:tc>
          <w:tcPr>
            <w:tcW w:w="1604"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454"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58" w:type="dxa"/>
            <w:noWrap w:val="0"/>
            <w:vAlign w:val="center"/>
          </w:tcPr>
          <w:p w14:paraId="3E3177E4">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327" w:type="dxa"/>
            <w:noWrap w:val="0"/>
            <w:vAlign w:val="center"/>
          </w:tcPr>
          <w:p w14:paraId="2C960FAB">
            <w:pPr>
              <w:widowControl/>
              <w:jc w:val="center"/>
              <w:textAlignment w:val="center"/>
              <w:rPr>
                <w:rFonts w:hint="default" w:ascii="宋体" w:hAnsi="宋体" w:cs="宋体" w:eastAsiaTheme="minorEastAsia"/>
                <w:color w:val="000000"/>
                <w:kern w:val="0"/>
                <w:sz w:val="18"/>
                <w:szCs w:val="18"/>
                <w:lang w:val="en-US" w:eastAsia="zh-CN"/>
              </w:rPr>
            </w:pPr>
            <w:r>
              <w:rPr>
                <w:rFonts w:hint="eastAsia" w:ascii="宋体" w:hAnsi="宋体" w:cs="宋体"/>
                <w:color w:val="000000"/>
                <w:kern w:val="0"/>
                <w:sz w:val="18"/>
                <w:szCs w:val="18"/>
                <w:lang w:val="en-US" w:eastAsia="zh-CN"/>
              </w:rPr>
              <w:t>租赁仓储仓库</w:t>
            </w:r>
          </w:p>
        </w:tc>
        <w:tc>
          <w:tcPr>
            <w:tcW w:w="1200" w:type="dxa"/>
            <w:noWrap w:val="0"/>
            <w:vAlign w:val="center"/>
          </w:tcPr>
          <w:p w14:paraId="633630D5">
            <w:pPr>
              <w:widowControl/>
              <w:jc w:val="center"/>
              <w:textAlignment w:val="center"/>
              <w:rPr>
                <w:rFonts w:hint="default" w:ascii="宋体" w:hAnsi="宋体" w:cs="宋体" w:eastAsiaTheme="minorEastAsia"/>
                <w:color w:val="000000"/>
                <w:kern w:val="0"/>
                <w:sz w:val="18"/>
                <w:szCs w:val="18"/>
                <w:lang w:val="en-US" w:eastAsia="zh-CN"/>
              </w:rPr>
            </w:pPr>
            <w:r>
              <w:rPr>
                <w:rFonts w:hint="eastAsia" w:ascii="宋体" w:hAnsi="宋体" w:cs="宋体"/>
                <w:color w:val="000000"/>
                <w:kern w:val="0"/>
                <w:sz w:val="18"/>
                <w:szCs w:val="18"/>
                <w:lang w:val="en-US" w:eastAsia="zh-CN"/>
              </w:rPr>
              <w:t>3000</w:t>
            </w:r>
          </w:p>
        </w:tc>
        <w:tc>
          <w:tcPr>
            <w:tcW w:w="1512" w:type="dxa"/>
            <w:noWrap w:val="0"/>
            <w:vAlign w:val="center"/>
          </w:tcPr>
          <w:p w14:paraId="7DF7A45B">
            <w:pPr>
              <w:widowControl/>
              <w:jc w:val="left"/>
              <w:textAlignment w:val="center"/>
            </w:pPr>
          </w:p>
        </w:tc>
        <w:tc>
          <w:tcPr>
            <w:tcW w:w="1557" w:type="dxa"/>
            <w:noWrap w:val="0"/>
            <w:vAlign w:val="center"/>
          </w:tcPr>
          <w:p w14:paraId="74D15EC7">
            <w:pPr>
              <w:widowControl/>
              <w:jc w:val="left"/>
              <w:textAlignment w:val="center"/>
            </w:pPr>
          </w:p>
        </w:tc>
        <w:tc>
          <w:tcPr>
            <w:tcW w:w="1604" w:type="dxa"/>
            <w:noWrap w:val="0"/>
            <w:vAlign w:val="center"/>
          </w:tcPr>
          <w:p w14:paraId="4F1934D6">
            <w:pPr>
              <w:widowControl/>
              <w:jc w:val="left"/>
              <w:textAlignment w:val="center"/>
              <w:rPr>
                <w:rFonts w:ascii="宋体" w:hAnsi="宋体" w:cs="宋体"/>
                <w:bCs/>
                <w:sz w:val="18"/>
                <w:szCs w:val="18"/>
              </w:rPr>
            </w:pPr>
          </w:p>
        </w:tc>
        <w:tc>
          <w:tcPr>
            <w:tcW w:w="1454" w:type="dxa"/>
            <w:noWrap w:val="0"/>
            <w:vAlign w:val="center"/>
          </w:tcPr>
          <w:p w14:paraId="513E5E06">
            <w:pPr>
              <w:widowControl/>
              <w:jc w:val="left"/>
              <w:textAlignment w:val="center"/>
              <w:rPr>
                <w:rFonts w:ascii="宋体" w:hAnsi="宋体" w:cs="宋体"/>
                <w:bCs/>
                <w:sz w:val="18"/>
                <w:szCs w:val="18"/>
              </w:rPr>
            </w:pPr>
            <w:r>
              <w:rPr>
                <w:rFonts w:hint="eastAsia" w:ascii="Times New Roman" w:hAnsi="Times New Roman" w:cs="Times New Roman"/>
                <w:vertAlign w:val="baseline"/>
                <w:lang w:val="en-US" w:eastAsia="zh-CN"/>
              </w:rPr>
              <w:t>按月据实结算，</w:t>
            </w:r>
            <w:r>
              <w:rPr>
                <w:rFonts w:hint="default"/>
                <w:vertAlign w:val="baseline"/>
                <w:lang w:val="en-US" w:eastAsia="zh-CN"/>
              </w:rPr>
              <w:t>含仓储、保管、</w:t>
            </w:r>
            <w:r>
              <w:rPr>
                <w:rFonts w:hint="eastAsia"/>
                <w:vertAlign w:val="baseline"/>
                <w:lang w:val="en-US" w:eastAsia="zh-CN"/>
              </w:rPr>
              <w:t>人员管理费、</w:t>
            </w:r>
            <w:r>
              <w:rPr>
                <w:rFonts w:hint="default"/>
                <w:vertAlign w:val="baseline"/>
                <w:lang w:val="en-US" w:eastAsia="zh-CN"/>
              </w:rPr>
              <w:t>税费等</w:t>
            </w: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2"/>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2"/>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2"/>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2"/>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2"/>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2"/>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2"/>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7" w:name="_Toc57128628"/>
      <w:r>
        <w:rPr>
          <w:rFonts w:eastAsia="宋体"/>
          <w:b/>
          <w:bCs/>
          <w:sz w:val="32"/>
          <w:szCs w:val="32"/>
        </w:rPr>
        <w:t>（四）营业执照等其他证明材料</w:t>
      </w:r>
      <w:r>
        <w:rPr>
          <w:rFonts w:eastAsia="方正小标宋_GBK"/>
          <w:bCs/>
          <w:sz w:val="32"/>
          <w:szCs w:val="32"/>
        </w:rPr>
        <w:t>（复印件或扫描件）</w:t>
      </w:r>
      <w:bookmarkEnd w:id="17"/>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2"/>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8" w:name="_Toc57128637"/>
      <w:r>
        <w:rPr>
          <w:rFonts w:eastAsia="宋体"/>
          <w:b/>
          <w:kern w:val="44"/>
          <w:sz w:val="32"/>
          <w:szCs w:val="32"/>
        </w:rPr>
        <w:t>（六）法定代表人证明书</w:t>
      </w:r>
      <w:bookmarkEnd w:id="18"/>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9" w:name="_Toc435514855"/>
      <w:bookmarkStart w:id="20" w:name="_Toc24650"/>
      <w:bookmarkStart w:id="21" w:name="_Toc275865606"/>
      <w:bookmarkStart w:id="22" w:name="_Toc57128632"/>
      <w:bookmarkStart w:id="23" w:name="_Toc43551529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4"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4"/>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3"/>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3"/>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9"/>
    <w:bookmarkEnd w:id="20"/>
    <w:bookmarkEnd w:id="21"/>
    <w:bookmarkEnd w:id="22"/>
    <w:bookmarkEnd w:id="23"/>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5" w:name="_Hlk126044986"/>
      <w:bookmarkStart w:id="26"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5"/>
    <w:bookmarkEnd w:id="26"/>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4"/>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4"/>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4"/>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4"/>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4"/>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4"/>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4"/>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4"/>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4"/>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4"/>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4"/>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7"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7"/>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8"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8"/>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7"/>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CC4BCD3-550F-452D-8803-59B1EBF777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6227591-F5D8-4512-8989-73A3A88FECE4}"/>
  </w:font>
  <w:font w:name="Cambria">
    <w:panose1 w:val="02040503050406030204"/>
    <w:charset w:val="00"/>
    <w:family w:val="roman"/>
    <w:pitch w:val="default"/>
    <w:sig w:usb0="E00006FF" w:usb1="420024FF" w:usb2="02000000" w:usb3="00000000" w:csb0="2000019F" w:csb1="00000000"/>
    <w:embedRegular r:id="rId3" w:fontKey="{10FA2659-DBAA-4645-B9EE-EE02B41F99A2}"/>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EE0FFA4B-30D1-4D4A-8A1E-4A89F1EF20EA}"/>
  </w:font>
  <w:font w:name="华文中宋">
    <w:panose1 w:val="02010600040101010101"/>
    <w:charset w:val="86"/>
    <w:family w:val="auto"/>
    <w:pitch w:val="default"/>
    <w:sig w:usb0="00000287" w:usb1="080F0000" w:usb2="00000000" w:usb3="00000000" w:csb0="0004009F" w:csb1="DFD70000"/>
    <w:embedRegular r:id="rId5" w:fontKey="{941EA8BB-36ED-4982-A57E-5A7C61315C98}"/>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6" w:fontKey="{B9BEEBE0-FBB8-4DD0-BDA2-D80EDDD8B97B}"/>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7" w:fontKey="{AF19C856-8C38-4DA5-BF4C-94D871147041}"/>
  </w:font>
  <w:font w:name="方正小标宋_GBK">
    <w:panose1 w:val="02000000000000000000"/>
    <w:charset w:val="86"/>
    <w:family w:val="script"/>
    <w:pitch w:val="default"/>
    <w:sig w:usb0="A00002BF" w:usb1="38CF7CFA" w:usb2="00082016" w:usb3="00000000" w:csb0="00040001" w:csb1="00000000"/>
    <w:embedRegular r:id="rId8" w:fontKey="{B5BBF417-4D34-4FF1-AA8C-3EFC3BEC57CE}"/>
  </w:font>
  <w:font w:name="楷体_GB2312">
    <w:panose1 w:val="02010609030101010101"/>
    <w:charset w:val="86"/>
    <w:family w:val="modern"/>
    <w:pitch w:val="default"/>
    <w:sig w:usb0="00000001" w:usb1="080E0000" w:usb2="00000000" w:usb3="00000000" w:csb0="00040000" w:csb1="00000000"/>
    <w:embedRegular r:id="rId9" w:fontKey="{E6A901FE-4C07-437C-8B6E-33ED7EA633E9}"/>
  </w:font>
  <w:font w:name="WPSEMBED4">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0BE19917"/>
    <w:multiLevelType w:val="singleLevel"/>
    <w:tmpl w:val="0BE19917"/>
    <w:lvl w:ilvl="0" w:tentative="0">
      <w:start w:val="1"/>
      <w:numFmt w:val="decimal"/>
      <w:suff w:val="nothing"/>
      <w:lvlText w:val="%1．"/>
      <w:lvlJc w:val="left"/>
      <w:pPr>
        <w:ind w:left="20" w:firstLine="400"/>
      </w:pPr>
      <w:rPr>
        <w:rFonts w:hint="default"/>
      </w:rPr>
    </w:lvl>
  </w:abstractNum>
  <w:abstractNum w:abstractNumId="7">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8">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5"/>
  </w:num>
  <w:num w:numId="3">
    <w:abstractNumId w:val="2"/>
  </w:num>
  <w:num w:numId="4">
    <w:abstractNumId w:val="1"/>
  </w:num>
  <w:num w:numId="5">
    <w:abstractNumId w:val="14"/>
  </w:num>
  <w:num w:numId="6">
    <w:abstractNumId w:val="3"/>
  </w:num>
  <w:num w:numId="7">
    <w:abstractNumId w:val="11"/>
  </w:num>
  <w:num w:numId="8">
    <w:abstractNumId w:val="6"/>
  </w:num>
  <w:num w:numId="9">
    <w:abstractNumId w:val="7"/>
  </w:num>
  <w:num w:numId="10">
    <w:abstractNumId w:val="8"/>
  </w:num>
  <w:num w:numId="11">
    <w:abstractNumId w:val="10"/>
  </w:num>
  <w:num w:numId="12">
    <w:abstractNumId w:val="9"/>
  </w:num>
  <w:num w:numId="13">
    <w:abstractNumId w:val="15"/>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3A1985"/>
    <w:rsid w:val="09776253"/>
    <w:rsid w:val="09955BB5"/>
    <w:rsid w:val="09D95150"/>
    <w:rsid w:val="09DE6830"/>
    <w:rsid w:val="0A023BD4"/>
    <w:rsid w:val="0A1353F6"/>
    <w:rsid w:val="0A263C68"/>
    <w:rsid w:val="0A680E39"/>
    <w:rsid w:val="0A9615EB"/>
    <w:rsid w:val="0AAD010A"/>
    <w:rsid w:val="0ABF7F0A"/>
    <w:rsid w:val="0AC2687E"/>
    <w:rsid w:val="0AE0168A"/>
    <w:rsid w:val="0B7A6609"/>
    <w:rsid w:val="0B852B9F"/>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54415D"/>
    <w:rsid w:val="0E63197E"/>
    <w:rsid w:val="0EC01926"/>
    <w:rsid w:val="0F41636A"/>
    <w:rsid w:val="0FE17DD5"/>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A4281C"/>
    <w:rsid w:val="13AC7DF0"/>
    <w:rsid w:val="13DA4490"/>
    <w:rsid w:val="14037C87"/>
    <w:rsid w:val="141E08AE"/>
    <w:rsid w:val="142150CF"/>
    <w:rsid w:val="14851297"/>
    <w:rsid w:val="148937C0"/>
    <w:rsid w:val="14AF4635"/>
    <w:rsid w:val="14D13799"/>
    <w:rsid w:val="14E81A99"/>
    <w:rsid w:val="14F93033"/>
    <w:rsid w:val="15287CC3"/>
    <w:rsid w:val="152F4368"/>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94D0F"/>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231CA8"/>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312B0B"/>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1F631E"/>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2F72A84"/>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A35910"/>
    <w:rsid w:val="4ADA02F6"/>
    <w:rsid w:val="4B092817"/>
    <w:rsid w:val="4B1A6478"/>
    <w:rsid w:val="4B797B0F"/>
    <w:rsid w:val="4B9747C7"/>
    <w:rsid w:val="4BC65056"/>
    <w:rsid w:val="4BC66AD5"/>
    <w:rsid w:val="4BDD5EE2"/>
    <w:rsid w:val="4C35155C"/>
    <w:rsid w:val="4D30352B"/>
    <w:rsid w:val="4D575818"/>
    <w:rsid w:val="4DA34F16"/>
    <w:rsid w:val="4EF86720"/>
    <w:rsid w:val="4F0A10D5"/>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551EE"/>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BB26DB"/>
    <w:rsid w:val="5AC3313C"/>
    <w:rsid w:val="5AD36B10"/>
    <w:rsid w:val="5AEC624E"/>
    <w:rsid w:val="5B2A7CAE"/>
    <w:rsid w:val="5B59436B"/>
    <w:rsid w:val="5B795E5B"/>
    <w:rsid w:val="5B962018"/>
    <w:rsid w:val="5B9A1DFE"/>
    <w:rsid w:val="5BE124AA"/>
    <w:rsid w:val="5C024531"/>
    <w:rsid w:val="5C1D2452"/>
    <w:rsid w:val="5C403D31"/>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305ED"/>
    <w:rsid w:val="698A0C61"/>
    <w:rsid w:val="69C62E9F"/>
    <w:rsid w:val="69E76D81"/>
    <w:rsid w:val="69F835A0"/>
    <w:rsid w:val="6A170D32"/>
    <w:rsid w:val="6A2E18E9"/>
    <w:rsid w:val="6A505A87"/>
    <w:rsid w:val="6A603F81"/>
    <w:rsid w:val="6AAD3B50"/>
    <w:rsid w:val="6AB3355B"/>
    <w:rsid w:val="6AB92A76"/>
    <w:rsid w:val="6AEC2E18"/>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702D9A"/>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411227"/>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7C43C97"/>
    <w:rsid w:val="78600B08"/>
    <w:rsid w:val="786B42D9"/>
    <w:rsid w:val="78A75CB0"/>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adjustRightInd w:val="0"/>
      <w:spacing w:line="420" w:lineRule="atLeast"/>
      <w:jc w:val="left"/>
      <w:textAlignment w:val="baseline"/>
    </w:pPr>
    <w:rPr>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40</Pages>
  <Words>7165</Words>
  <Characters>7333</Characters>
  <Lines>87</Lines>
  <Paragraphs>24</Paragraphs>
  <TotalTime>57</TotalTime>
  <ScaleCrop>false</ScaleCrop>
  <LinksUpToDate>false</LinksUpToDate>
  <CharactersWithSpaces>7454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2026-05-21T02:40:40Z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