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F2E54">
      <w:pPr>
        <w:pStyle w:val="4"/>
        <w:rPr>
          <w:sz w:val="28"/>
          <w:szCs w:val="28"/>
          <w:u w:val="single"/>
        </w:rPr>
      </w:pPr>
    </w:p>
    <w:p w14:paraId="2A4C71B6">
      <w:pPr>
        <w:spacing w:line="360" w:lineRule="auto"/>
        <w:jc w:val="center"/>
        <w:rPr>
          <w:rFonts w:hint="eastAsia" w:ascii="宋体" w:hAnsi="宋体" w:eastAsia="宋体" w:cs="Times New Roman"/>
          <w:b/>
          <w:bCs/>
          <w:sz w:val="32"/>
          <w:szCs w:val="32"/>
          <w:lang w:eastAsia="zh-CN"/>
        </w:rPr>
      </w:pPr>
      <w:r>
        <w:rPr>
          <w:rFonts w:hint="eastAsia" w:ascii="宋体" w:hAnsi="宋体" w:eastAsia="宋体" w:cs="Times New Roman"/>
          <w:b/>
          <w:bCs/>
          <w:sz w:val="32"/>
          <w:szCs w:val="32"/>
          <w:lang w:eastAsia="zh-CN"/>
        </w:rPr>
        <w:t>中山大学附属第八医院服务类</w:t>
      </w:r>
    </w:p>
    <w:p w14:paraId="4BADCD6E">
      <w:pPr>
        <w:spacing w:line="360" w:lineRule="auto"/>
        <w:jc w:val="center"/>
        <w:rPr>
          <w:rFonts w:hint="eastAsia" w:ascii="宋体" w:hAnsi="宋体" w:eastAsia="宋体" w:cs="Times New Roman"/>
          <w:b/>
          <w:bCs/>
          <w:sz w:val="32"/>
          <w:szCs w:val="32"/>
          <w:lang w:eastAsia="zh-CN"/>
        </w:rPr>
      </w:pPr>
      <w:r>
        <w:rPr>
          <w:rFonts w:hint="eastAsia" w:ascii="宋体" w:hAnsi="宋体" w:eastAsia="宋体" w:cs="Times New Roman"/>
          <w:b/>
          <w:bCs/>
          <w:sz w:val="32"/>
          <w:szCs w:val="32"/>
          <w:lang w:eastAsia="zh-CN"/>
        </w:rPr>
        <w:t>采购需求模板</w:t>
      </w:r>
    </w:p>
    <w:p w14:paraId="0654F39E">
      <w:pPr>
        <w:spacing w:line="540" w:lineRule="exact"/>
        <w:ind w:firstLine="320" w:firstLineChars="100"/>
        <w:jc w:val="center"/>
        <w:rPr>
          <w:rFonts w:ascii="方正小标宋简体" w:hAnsi="方正小标宋简体" w:eastAsia="方正小标宋简体" w:cs="方正小标宋简体"/>
          <w:sz w:val="32"/>
          <w:szCs w:val="32"/>
        </w:rPr>
      </w:pPr>
    </w:p>
    <w:p w14:paraId="0E2FF8EE">
      <w:pPr>
        <w:spacing w:line="540" w:lineRule="exact"/>
        <w:ind w:firstLine="320" w:firstLineChars="10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第一部分 项目基本要求</w:t>
      </w:r>
    </w:p>
    <w:p w14:paraId="579FDB4E">
      <w:pPr>
        <w:widowControl/>
        <w:spacing w:before="100" w:beforeAutospacing="1" w:after="100" w:afterAutospacing="1" w:line="360" w:lineRule="auto"/>
        <w:ind w:firstLine="440" w:firstLineChars="200"/>
        <w:rPr>
          <w:rFonts w:hint="eastAsia" w:ascii="方正小标宋简体" w:hAnsi="方正小标宋简体" w:eastAsia="方正小标宋简体" w:cs="方正小标宋简体"/>
          <w:b w:val="0"/>
          <w:bCs w:val="0"/>
          <w:kern w:val="0"/>
          <w:sz w:val="22"/>
          <w:szCs w:val="22"/>
          <w:highlight w:val="none"/>
          <w:lang w:eastAsia="zh-CN"/>
        </w:rPr>
      </w:pPr>
      <w:r>
        <w:rPr>
          <w:rFonts w:hint="eastAsia" w:ascii="方正小标宋简体" w:hAnsi="方正小标宋简体" w:eastAsia="方正小标宋简体" w:cs="方正小标宋简体"/>
          <w:b w:val="0"/>
          <w:bCs w:val="0"/>
          <w:sz w:val="22"/>
          <w:szCs w:val="22"/>
          <w:highlight w:val="none"/>
          <w:shd w:val="clear" w:color="auto" w:fill="FFFFFF"/>
        </w:rPr>
        <w:t>一</w:t>
      </w:r>
      <w:r>
        <w:rPr>
          <w:rFonts w:hint="eastAsia" w:ascii="方正小标宋简体" w:hAnsi="方正小标宋简体" w:eastAsia="方正小标宋简体" w:cs="方正小标宋简体"/>
          <w:b w:val="0"/>
          <w:bCs w:val="0"/>
          <w:sz w:val="24"/>
          <w:szCs w:val="24"/>
          <w:highlight w:val="none"/>
          <w:shd w:val="clear" w:color="auto" w:fill="FFFFFF"/>
        </w:rPr>
        <w:t>、项目基本</w:t>
      </w:r>
      <w:r>
        <w:rPr>
          <w:rFonts w:hint="eastAsia" w:ascii="方正小标宋简体" w:hAnsi="方正小标宋简体" w:eastAsia="方正小标宋简体" w:cs="方正小标宋简体"/>
          <w:b w:val="0"/>
          <w:bCs w:val="0"/>
          <w:sz w:val="24"/>
          <w:szCs w:val="24"/>
          <w:highlight w:val="none"/>
          <w:shd w:val="clear" w:color="auto" w:fill="FFFFFF"/>
          <w:lang w:eastAsia="zh-CN"/>
        </w:rPr>
        <w:t>信息</w:t>
      </w:r>
    </w:p>
    <w:p w14:paraId="5A03BAFC">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项目编号：（项目编号）</w:t>
      </w:r>
    </w:p>
    <w:p w14:paraId="343CB9A4">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采购项目名称：</w:t>
      </w:r>
      <w:r>
        <w:rPr>
          <w:rFonts w:hint="eastAsia" w:asciiTheme="minorHAnsi" w:hAnsiTheme="minorHAnsi" w:eastAsiaTheme="minorEastAsia" w:cstheme="minorBidi"/>
          <w:sz w:val="24"/>
          <w:szCs w:val="24"/>
          <w:highlight w:val="none"/>
        </w:rPr>
        <w:t>中大八院年度政府投资项目施工监理服务</w:t>
      </w:r>
    </w:p>
    <w:p w14:paraId="535FDF13">
      <w:pPr>
        <w:pStyle w:val="4"/>
        <w:numPr>
          <w:ilvl w:val="0"/>
          <w:numId w:val="1"/>
        </w:numPr>
        <w:ind w:left="0" w:leftChars="0" w:firstLine="400" w:firstLineChars="0"/>
        <w:rPr>
          <w:rFonts w:hint="eastAsia"/>
          <w:sz w:val="24"/>
          <w:szCs w:val="24"/>
          <w:highlight w:val="none"/>
        </w:rPr>
      </w:pPr>
      <w:r>
        <w:rPr>
          <w:rFonts w:hint="eastAsia"/>
          <w:sz w:val="24"/>
          <w:szCs w:val="24"/>
          <w:highlight w:val="none"/>
        </w:rPr>
        <w:t>采购方式：公开招标/邀请招标/竞争性谈判/单一来源谈判</w:t>
      </w:r>
      <w:r>
        <w:rPr>
          <w:rFonts w:hint="eastAsia"/>
          <w:sz w:val="24"/>
          <w:szCs w:val="24"/>
          <w:highlight w:val="none"/>
          <w:lang w:val="en-US" w:eastAsia="zh-CN"/>
        </w:rPr>
        <w:t>/议价</w:t>
      </w:r>
    </w:p>
    <w:p w14:paraId="035AD7D1">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sz w:val="24"/>
          <w:szCs w:val="24"/>
          <w:highlight w:val="none"/>
        </w:rPr>
        <w:t>评标方法：综合评分法/最低评标价法</w:t>
      </w:r>
    </w:p>
    <w:p w14:paraId="59072A2C">
      <w:pPr>
        <w:numPr>
          <w:ilvl w:val="0"/>
          <w:numId w:val="1"/>
        </w:numPr>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预算金额</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人民币</w:t>
      </w:r>
      <w:r>
        <w:rPr>
          <w:rFonts w:hint="eastAsia" w:ascii="宋体" w:hAnsi="宋体" w:eastAsia="宋体" w:cs="宋体"/>
          <w:sz w:val="24"/>
          <w:szCs w:val="24"/>
          <w:highlight w:val="none"/>
          <w:lang w:val="en-US" w:eastAsia="zh-CN"/>
        </w:rPr>
        <w:t>70万元</w:t>
      </w:r>
    </w:p>
    <w:p w14:paraId="63191E8C">
      <w:pPr>
        <w:numPr>
          <w:ilvl w:val="0"/>
          <w:numId w:val="1"/>
        </w:numPr>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不得超过</w:t>
      </w:r>
      <w:r>
        <w:rPr>
          <w:rFonts w:hint="eastAsia" w:ascii="宋体" w:hAnsi="宋体" w:eastAsia="宋体" w:cs="宋体"/>
          <w:sz w:val="24"/>
          <w:szCs w:val="24"/>
          <w:highlight w:val="none"/>
          <w:lang w:eastAsia="zh-CN"/>
        </w:rPr>
        <w:t>人民币</w:t>
      </w:r>
      <w:r>
        <w:rPr>
          <w:rFonts w:hint="eastAsia" w:ascii="宋体" w:hAnsi="宋体" w:eastAsia="宋体" w:cs="宋体"/>
          <w:sz w:val="24"/>
          <w:szCs w:val="24"/>
          <w:highlight w:val="none"/>
          <w:lang w:val="en-US" w:eastAsia="zh-CN"/>
        </w:rPr>
        <w:t>70万元</w:t>
      </w:r>
    </w:p>
    <w:p w14:paraId="0BC549AC">
      <w:pPr>
        <w:numPr>
          <w:ilvl w:val="0"/>
          <w:numId w:val="1"/>
        </w:numPr>
        <w:tabs>
          <w:tab w:val="left" w:pos="567"/>
        </w:tabs>
        <w:adjustRightInd w:val="0"/>
        <w:snapToGrid w:val="0"/>
        <w:spacing w:line="360" w:lineRule="auto"/>
        <w:ind w:left="0" w:leftChars="0" w:firstLine="400" w:firstLineChars="0"/>
        <w:rPr>
          <w:rFonts w:hint="eastAsia"/>
          <w:sz w:val="24"/>
          <w:szCs w:val="24"/>
          <w:highlight w:val="none"/>
        </w:rPr>
      </w:pPr>
      <w:r>
        <w:rPr>
          <w:rFonts w:hint="eastAsia" w:ascii="宋体" w:hAnsi="宋体" w:eastAsia="宋体" w:cs="宋体"/>
          <w:bCs/>
          <w:sz w:val="24"/>
          <w:szCs w:val="24"/>
          <w:highlight w:val="none"/>
        </w:rPr>
        <w:t>采购需求：</w:t>
      </w:r>
    </w:p>
    <w:tbl>
      <w:tblPr>
        <w:tblStyle w:val="13"/>
        <w:tblpPr w:leftFromText="180" w:rightFromText="180" w:vertAnchor="text" w:horzAnchor="page" w:tblpX="1688" w:tblpY="67"/>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128"/>
        <w:gridCol w:w="2835"/>
        <w:gridCol w:w="2896"/>
      </w:tblGrid>
      <w:tr w14:paraId="3CEF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986" w:type="dxa"/>
            <w:shd w:val="clear" w:color="auto" w:fill="EEECE1"/>
            <w:vAlign w:val="center"/>
          </w:tcPr>
          <w:p w14:paraId="44432D22">
            <w:pPr>
              <w:jc w:val="center"/>
              <w:rPr>
                <w:rFonts w:hint="eastAsia" w:ascii="宋体" w:hAnsi="宋体" w:eastAsia="宋体" w:cs="宋体"/>
                <w:b/>
                <w:sz w:val="24"/>
                <w:szCs w:val="24"/>
              </w:rPr>
            </w:pPr>
            <w:r>
              <w:rPr>
                <w:rFonts w:hint="eastAsia" w:ascii="宋体" w:hAnsi="宋体" w:eastAsia="宋体" w:cs="宋体"/>
                <w:b/>
                <w:sz w:val="24"/>
                <w:szCs w:val="24"/>
              </w:rPr>
              <w:t>采购内容</w:t>
            </w:r>
          </w:p>
        </w:tc>
        <w:tc>
          <w:tcPr>
            <w:tcW w:w="1128" w:type="dxa"/>
            <w:shd w:val="clear" w:color="auto" w:fill="EEECE1"/>
            <w:vAlign w:val="center"/>
          </w:tcPr>
          <w:p w14:paraId="585EDCF0">
            <w:pPr>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2835" w:type="dxa"/>
            <w:shd w:val="clear" w:color="auto" w:fill="EEECE1"/>
            <w:vAlign w:val="center"/>
          </w:tcPr>
          <w:p w14:paraId="0C70D67F">
            <w:pPr>
              <w:jc w:val="center"/>
              <w:rPr>
                <w:rFonts w:hint="eastAsia" w:ascii="宋体" w:hAnsi="宋体" w:eastAsia="宋体" w:cs="宋体"/>
                <w:b/>
                <w:sz w:val="24"/>
                <w:szCs w:val="24"/>
              </w:rPr>
            </w:pPr>
            <w:r>
              <w:rPr>
                <w:rFonts w:hint="eastAsia" w:ascii="宋体" w:hAnsi="宋体" w:eastAsia="宋体" w:cs="宋体"/>
                <w:b/>
                <w:bCs/>
                <w:kern w:val="0"/>
                <w:sz w:val="24"/>
                <w:szCs w:val="24"/>
                <w:highlight w:val="none"/>
              </w:rPr>
              <w:t>简要技术需求</w:t>
            </w:r>
          </w:p>
        </w:tc>
        <w:tc>
          <w:tcPr>
            <w:tcW w:w="2896" w:type="dxa"/>
            <w:shd w:val="clear" w:color="auto" w:fill="EEECE1"/>
            <w:vAlign w:val="center"/>
          </w:tcPr>
          <w:p w14:paraId="147072CF">
            <w:pPr>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备注</w:t>
            </w:r>
          </w:p>
        </w:tc>
      </w:tr>
      <w:tr w14:paraId="50F5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986" w:type="dxa"/>
            <w:vAlign w:val="center"/>
          </w:tcPr>
          <w:p w14:paraId="657502DD">
            <w:pPr>
              <w:jc w:val="center"/>
              <w:rPr>
                <w:rFonts w:hint="eastAsia" w:ascii="宋体" w:hAnsi="宋体" w:eastAsia="宋体" w:cs="宋体"/>
                <w:bCs/>
                <w:sz w:val="24"/>
                <w:szCs w:val="24"/>
                <w:highlight w:val="none"/>
              </w:rPr>
            </w:pPr>
            <w:r>
              <w:rPr>
                <w:rFonts w:hint="eastAsia" w:ascii="仿宋_GB2312" w:hAnsi="仿宋_GB2312" w:eastAsia="仿宋_GB2312" w:cs="仿宋_GB2312"/>
                <w:sz w:val="24"/>
                <w:szCs w:val="24"/>
              </w:rPr>
              <w:t>中大八院年度政府投资项目施工监理服务</w:t>
            </w:r>
          </w:p>
        </w:tc>
        <w:tc>
          <w:tcPr>
            <w:tcW w:w="1128" w:type="dxa"/>
            <w:vAlign w:val="center"/>
          </w:tcPr>
          <w:p w14:paraId="4404073A">
            <w:pPr>
              <w:jc w:val="center"/>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2835" w:type="dxa"/>
            <w:vAlign w:val="center"/>
          </w:tcPr>
          <w:p w14:paraId="08F529D4">
            <w:pPr>
              <w:pStyle w:val="20"/>
              <w:spacing w:line="240" w:lineRule="auto"/>
              <w:ind w:hanging="67"/>
              <w:rPr>
                <w:rFonts w:hint="eastAsia" w:ascii="宋体" w:hAnsi="宋体" w:eastAsia="宋体" w:cs="宋体"/>
                <w:spacing w:val="0"/>
                <w:kern w:val="2"/>
                <w:sz w:val="24"/>
                <w:szCs w:val="24"/>
                <w:highlight w:val="none"/>
                <w:lang w:eastAsia="zh-CN"/>
              </w:rPr>
            </w:pPr>
            <w:r>
              <w:rPr>
                <w:rFonts w:hint="eastAsia" w:ascii="宋体" w:hAnsi="宋体" w:eastAsia="宋体" w:cs="宋体"/>
                <w:spacing w:val="0"/>
                <w:kern w:val="2"/>
                <w:sz w:val="24"/>
                <w:szCs w:val="24"/>
                <w:highlight w:val="none"/>
              </w:rPr>
              <w:t>详见采购项目</w:t>
            </w:r>
            <w:r>
              <w:rPr>
                <w:rFonts w:hint="eastAsia" w:ascii="宋体" w:hAnsi="宋体" w:eastAsia="宋体" w:cs="宋体"/>
                <w:spacing w:val="0"/>
                <w:kern w:val="2"/>
                <w:sz w:val="24"/>
                <w:szCs w:val="24"/>
                <w:highlight w:val="none"/>
                <w:lang w:eastAsia="zh-CN"/>
              </w:rPr>
              <w:t>需求</w:t>
            </w:r>
          </w:p>
        </w:tc>
        <w:tc>
          <w:tcPr>
            <w:tcW w:w="2896" w:type="dxa"/>
            <w:vAlign w:val="center"/>
          </w:tcPr>
          <w:p w14:paraId="498C8955">
            <w:pPr>
              <w:pStyle w:val="20"/>
              <w:spacing w:line="240" w:lineRule="auto"/>
              <w:ind w:firstLine="120"/>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val="en-US" w:eastAsia="zh-CN"/>
              </w:rPr>
              <w:t>服务类</w:t>
            </w:r>
          </w:p>
        </w:tc>
      </w:tr>
    </w:tbl>
    <w:p w14:paraId="26D65DD6">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合同履行期限：</w:t>
      </w:r>
      <w:bookmarkStart w:id="0" w:name="_Hlk83826489"/>
      <w:r>
        <w:rPr>
          <w:rFonts w:hint="eastAsia" w:ascii="宋体" w:hAnsi="宋体" w:eastAsia="宋体" w:cs="宋体"/>
          <w:b/>
          <w:bCs/>
          <w:color w:val="auto"/>
          <w:sz w:val="24"/>
          <w:szCs w:val="24"/>
          <w:lang w:eastAsia="zh-CN"/>
        </w:rPr>
        <w:t>自</w:t>
      </w:r>
      <w:r>
        <w:rPr>
          <w:rFonts w:hint="eastAsia" w:ascii="宋体" w:hAnsi="宋体" w:eastAsia="宋体" w:cs="宋体"/>
          <w:bCs/>
          <w:color w:val="auto"/>
          <w:sz w:val="24"/>
          <w:szCs w:val="24"/>
          <w:highlight w:val="none"/>
        </w:rPr>
        <w:t>合同签订之日起</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lang w:val="en-US" w:eastAsia="zh-CN"/>
        </w:rPr>
        <w:t>年。本项目为长期服务类项目，第一年为本次招标的中标服务期限，采购人可根据项目需求和中标供应商的履约情况确定合同期限是否延长，但最长不超过三年，合同一年一签</w:t>
      </w:r>
      <w:r>
        <w:rPr>
          <w:rFonts w:hint="eastAsia" w:ascii="宋体" w:hAnsi="宋体" w:eastAsia="宋体" w:cs="宋体"/>
          <w:bCs/>
          <w:color w:val="auto"/>
          <w:sz w:val="24"/>
          <w:szCs w:val="24"/>
          <w:highlight w:val="none"/>
          <w:lang w:val="en-US" w:eastAsia="zh-CN"/>
        </w:rPr>
        <w:t>。</w:t>
      </w:r>
      <w:r>
        <w:rPr>
          <w:rFonts w:hint="eastAsia"/>
          <w:color w:val="auto"/>
          <w:kern w:val="0"/>
          <w:sz w:val="24"/>
          <w:lang w:val="en-US" w:eastAsia="zh-CN"/>
        </w:rPr>
        <w:t>若年度服务期限未到，委托金额达到年度服务费用上限时且采购人未书面通知投标人自动续约事宜，合同提前终止。因单项工程项目进度导致超出服务合同期限的，单项工程项目服务继续有效，有限期直至完成单项工程项目前期工作咨询服务约定的服务内容并向采购人提交成果报告为止。</w:t>
      </w:r>
      <w:bookmarkEnd w:id="0"/>
    </w:p>
    <w:p w14:paraId="799D40C9">
      <w:pPr>
        <w:numPr>
          <w:ilvl w:val="0"/>
          <w:numId w:val="0"/>
        </w:numPr>
        <w:tabs>
          <w:tab w:val="left" w:pos="567"/>
        </w:tabs>
        <w:adjustRightInd w:val="0"/>
        <w:snapToGrid w:val="0"/>
        <w:spacing w:line="360" w:lineRule="auto"/>
        <w:ind w:left="400" w:leftChars="0"/>
        <w:rPr>
          <w:rFonts w:hint="eastAsia" w:ascii="宋体" w:hAnsi="宋体" w:eastAsia="宋体" w:cs="宋体"/>
          <w:b/>
          <w:bCs/>
          <w:sz w:val="24"/>
          <w:szCs w:val="24"/>
        </w:rPr>
      </w:pPr>
      <w:r>
        <w:rPr>
          <w:rFonts w:hint="eastAsia" w:ascii="宋体" w:hAnsi="宋体" w:eastAsia="宋体" w:cs="宋体"/>
          <w:b/>
          <w:bCs/>
          <w:sz w:val="24"/>
          <w:szCs w:val="24"/>
        </w:rPr>
        <w:t>投标人资格要求</w:t>
      </w:r>
    </w:p>
    <w:p w14:paraId="584E5185">
      <w:pPr>
        <w:pStyle w:val="12"/>
        <w:numPr>
          <w:ilvl w:val="0"/>
          <w:numId w:val="2"/>
        </w:numPr>
        <w:adjustRightInd w:val="0"/>
        <w:snapToGrid w:val="0"/>
        <w:spacing w:line="440" w:lineRule="atLeast"/>
        <w:ind w:firstLineChars="0"/>
      </w:pPr>
      <w:r>
        <w:rPr>
          <w:rFonts w:hint="eastAsia"/>
        </w:rPr>
        <w:t>符合《中华人民共和国政府采购法》第二十二条规定条件。</w:t>
      </w:r>
    </w:p>
    <w:p w14:paraId="2B3383EE">
      <w:pPr>
        <w:pStyle w:val="12"/>
        <w:numPr>
          <w:ilvl w:val="0"/>
          <w:numId w:val="2"/>
        </w:numPr>
        <w:adjustRightInd w:val="0"/>
        <w:snapToGrid w:val="0"/>
        <w:spacing w:line="440" w:lineRule="atLeast"/>
        <w:ind w:firstLineChars="0"/>
      </w:pPr>
      <w:r>
        <w:rPr>
          <w:rFonts w:hint="eastAsia"/>
        </w:rPr>
        <w:t>投标人须是在中华人民共和国境内注册的有合法经营资格的国内独立法人，并具有相关经营范围（提供合法有效的营业执照原件及副本扫描件，原件备查）。</w:t>
      </w:r>
    </w:p>
    <w:p w14:paraId="6DB5580A">
      <w:pPr>
        <w:pStyle w:val="18"/>
        <w:numPr>
          <w:ilvl w:val="0"/>
          <w:numId w:val="2"/>
        </w:numPr>
        <w:ind w:firstLineChars="0"/>
      </w:pPr>
      <w:r>
        <w:rPr>
          <w:rFonts w:hint="eastAsia"/>
        </w:rPr>
        <w:t>投标人须提供与项目相关的特殊资质：“房屋建筑工程监理乙级”或以上资质。</w:t>
      </w:r>
    </w:p>
    <w:p w14:paraId="1B3E46C9">
      <w:pPr>
        <w:pStyle w:val="12"/>
        <w:numPr>
          <w:ilvl w:val="0"/>
          <w:numId w:val="2"/>
        </w:numPr>
        <w:adjustRightInd w:val="0"/>
        <w:snapToGrid w:val="0"/>
        <w:spacing w:line="440" w:lineRule="atLeast"/>
        <w:ind w:firstLineChars="0"/>
      </w:pPr>
      <w:r>
        <w:rPr>
          <w:rFonts w:hint="eastAsia"/>
        </w:rPr>
        <w:t>投标人须提供法人授权委托证明书原件，法定代表人身份证复印件，被授权人身份证复印件（加盖公章、原件备查）。</w:t>
      </w:r>
    </w:p>
    <w:p w14:paraId="5821ED98">
      <w:pPr>
        <w:pStyle w:val="12"/>
        <w:numPr>
          <w:ilvl w:val="0"/>
          <w:numId w:val="2"/>
        </w:numPr>
        <w:adjustRightInd w:val="0"/>
        <w:snapToGrid w:val="0"/>
        <w:spacing w:line="440" w:lineRule="atLeast"/>
        <w:ind w:firstLineChars="0"/>
      </w:pPr>
      <w:r>
        <w:rPr>
          <w:rFonts w:hint="eastAsia"/>
        </w:rPr>
        <w:t>参与本项目投标前三年内，在经营活动中没有重大违法记录。</w:t>
      </w:r>
    </w:p>
    <w:p w14:paraId="4883C1BA">
      <w:pPr>
        <w:pStyle w:val="12"/>
        <w:numPr>
          <w:ilvl w:val="0"/>
          <w:numId w:val="2"/>
        </w:numPr>
        <w:adjustRightInd w:val="0"/>
        <w:snapToGrid w:val="0"/>
        <w:spacing w:line="440" w:lineRule="atLeast"/>
        <w:ind w:firstLineChars="0"/>
      </w:pPr>
      <w:r>
        <w:rPr>
          <w:rFonts w:hint="eastAsia"/>
        </w:rPr>
        <w:t>参与本项目采购活动时不存在被有关部门禁止参与政府采购活动且在有效期内的情况。</w:t>
      </w:r>
    </w:p>
    <w:p w14:paraId="12FC6F8D">
      <w:pPr>
        <w:pStyle w:val="12"/>
        <w:numPr>
          <w:ilvl w:val="0"/>
          <w:numId w:val="2"/>
        </w:numPr>
        <w:adjustRightInd w:val="0"/>
        <w:snapToGrid w:val="0"/>
        <w:spacing w:line="440" w:lineRule="atLeast"/>
        <w:ind w:firstLineChars="0"/>
      </w:pPr>
      <w:r>
        <w:rPr>
          <w:rFonts w:hint="eastAsia"/>
        </w:rPr>
        <w:t>投标人未被列入失信被执行人、重大税收违法案件当事人名单、政府采购严重违法失信行为记录名单。（“信用中国”、“中国政府采购网”以及“深圳市政府采购监管网”为供应商信用信息的查询渠道，相关信息以中标通知书发出前的查询结果为准）</w:t>
      </w:r>
      <w:r>
        <w:rPr>
          <w:rFonts w:hint="eastAsia"/>
          <w:b/>
          <w:bCs/>
        </w:rPr>
        <w:t>（投标人出具资格声明函）</w:t>
      </w:r>
      <w:r>
        <w:rPr>
          <w:rFonts w:hint="eastAsia"/>
        </w:rPr>
        <w:t>。</w:t>
      </w:r>
    </w:p>
    <w:p w14:paraId="300D19D7">
      <w:pPr>
        <w:pStyle w:val="12"/>
        <w:numPr>
          <w:ilvl w:val="0"/>
          <w:numId w:val="2"/>
        </w:numPr>
        <w:adjustRightInd w:val="0"/>
        <w:snapToGrid w:val="0"/>
        <w:spacing w:line="440" w:lineRule="atLeast"/>
        <w:ind w:firstLineChars="0"/>
      </w:pPr>
      <w:r>
        <w:rPr>
          <w:rFonts w:hint="eastAsia"/>
        </w:rPr>
        <w:t>投标文件要求按投标文件格式（见标书附件）顺序装订，密封完好，并加盖公章，一式陆份（1正本5副本, 在投标文件首页右上角标明正本、副本）。投标文件需提供电子文档,文件资料如为复印件需加盖公章并标注“与原件相符”。有任何一项遗漏均为废标处理。</w:t>
      </w:r>
    </w:p>
    <w:p w14:paraId="4730280C">
      <w:pPr>
        <w:pStyle w:val="12"/>
        <w:numPr>
          <w:ilvl w:val="0"/>
          <w:numId w:val="2"/>
        </w:numPr>
        <w:adjustRightInd w:val="0"/>
        <w:snapToGrid w:val="0"/>
        <w:spacing w:line="440" w:lineRule="atLeast"/>
        <w:ind w:firstLineChars="0"/>
      </w:pPr>
      <w:r>
        <w:rPr>
          <w:rFonts w:hint="eastAsia"/>
        </w:rPr>
        <w:t>本项目不接受联合体投标，不允许转包、分包。</w:t>
      </w:r>
    </w:p>
    <w:p w14:paraId="6C164C51">
      <w:pPr>
        <w:spacing w:line="540" w:lineRule="exact"/>
        <w:ind w:firstLine="320" w:firstLineChars="100"/>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第二部分</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采购项目</w:t>
      </w:r>
      <w:r>
        <w:rPr>
          <w:rFonts w:hint="eastAsia" w:ascii="方正小标宋简体" w:hAnsi="方正小标宋简体" w:eastAsia="方正小标宋简体" w:cs="方正小标宋简体"/>
          <w:sz w:val="32"/>
          <w:szCs w:val="32"/>
          <w:lang w:eastAsia="zh-CN"/>
        </w:rPr>
        <w:t>需求（用户需求书）</w:t>
      </w:r>
    </w:p>
    <w:p w14:paraId="219BDDB4">
      <w:pPr>
        <w:pStyle w:val="4"/>
        <w:numPr>
          <w:ilvl w:val="0"/>
          <w:numId w:val="0"/>
        </w:numPr>
        <w:rPr>
          <w:rFonts w:hint="eastAsia"/>
          <w:lang w:eastAsia="zh-CN"/>
        </w:rPr>
      </w:pPr>
    </w:p>
    <w:p w14:paraId="07EB4C68">
      <w:pPr>
        <w:numPr>
          <w:ilvl w:val="0"/>
          <w:numId w:val="0"/>
        </w:numPr>
        <w:tabs>
          <w:tab w:val="left" w:pos="567"/>
        </w:tabs>
        <w:adjustRightInd w:val="0"/>
        <w:snapToGrid w:val="0"/>
        <w:spacing w:line="360" w:lineRule="auto"/>
        <w:ind w:left="400" w:leftChars="0"/>
        <w:rPr>
          <w:rFonts w:hint="eastAsia" w:ascii="宋体" w:hAnsi="宋体" w:eastAsia="宋体" w:cs="宋体"/>
          <w:b/>
          <w:bCs/>
          <w:sz w:val="24"/>
          <w:szCs w:val="24"/>
        </w:rPr>
      </w:pPr>
      <w:r>
        <w:rPr>
          <w:rFonts w:hint="eastAsia" w:ascii="宋体" w:hAnsi="宋体" w:eastAsia="宋体" w:cs="宋体"/>
          <w:b/>
          <w:bCs/>
          <w:sz w:val="24"/>
          <w:szCs w:val="24"/>
          <w:lang w:eastAsia="zh-CN"/>
        </w:rPr>
        <w:t>说明：</w:t>
      </w:r>
    </w:p>
    <w:p w14:paraId="3A1ABF63">
      <w:pPr>
        <w:numPr>
          <w:ilvl w:val="0"/>
          <w:numId w:val="3"/>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投标人须对本项目的采购标的或服务内容进行整体响应，任何只对采购标的或服务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内容其中一部分内容进行的响应都被视为无效投标。</w:t>
      </w:r>
    </w:p>
    <w:p w14:paraId="19632CF8">
      <w:pPr>
        <w:numPr>
          <w:ilvl w:val="0"/>
          <w:numId w:val="3"/>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用户需求书中打“★”号条款为实质性条款，有任何一条负偏离则导致无效投标</w:t>
      </w:r>
      <w:r>
        <w:rPr>
          <w:rFonts w:hint="eastAsia" w:ascii="宋体" w:hAnsi="宋体" w:eastAsia="宋体" w:cs="宋体"/>
          <w:sz w:val="24"/>
          <w:szCs w:val="24"/>
          <w:lang w:eastAsia="zh-CN"/>
        </w:rPr>
        <w:t>。</w:t>
      </w:r>
    </w:p>
    <w:p w14:paraId="5D35DC30">
      <w:pPr>
        <w:numPr>
          <w:ilvl w:val="0"/>
          <w:numId w:val="3"/>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用户需求书中打“▲”号条款为重要技术参数，但不作为无效投标条款。</w:t>
      </w:r>
    </w:p>
    <w:p w14:paraId="6804DC9B">
      <w:pPr>
        <w:numPr>
          <w:ilvl w:val="0"/>
          <w:numId w:val="3"/>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用户需求书中打“●”号的为采购的核心产品，投标人应在《投标分项报价表》中清晰列明“产品名称、品牌、型号”。</w:t>
      </w:r>
    </w:p>
    <w:p w14:paraId="78398674">
      <w:pPr>
        <w:spacing w:line="360" w:lineRule="auto"/>
        <w:ind w:firstLine="562" w:firstLineChars="200"/>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一、服务需求</w:t>
      </w:r>
    </w:p>
    <w:p w14:paraId="4603C71B">
      <w:pPr>
        <w:spacing w:line="400" w:lineRule="exact"/>
        <w:rPr>
          <w:rFonts w:hint="eastAsia" w:ascii="宋体" w:hAnsi="宋体" w:eastAsia="宋体" w:cs="宋体"/>
          <w:b/>
          <w:bCs/>
          <w:sz w:val="24"/>
        </w:rPr>
      </w:pPr>
      <w:r>
        <w:rPr>
          <w:rFonts w:hint="eastAsia" w:ascii="宋体" w:hAnsi="宋体" w:eastAsia="宋体" w:cs="宋体"/>
          <w:b/>
          <w:sz w:val="24"/>
        </w:rPr>
        <w:t xml:space="preserve"> </w:t>
      </w:r>
      <w:r>
        <w:rPr>
          <w:rFonts w:hint="eastAsia" w:ascii="宋体" w:hAnsi="宋体" w:eastAsia="宋体" w:cs="宋体"/>
          <w:b/>
          <w:sz w:val="24"/>
          <w:lang w:val="en-US" w:eastAsia="zh-CN"/>
        </w:rPr>
        <w:t xml:space="preserve">  </w:t>
      </w:r>
      <w:r>
        <w:rPr>
          <w:rFonts w:hint="eastAsia" w:ascii="宋体" w:hAnsi="宋体" w:eastAsia="宋体" w:cs="宋体"/>
          <w:b/>
          <w:bCs/>
          <w:sz w:val="24"/>
        </w:rPr>
        <w:t>（一）项目背景</w:t>
      </w:r>
    </w:p>
    <w:p w14:paraId="5967F2BD">
      <w:pPr>
        <w:spacing w:line="360" w:lineRule="auto"/>
        <w:ind w:firstLine="420" w:firstLineChars="200"/>
        <w:rPr>
          <w:rFonts w:hint="eastAsia" w:eastAsiaTheme="minorEastAsia"/>
          <w:color w:val="auto"/>
          <w:lang w:val="en-US" w:eastAsia="zh-CN"/>
        </w:rPr>
      </w:pPr>
      <w:r>
        <w:rPr>
          <w:rFonts w:hint="eastAsia" w:asciiTheme="minorHAnsi" w:hAnsiTheme="minorHAnsi" w:eastAsiaTheme="minorEastAsia" w:cstheme="minorBidi"/>
          <w:color w:val="auto"/>
          <w:sz w:val="21"/>
          <w:szCs w:val="24"/>
          <w:lang w:val="en-US" w:eastAsia="zh-CN"/>
        </w:rPr>
        <w:t xml:space="preserve"> </w:t>
      </w:r>
      <w:r>
        <w:rPr>
          <w:rFonts w:hint="eastAsia" w:asciiTheme="minorHAnsi" w:hAnsiTheme="minorHAnsi" w:eastAsiaTheme="minorEastAsia" w:cstheme="minorBidi"/>
          <w:color w:val="auto"/>
          <w:kern w:val="2"/>
          <w:sz w:val="21"/>
          <w:szCs w:val="24"/>
          <w:lang w:val="en-US" w:eastAsia="zh-CN" w:bidi="ar-SA"/>
        </w:rPr>
        <w:t>为满足我院</w:t>
      </w:r>
      <w:r>
        <w:rPr>
          <w:rFonts w:hint="eastAsia" w:cstheme="minorBidi"/>
          <w:color w:val="auto"/>
          <w:kern w:val="2"/>
          <w:sz w:val="21"/>
          <w:szCs w:val="24"/>
          <w:lang w:val="en-US" w:eastAsia="zh-CN" w:bidi="ar-SA"/>
        </w:rPr>
        <w:t>政府投资工程</w:t>
      </w:r>
      <w:r>
        <w:rPr>
          <w:rFonts w:hint="eastAsia" w:asciiTheme="minorHAnsi" w:hAnsiTheme="minorHAnsi" w:eastAsiaTheme="minorEastAsia" w:cstheme="minorBidi"/>
          <w:color w:val="auto"/>
          <w:kern w:val="2"/>
          <w:sz w:val="21"/>
          <w:szCs w:val="24"/>
          <w:lang w:val="en-US" w:eastAsia="zh-CN" w:bidi="ar-SA"/>
        </w:rPr>
        <w:t>的建设需求，配合基建</w:t>
      </w:r>
      <w:r>
        <w:rPr>
          <w:rFonts w:hint="eastAsia" w:cstheme="minorBidi"/>
          <w:color w:val="auto"/>
          <w:kern w:val="2"/>
          <w:sz w:val="21"/>
          <w:szCs w:val="24"/>
          <w:lang w:val="en-US" w:eastAsia="zh-CN" w:bidi="ar-SA"/>
        </w:rPr>
        <w:t>项目</w:t>
      </w:r>
      <w:r>
        <w:rPr>
          <w:rFonts w:hint="eastAsia" w:asciiTheme="minorHAnsi" w:hAnsiTheme="minorHAnsi" w:eastAsiaTheme="minorEastAsia" w:cstheme="minorBidi"/>
          <w:color w:val="auto"/>
          <w:kern w:val="2"/>
          <w:sz w:val="21"/>
          <w:szCs w:val="24"/>
          <w:lang w:val="en-US" w:eastAsia="zh-CN" w:bidi="ar-SA"/>
        </w:rPr>
        <w:t>实施，进一步加强建设工程深化细致的管理，</w:t>
      </w:r>
      <w:r>
        <w:rPr>
          <w:rFonts w:hint="eastAsia"/>
          <w:color w:val="auto"/>
          <w:lang w:val="en-US" w:eastAsia="zh-CN"/>
        </w:rPr>
        <w:t>采购1家施工监理单位为我院提供</w:t>
      </w:r>
      <w:r>
        <w:rPr>
          <w:rFonts w:hint="eastAsia" w:asciiTheme="minorHAnsi" w:hAnsiTheme="minorHAnsi" w:eastAsiaTheme="minorEastAsia" w:cstheme="minorBidi"/>
          <w:color w:val="auto"/>
          <w:sz w:val="21"/>
          <w:szCs w:val="24"/>
        </w:rPr>
        <w:t>年度政府投资</w:t>
      </w:r>
      <w:r>
        <w:rPr>
          <w:rFonts w:hint="eastAsia" w:cstheme="minorBidi"/>
          <w:color w:val="auto"/>
          <w:sz w:val="21"/>
          <w:szCs w:val="24"/>
          <w:lang w:val="en-US" w:eastAsia="zh-CN"/>
        </w:rPr>
        <w:t>工程</w:t>
      </w:r>
      <w:r>
        <w:rPr>
          <w:rFonts w:hint="eastAsia" w:asciiTheme="minorHAnsi" w:hAnsiTheme="minorHAnsi" w:eastAsiaTheme="minorEastAsia" w:cstheme="minorBidi"/>
          <w:color w:val="auto"/>
          <w:sz w:val="21"/>
          <w:szCs w:val="24"/>
          <w:lang w:eastAsia="zh-CN"/>
        </w:rPr>
        <w:t>的</w:t>
      </w:r>
      <w:r>
        <w:rPr>
          <w:rFonts w:hint="eastAsia" w:asciiTheme="minorHAnsi" w:hAnsiTheme="minorHAnsi" w:eastAsiaTheme="minorEastAsia" w:cstheme="minorBidi"/>
          <w:color w:val="auto"/>
          <w:sz w:val="21"/>
          <w:szCs w:val="24"/>
        </w:rPr>
        <w:t>施工监理服务</w:t>
      </w:r>
      <w:r>
        <w:rPr>
          <w:rFonts w:hint="eastAsia"/>
          <w:color w:val="auto"/>
          <w:lang w:val="en-US" w:eastAsia="zh-CN"/>
        </w:rPr>
        <w:t>，主要</w:t>
      </w:r>
      <w:r>
        <w:rPr>
          <w:rFonts w:hint="eastAsia" w:asciiTheme="minorHAnsi" w:hAnsiTheme="minorHAnsi" w:cstheme="minorBidi"/>
          <w:color w:val="auto"/>
          <w:szCs w:val="24"/>
        </w:rPr>
        <w:t>协助采购人对项目的施工安全、工程质量、工程进度进行全过程管理</w:t>
      </w:r>
      <w:r>
        <w:rPr>
          <w:rFonts w:hint="eastAsia"/>
          <w:color w:val="auto"/>
          <w:lang w:val="en-US" w:eastAsia="zh-CN"/>
        </w:rPr>
        <w:t>。</w:t>
      </w:r>
    </w:p>
    <w:p w14:paraId="792DC5C2">
      <w:pPr>
        <w:numPr>
          <w:ilvl w:val="0"/>
          <w:numId w:val="4"/>
        </w:numPr>
        <w:spacing w:line="400" w:lineRule="exact"/>
        <w:ind w:firstLine="482" w:firstLineChars="200"/>
        <w:rPr>
          <w:rFonts w:ascii="宋体" w:hAnsi="宋体" w:eastAsia="宋体" w:cs="宋体"/>
          <w:b/>
          <w:color w:val="auto"/>
          <w:sz w:val="24"/>
        </w:rPr>
      </w:pPr>
      <w:r>
        <w:rPr>
          <w:rFonts w:hint="eastAsia" w:ascii="宋体" w:hAnsi="宋体" w:eastAsia="宋体" w:cs="宋体"/>
          <w:b/>
          <w:color w:val="auto"/>
          <w:sz w:val="24"/>
        </w:rPr>
        <w:t>项目概况</w:t>
      </w:r>
    </w:p>
    <w:p w14:paraId="31B0CCF8">
      <w:pPr>
        <w:pStyle w:val="18"/>
        <w:spacing w:line="540" w:lineRule="exact"/>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服务地点：招标人指定地点。</w:t>
      </w:r>
    </w:p>
    <w:p w14:paraId="1D8DE7BE">
      <w:pPr>
        <w:spacing w:line="540" w:lineRule="exact"/>
        <w:ind w:firstLine="0" w:firstLineChars="0"/>
        <w:rPr>
          <w:rFonts w:hint="eastAsia" w:cstheme="minorBidi"/>
          <w:color w:val="auto"/>
          <w:kern w:val="2"/>
          <w:sz w:val="21"/>
          <w:szCs w:val="24"/>
          <w:lang w:val="en-US" w:eastAsia="zh-CN" w:bidi="ar-SA"/>
        </w:rPr>
      </w:pPr>
      <w:r>
        <w:rPr>
          <w:rFonts w:hint="eastAsia"/>
          <w:color w:val="auto"/>
          <w:lang w:val="en-US" w:eastAsia="zh-CN"/>
        </w:rPr>
        <w:t xml:space="preserve">    服务范围：单项工程监理服务费金额70万元以下（不含70万元），</w:t>
      </w:r>
      <w:r>
        <w:rPr>
          <w:rFonts w:hint="eastAsia" w:cstheme="minorBidi"/>
          <w:color w:val="auto"/>
          <w:kern w:val="2"/>
          <w:sz w:val="21"/>
          <w:szCs w:val="24"/>
          <w:lang w:val="en-US" w:eastAsia="zh-CN" w:bidi="ar-SA"/>
        </w:rPr>
        <w:t>中大八院年度</w:t>
      </w:r>
      <w:r>
        <w:rPr>
          <w:rFonts w:hint="eastAsia" w:asciiTheme="minorHAnsi" w:hAnsiTheme="minorHAnsi" w:eastAsiaTheme="minorEastAsia" w:cstheme="minorBidi"/>
          <w:color w:val="auto"/>
          <w:sz w:val="21"/>
          <w:szCs w:val="24"/>
        </w:rPr>
        <w:t>政府投资</w:t>
      </w:r>
      <w:r>
        <w:rPr>
          <w:rFonts w:hint="eastAsia" w:cstheme="minorBidi"/>
          <w:color w:val="auto"/>
          <w:sz w:val="21"/>
          <w:szCs w:val="24"/>
          <w:lang w:val="en-US" w:eastAsia="zh-CN"/>
        </w:rPr>
        <w:t>工程</w:t>
      </w:r>
      <w:r>
        <w:rPr>
          <w:rFonts w:hint="eastAsia" w:cstheme="minorBidi"/>
          <w:color w:val="auto"/>
          <w:kern w:val="2"/>
          <w:sz w:val="21"/>
          <w:szCs w:val="24"/>
          <w:lang w:val="en-US" w:eastAsia="zh-CN" w:bidi="ar-SA"/>
        </w:rPr>
        <w:t>项目提供施工监理及质保阶段监理服务。</w:t>
      </w:r>
    </w:p>
    <w:p w14:paraId="33D1323F">
      <w:pPr>
        <w:spacing w:line="360" w:lineRule="auto"/>
        <w:ind w:firstLine="420" w:firstLineChars="200"/>
        <w:rPr>
          <w:rFonts w:hint="eastAsia"/>
          <w:color w:val="auto"/>
          <w:lang w:eastAsia="zh-CN"/>
        </w:rPr>
      </w:pPr>
      <w:r>
        <w:rPr>
          <w:rFonts w:hint="eastAsia"/>
          <w:color w:val="auto"/>
          <w:lang w:val="en-US" w:eastAsia="zh-CN"/>
        </w:rPr>
        <w:t>项目委托方式：</w:t>
      </w:r>
      <w:r>
        <w:rPr>
          <w:rFonts w:hint="eastAsia" w:eastAsiaTheme="minorEastAsia"/>
          <w:color w:val="auto"/>
          <w:sz w:val="21"/>
          <w:lang w:val="en-US" w:eastAsia="zh-CN"/>
        </w:rPr>
        <w:t>直接委托（除</w:t>
      </w:r>
      <w:r>
        <w:rPr>
          <w:rFonts w:hint="eastAsia" w:eastAsiaTheme="minorEastAsia"/>
          <w:color w:val="auto"/>
          <w:sz w:val="21"/>
        </w:rPr>
        <w:t>采购人根据</w:t>
      </w:r>
      <w:r>
        <w:rPr>
          <w:rFonts w:hint="eastAsia" w:eastAsiaTheme="minorEastAsia"/>
          <w:color w:val="auto"/>
          <w:sz w:val="21"/>
          <w:lang w:val="en-US" w:eastAsia="zh-CN"/>
        </w:rPr>
        <w:t>项目的特殊性需另行委托的项目）</w:t>
      </w:r>
      <w:r>
        <w:rPr>
          <w:rFonts w:hint="eastAsia"/>
          <w:color w:val="auto"/>
          <w:lang w:eastAsia="zh-CN"/>
        </w:rPr>
        <w:t>。</w:t>
      </w:r>
    </w:p>
    <w:p w14:paraId="33470E1B">
      <w:pPr>
        <w:spacing w:line="540" w:lineRule="exact"/>
        <w:ind w:firstLine="420" w:firstLineChars="200"/>
        <w:rPr>
          <w:rFonts w:hint="default" w:cstheme="minorBidi"/>
          <w:color w:val="FF0000"/>
          <w:kern w:val="2"/>
          <w:sz w:val="21"/>
          <w:szCs w:val="24"/>
          <w:lang w:val="en-US" w:eastAsia="zh-CN" w:bidi="ar-SA"/>
        </w:rPr>
      </w:pPr>
    </w:p>
    <w:p w14:paraId="4922589A">
      <w:pPr>
        <w:widowControl/>
        <w:spacing w:line="360" w:lineRule="auto"/>
        <w:ind w:left="420" w:leftChars="200" w:firstLine="120" w:firstLineChars="50"/>
        <w:jc w:val="left"/>
        <w:rPr>
          <w:rFonts w:ascii="宋体" w:hAnsi="宋体"/>
          <w:b/>
          <w:kern w:val="0"/>
          <w:szCs w:val="21"/>
        </w:rPr>
      </w:pPr>
      <w:r>
        <w:rPr>
          <w:rFonts w:hint="eastAsia" w:ascii="宋体" w:hAnsi="宋体" w:eastAsia="宋体" w:cs="宋体"/>
          <w:b/>
          <w:sz w:val="24"/>
        </w:rPr>
        <w:t>（三）服务要求</w:t>
      </w:r>
      <w:r>
        <w:rPr>
          <w:rFonts w:hint="eastAsia" w:ascii="宋体" w:hAnsi="宋体" w:eastAsia="宋体" w:cs="宋体"/>
          <w:b/>
          <w:sz w:val="24"/>
          <w:lang w:eastAsia="zh-CN"/>
        </w:rPr>
        <w:t>：</w:t>
      </w:r>
      <w:r>
        <w:rPr>
          <w:rFonts w:hint="eastAsia" w:ascii="宋体" w:hAnsi="宋体"/>
          <w:b/>
          <w:kern w:val="0"/>
          <w:szCs w:val="21"/>
        </w:rPr>
        <w:t>（包括但不限于）</w:t>
      </w:r>
    </w:p>
    <w:p w14:paraId="31CB637C">
      <w:pPr>
        <w:adjustRightInd w:val="0"/>
        <w:snapToGrid w:val="0"/>
        <w:spacing w:line="440" w:lineRule="atLeast"/>
        <w:ind w:left="420"/>
        <w:rPr>
          <w:rFonts w:cs="宋体" w:asciiTheme="minorEastAsia" w:hAnsiTheme="minorEastAsia" w:eastAsiaTheme="minorEastAsia"/>
          <w:szCs w:val="21"/>
        </w:rPr>
      </w:pPr>
      <w:r>
        <w:rPr>
          <w:rFonts w:hint="eastAsia" w:cs="宋体" w:asciiTheme="minorEastAsia" w:hAnsiTheme="minorEastAsia" w:eastAsiaTheme="minorEastAsia"/>
          <w:szCs w:val="21"/>
        </w:rPr>
        <w:t>（一）具体要求</w:t>
      </w:r>
    </w:p>
    <w:p w14:paraId="6F586602">
      <w:pPr>
        <w:adjustRightInd w:val="0"/>
        <w:snapToGrid w:val="0"/>
        <w:spacing w:line="480" w:lineRule="atLeas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1.协助采购人审核施工图的设计和概(预)算，参与主持组织图纸会审，做好记录，出具会审纪要。</w:t>
      </w:r>
    </w:p>
    <w:p w14:paraId="0D4B70F5">
      <w:pPr>
        <w:adjustRightInd w:val="0"/>
        <w:snapToGrid w:val="0"/>
        <w:spacing w:line="480" w:lineRule="atLeas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w:t>
      </w:r>
      <w:r>
        <w:t>▲</w:t>
      </w:r>
      <w:r>
        <w:rPr>
          <w:rFonts w:hint="eastAsia" w:cs="宋体" w:asciiTheme="minorEastAsia" w:hAnsiTheme="minorEastAsia" w:eastAsiaTheme="minorEastAsia"/>
          <w:szCs w:val="21"/>
        </w:rPr>
        <w:t>参与采购人与施工承包方签订施工承包合同，审核施工进度计划，并在实施过程中检查、督促施工承包方严格按合同和施工规范、工程技术标准、设计要求进行施工，监督承包商现场施工管理。</w:t>
      </w:r>
    </w:p>
    <w:p w14:paraId="7ED0B5D5">
      <w:pPr>
        <w:adjustRightInd w:val="0"/>
        <w:snapToGrid w:val="0"/>
        <w:spacing w:line="480" w:lineRule="atLeas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3.协助采购人做好开工前准备，审批开工报告，复核灰线，经采购人同意下达开工令。</w:t>
      </w:r>
    </w:p>
    <w:p w14:paraId="6C46BD65">
      <w:pPr>
        <w:adjustRightInd w:val="0"/>
        <w:snapToGrid w:val="0"/>
        <w:spacing w:line="480" w:lineRule="atLeas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4.审批施工组织设计，审查和检查施工技术措施、质量保证体系及安全防护措施，提出合理的整改意见和建议。</w:t>
      </w:r>
    </w:p>
    <w:p w14:paraId="5483D51E">
      <w:pPr>
        <w:adjustRightInd w:val="0"/>
        <w:snapToGrid w:val="0"/>
        <w:spacing w:line="480" w:lineRule="atLeas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w:t>
      </w:r>
      <w:r>
        <w:t>▲</w:t>
      </w:r>
      <w:r>
        <w:rPr>
          <w:rFonts w:hint="eastAsia" w:cs="宋体" w:asciiTheme="minorEastAsia" w:hAnsiTheme="minorEastAsia" w:eastAsiaTheme="minorEastAsia"/>
          <w:szCs w:val="21"/>
        </w:rPr>
        <w:t>审查施工承包方采购清单，检查工程使用材料、构件、设备的规格、质量与数量。督促施工承包方编制材料的供需计划，协助采购人安排甲供材料的供应计划。</w:t>
      </w:r>
    </w:p>
    <w:p w14:paraId="7C8ACB96">
      <w:pPr>
        <w:adjustRightInd w:val="0"/>
        <w:snapToGrid w:val="0"/>
        <w:spacing w:line="480" w:lineRule="atLeas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6.对施工变更的签证，主持施工图交底，参与设计变更的签证，复核施工变更。</w:t>
      </w:r>
    </w:p>
    <w:p w14:paraId="047A1D56">
      <w:pPr>
        <w:adjustRightInd w:val="0"/>
        <w:snapToGrid w:val="0"/>
        <w:spacing w:line="480" w:lineRule="atLeas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7.主持召开工程协调会议及综合管线协调会议，主持召开工程协调会议并做好会议纪要，调解有关工程建设各种合同争议，处理索赔事项。</w:t>
      </w:r>
    </w:p>
    <w:p w14:paraId="4AF3428C">
      <w:pPr>
        <w:adjustRightInd w:val="0"/>
        <w:snapToGrid w:val="0"/>
        <w:spacing w:line="480" w:lineRule="atLeas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8.</w:t>
      </w:r>
      <w:r>
        <w:t>▲</w:t>
      </w:r>
      <w:r>
        <w:rPr>
          <w:rFonts w:hint="eastAsia" w:cs="宋体" w:asciiTheme="minorEastAsia" w:hAnsiTheme="minorEastAsia" w:eastAsiaTheme="minorEastAsia"/>
          <w:szCs w:val="21"/>
        </w:rPr>
        <w:t>检查安全防护措施和文明施工，检查督促工程进度、施工质量；在服务过程中，发现工程质量、施工安全存在事故隐患的，应立即要求施工承包方整改并报采购人。</w:t>
      </w:r>
    </w:p>
    <w:p w14:paraId="01438F30">
      <w:pPr>
        <w:adjustRightInd w:val="0"/>
        <w:snapToGrid w:val="0"/>
        <w:spacing w:line="480" w:lineRule="atLeas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9.督促施工承包方及时整理技术资料及竣工验收资料。</w:t>
      </w:r>
    </w:p>
    <w:p w14:paraId="4E8AFCEA">
      <w:pPr>
        <w:adjustRightInd w:val="0"/>
        <w:snapToGrid w:val="0"/>
        <w:spacing w:line="480" w:lineRule="atLeas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10.协助采购人对工程投资进行控制，对施工承包方提出的付款申请进行审核。</w:t>
      </w:r>
    </w:p>
    <w:p w14:paraId="54FA9961">
      <w:pPr>
        <w:adjustRightInd w:val="0"/>
        <w:snapToGrid w:val="0"/>
        <w:spacing w:line="480" w:lineRule="atLeas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11.参加审核工程结算，协助采购人审核工程造价，努力降低工程费用。</w:t>
      </w:r>
    </w:p>
    <w:p w14:paraId="514CB394">
      <w:pPr>
        <w:adjustRightInd w:val="0"/>
        <w:snapToGrid w:val="0"/>
        <w:spacing w:line="480" w:lineRule="atLeas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12.及时提供完整的监理资料，定期编制监理简报。</w:t>
      </w:r>
    </w:p>
    <w:p w14:paraId="7649E726">
      <w:pPr>
        <w:adjustRightInd w:val="0"/>
        <w:snapToGrid w:val="0"/>
        <w:spacing w:line="480" w:lineRule="atLeas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13.</w:t>
      </w:r>
      <w:r>
        <w:t>▲</w:t>
      </w:r>
      <w:r>
        <w:rPr>
          <w:rFonts w:hint="eastAsia" w:cs="宋体" w:asciiTheme="minorEastAsia" w:hAnsiTheme="minorEastAsia" w:eastAsiaTheme="minorEastAsia"/>
          <w:szCs w:val="21"/>
        </w:rPr>
        <w:t>协助采购人组织进行交工验收及竣工验收，签署竣工验收意见。</w:t>
      </w:r>
    </w:p>
    <w:p w14:paraId="6AAF5A1A">
      <w:pPr>
        <w:adjustRightInd w:val="0"/>
        <w:snapToGrid w:val="0"/>
        <w:spacing w:line="480" w:lineRule="atLeas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14.完成监理规范要求的其他工作内容。</w:t>
      </w:r>
    </w:p>
    <w:p w14:paraId="70671632">
      <w:pPr>
        <w:pStyle w:val="12"/>
        <w:ind w:left="0"/>
      </w:pPr>
      <w:r>
        <w:rPr>
          <w:rFonts w:hint="eastAsia"/>
        </w:rPr>
        <w:t>（二）验收过程中的监理</w:t>
      </w:r>
    </w:p>
    <w:p w14:paraId="1E987013">
      <w:pPr>
        <w:pStyle w:val="12"/>
        <w:numPr>
          <w:ilvl w:val="0"/>
          <w:numId w:val="5"/>
        </w:numPr>
        <w:ind w:firstLine="420"/>
      </w:pPr>
      <w:r>
        <w:rPr>
          <w:rFonts w:hint="eastAsia"/>
        </w:rPr>
        <w:t>审核承建单位测试方案，对测试过程进行全程监控，确保交付质量。</w:t>
      </w:r>
    </w:p>
    <w:p w14:paraId="3F8C39AE">
      <w:pPr>
        <w:pStyle w:val="12"/>
        <w:numPr>
          <w:ilvl w:val="0"/>
          <w:numId w:val="5"/>
        </w:numPr>
        <w:ind w:firstLine="420"/>
      </w:pPr>
      <w:r>
        <w:rPr>
          <w:rFonts w:hint="eastAsia"/>
        </w:rPr>
        <w:t>协助采购人审批承建单位的验收申请，并制订工程验收计划。</w:t>
      </w:r>
    </w:p>
    <w:p w14:paraId="71955F41">
      <w:pPr>
        <w:pStyle w:val="12"/>
        <w:numPr>
          <w:ilvl w:val="0"/>
          <w:numId w:val="5"/>
        </w:numPr>
        <w:ind w:firstLine="420"/>
      </w:pPr>
      <w:r>
        <w:rPr>
          <w:rFonts w:hint="eastAsia"/>
        </w:rPr>
        <w:t>协助采购人进行工程初验、试运行和终验工作，并负责督促和检查承建单位的整改工作。</w:t>
      </w:r>
    </w:p>
    <w:p w14:paraId="21806ADE">
      <w:pPr>
        <w:pStyle w:val="12"/>
        <w:numPr>
          <w:ilvl w:val="0"/>
          <w:numId w:val="5"/>
        </w:numPr>
        <w:ind w:firstLine="420"/>
      </w:pPr>
      <w:r>
        <w:rPr>
          <w:rFonts w:hint="eastAsia"/>
        </w:rPr>
        <w:t>项目完工后根据相关合同督促承建单位将完整的原始实施技术资料移交给采购人，同时负责检查移交的文档，确保真实和完整。</w:t>
      </w:r>
    </w:p>
    <w:p w14:paraId="444BA03C">
      <w:pPr>
        <w:pStyle w:val="12"/>
        <w:numPr>
          <w:ilvl w:val="0"/>
          <w:numId w:val="5"/>
        </w:numPr>
        <w:ind w:firstLine="420"/>
      </w:pPr>
      <w:r>
        <w:rPr>
          <w:rFonts w:hint="eastAsia"/>
        </w:rPr>
        <w:t>复核确认或否决承建单位编制的工程结算、决算。</w:t>
      </w:r>
    </w:p>
    <w:p w14:paraId="6322EBAC">
      <w:pPr>
        <w:pStyle w:val="12"/>
        <w:numPr>
          <w:ilvl w:val="0"/>
          <w:numId w:val="5"/>
        </w:numPr>
        <w:ind w:firstLine="420"/>
      </w:pPr>
      <w:r>
        <w:rPr>
          <w:rFonts w:hint="eastAsia"/>
        </w:rPr>
        <w:t>工程验收通过后，与采购人、承建单位三方共同签署验收报告。</w:t>
      </w:r>
    </w:p>
    <w:p w14:paraId="48C08DB6">
      <w:pPr>
        <w:pStyle w:val="12"/>
        <w:numPr>
          <w:ilvl w:val="0"/>
          <w:numId w:val="5"/>
        </w:numPr>
        <w:ind w:firstLine="420"/>
      </w:pPr>
      <w:r>
        <w:rPr>
          <w:rFonts w:hint="eastAsia"/>
        </w:rPr>
        <w:t>项目系统的软件及文档的全部移交；设备、软件、开发工具、源代码、相关技术文档等的验收文档核实。</w:t>
      </w:r>
    </w:p>
    <w:p w14:paraId="6CD62CFC">
      <w:pPr>
        <w:pStyle w:val="12"/>
        <w:numPr>
          <w:ilvl w:val="0"/>
          <w:numId w:val="5"/>
        </w:numPr>
        <w:ind w:firstLine="420"/>
      </w:pPr>
      <w:r>
        <w:rPr>
          <w:rFonts w:hint="eastAsia"/>
        </w:rPr>
        <w:t>出具监理总结报告。</w:t>
      </w:r>
    </w:p>
    <w:p w14:paraId="634FAC35">
      <w:pPr>
        <w:pStyle w:val="12"/>
        <w:numPr>
          <w:ilvl w:val="0"/>
          <w:numId w:val="5"/>
        </w:numPr>
        <w:ind w:firstLine="420"/>
      </w:pPr>
      <w:r>
        <w:rPr>
          <w:rFonts w:hint="eastAsia"/>
        </w:rPr>
        <w:t>其他需要监理的事项。</w:t>
      </w:r>
    </w:p>
    <w:p w14:paraId="3D0A7AF4">
      <w:pPr>
        <w:pStyle w:val="12"/>
        <w:ind w:left="0"/>
      </w:pPr>
      <w:r>
        <w:rPr>
          <w:rFonts w:hint="eastAsia"/>
        </w:rPr>
        <w:t>（三）售后服务中的监理</w:t>
      </w:r>
    </w:p>
    <w:p w14:paraId="2232B755">
      <w:pPr>
        <w:pStyle w:val="12"/>
        <w:numPr>
          <w:ilvl w:val="0"/>
          <w:numId w:val="6"/>
        </w:numPr>
        <w:ind w:firstLineChars="0"/>
      </w:pPr>
      <w:r>
        <w:rPr>
          <w:rFonts w:hint="eastAsia"/>
        </w:rPr>
        <w:t>审核承建单位的售后服务（定期维护）计划，并定期检查承建单位是否按计划进行售后服务（定期维护）。</w:t>
      </w:r>
    </w:p>
    <w:p w14:paraId="6E22DFDF">
      <w:pPr>
        <w:pStyle w:val="12"/>
        <w:numPr>
          <w:ilvl w:val="0"/>
          <w:numId w:val="6"/>
        </w:numPr>
        <w:ind w:firstLineChars="0"/>
      </w:pPr>
      <w:r>
        <w:rPr>
          <w:rFonts w:hint="eastAsia"/>
        </w:rPr>
        <w:t>当出现质量问题时，鉴定质量问题的责任。</w:t>
      </w:r>
    </w:p>
    <w:p w14:paraId="065E71D6">
      <w:pPr>
        <w:pStyle w:val="12"/>
        <w:numPr>
          <w:ilvl w:val="0"/>
          <w:numId w:val="6"/>
        </w:numPr>
        <w:ind w:firstLineChars="0"/>
      </w:pPr>
      <w:r>
        <w:rPr>
          <w:rFonts w:hint="eastAsia"/>
        </w:rPr>
        <w:t>▲对质量问题的处理结果进行跟踪、评审，直至解决为止。</w:t>
      </w:r>
    </w:p>
    <w:p w14:paraId="764B2D9A">
      <w:pPr>
        <w:pStyle w:val="12"/>
        <w:numPr>
          <w:ilvl w:val="0"/>
          <w:numId w:val="6"/>
        </w:numPr>
        <w:ind w:firstLineChars="0"/>
      </w:pPr>
      <w:r>
        <w:rPr>
          <w:rFonts w:hint="eastAsia"/>
        </w:rPr>
        <w:t>出具售后服务期的监理总结报告。</w:t>
      </w:r>
    </w:p>
    <w:p w14:paraId="3F874780">
      <w:pPr>
        <w:pStyle w:val="12"/>
        <w:numPr>
          <w:ilvl w:val="0"/>
          <w:numId w:val="6"/>
        </w:numPr>
        <w:ind w:firstLineChars="0"/>
      </w:pPr>
      <w:r>
        <w:rPr>
          <w:rFonts w:hint="eastAsia"/>
        </w:rPr>
        <w:t>其他需要监理的事项。</w:t>
      </w:r>
    </w:p>
    <w:p w14:paraId="52B678D8">
      <w:pPr>
        <w:pStyle w:val="12"/>
        <w:ind w:left="0"/>
      </w:pPr>
      <w:r>
        <w:rPr>
          <w:rFonts w:hint="eastAsia"/>
        </w:rPr>
        <w:t>（四）项目协调</w:t>
      </w:r>
    </w:p>
    <w:p w14:paraId="75D65598">
      <w:pPr>
        <w:pStyle w:val="12"/>
      </w:pPr>
      <w:r>
        <w:rPr>
          <w:rFonts w:hint="eastAsia"/>
        </w:rPr>
        <w:t>监理单位应在建设单位的监督、指导下展开工作，项目期间监理方应负责协调各参建单位的关系，定期召开联合会议，保证项目进度的顺利进行。</w:t>
      </w:r>
    </w:p>
    <w:p w14:paraId="73AB16C1">
      <w:pPr>
        <w:pStyle w:val="12"/>
        <w:ind w:left="0"/>
        <w:rPr>
          <w:rFonts w:cs="宋体" w:asciiTheme="minorEastAsia" w:hAnsiTheme="minorEastAsia" w:eastAsiaTheme="minorEastAsia"/>
          <w:szCs w:val="21"/>
        </w:rPr>
      </w:pPr>
      <w:r>
        <w:rPr>
          <w:rFonts w:hint="eastAsia" w:cs="宋体" w:asciiTheme="minorEastAsia" w:hAnsiTheme="minorEastAsia" w:eastAsiaTheme="minorEastAsia"/>
          <w:szCs w:val="21"/>
        </w:rPr>
        <w:t>（五）对监理工作成果的要求</w:t>
      </w:r>
    </w:p>
    <w:p w14:paraId="4E115722">
      <w:pPr>
        <w:pStyle w:val="12"/>
        <w:ind w:left="0"/>
        <w:rPr>
          <w:rFonts w:cs="宋体" w:asciiTheme="minorEastAsia" w:hAnsiTheme="minorEastAsia" w:eastAsiaTheme="minorEastAsia"/>
          <w:szCs w:val="21"/>
        </w:rPr>
      </w:pPr>
      <w:r>
        <w:rPr>
          <w:rFonts w:hint="eastAsia" w:cs="宋体" w:asciiTheme="minorEastAsia" w:hAnsiTheme="minorEastAsia" w:eastAsiaTheme="minorEastAsia"/>
          <w:szCs w:val="21"/>
        </w:rPr>
        <w:t>1、监理方应有监理工作成果的管理制度，应有监理工作成果清单。</w:t>
      </w:r>
    </w:p>
    <w:p w14:paraId="09230262">
      <w:pPr>
        <w:pStyle w:val="12"/>
        <w:ind w:left="0"/>
        <w:rPr>
          <w:rFonts w:cs="宋体" w:asciiTheme="minorEastAsia" w:hAnsiTheme="minorEastAsia" w:eastAsiaTheme="minorEastAsia"/>
          <w:szCs w:val="21"/>
        </w:rPr>
      </w:pPr>
      <w:r>
        <w:rPr>
          <w:rFonts w:hint="eastAsia" w:cs="宋体" w:asciiTheme="minorEastAsia" w:hAnsiTheme="minorEastAsia" w:eastAsiaTheme="minorEastAsia"/>
          <w:szCs w:val="21"/>
        </w:rPr>
        <w:t>2、监理方应有明确的签字制度，确保监理工作成果的真实性。</w:t>
      </w:r>
    </w:p>
    <w:p w14:paraId="3E1FA884">
      <w:pPr>
        <w:pStyle w:val="12"/>
        <w:ind w:left="0"/>
        <w:rPr>
          <w:rFonts w:cs="宋体" w:asciiTheme="minorEastAsia" w:hAnsiTheme="minorEastAsia" w:eastAsiaTheme="minorEastAsia"/>
          <w:szCs w:val="21"/>
        </w:rPr>
      </w:pPr>
      <w:r>
        <w:rPr>
          <w:rFonts w:hint="eastAsia" w:cs="宋体" w:asciiTheme="minorEastAsia" w:hAnsiTheme="minorEastAsia" w:eastAsiaTheme="minorEastAsia"/>
          <w:szCs w:val="21"/>
        </w:rPr>
        <w:t>3、监理方应有监理工作成果的责任保管制度，应符合文档管理的基本原则要求。</w:t>
      </w:r>
    </w:p>
    <w:p w14:paraId="04C450F1">
      <w:pPr>
        <w:pStyle w:val="12"/>
        <w:ind w:left="0"/>
        <w:rPr>
          <w:rFonts w:eastAsiaTheme="minorEastAsia"/>
        </w:rPr>
      </w:pPr>
      <w:r>
        <w:rPr>
          <w:rFonts w:hint="eastAsia" w:cs="宋体" w:asciiTheme="minorEastAsia" w:hAnsiTheme="minorEastAsia" w:eastAsiaTheme="minorEastAsia"/>
          <w:szCs w:val="21"/>
        </w:rPr>
        <w:t>4、监理方应制定明确的资料分发制度，控制资料的分发范围，确保资料送达的及时性。</w:t>
      </w:r>
    </w:p>
    <w:p w14:paraId="6B231DD7">
      <w:pPr>
        <w:spacing w:line="400" w:lineRule="exact"/>
        <w:ind w:firstLine="482" w:firstLineChars="200"/>
        <w:rPr>
          <w:rFonts w:hint="eastAsia" w:ascii="宋体" w:hAnsi="宋体" w:eastAsia="宋体" w:cs="宋体"/>
          <w:b/>
          <w:sz w:val="24"/>
          <w:lang w:val="en-US" w:eastAsia="zh-CN"/>
        </w:rPr>
      </w:pPr>
      <w:r>
        <w:rPr>
          <w:rFonts w:hint="eastAsia" w:ascii="宋体" w:hAnsi="宋体" w:eastAsia="宋体" w:cs="宋体"/>
          <w:b/>
          <w:sz w:val="24"/>
          <w:lang w:val="en-US" w:eastAsia="zh-CN"/>
        </w:rPr>
        <w:t>（四）人员要求（必选）</w:t>
      </w:r>
    </w:p>
    <w:tbl>
      <w:tblPr>
        <w:tblStyle w:val="13"/>
        <w:tblW w:w="8957"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7"/>
        <w:gridCol w:w="547"/>
        <w:gridCol w:w="6943"/>
      </w:tblGrid>
      <w:tr w14:paraId="7E5BE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blHeader/>
        </w:trPr>
        <w:tc>
          <w:tcPr>
            <w:tcW w:w="1467" w:type="dxa"/>
            <w:tcBorders>
              <w:top w:val="single" w:color="000000" w:sz="4" w:space="0"/>
              <w:left w:val="single" w:color="000000" w:sz="4" w:space="0"/>
              <w:bottom w:val="single" w:color="000000" w:sz="4" w:space="0"/>
              <w:right w:val="single" w:color="000000" w:sz="4" w:space="0"/>
            </w:tcBorders>
            <w:vAlign w:val="center"/>
          </w:tcPr>
          <w:p w14:paraId="28E4F7B0">
            <w:pPr>
              <w:snapToGrid w:val="0"/>
              <w:spacing w:line="360" w:lineRule="auto"/>
              <w:ind w:firstLine="482" w:firstLineChars="200"/>
              <w:rPr>
                <w:rStyle w:val="23"/>
                <w:rFonts w:ascii="宋体" w:hAnsi="宋体"/>
                <w:b/>
                <w:color w:val="000000" w:themeColor="text1"/>
                <w:kern w:val="44"/>
                <w:sz w:val="24"/>
                <w14:textFill>
                  <w14:solidFill>
                    <w14:schemeClr w14:val="tx1"/>
                  </w14:solidFill>
                </w14:textFill>
              </w:rPr>
            </w:pPr>
          </w:p>
          <w:p w14:paraId="303ACE18">
            <w:pPr>
              <w:snapToGrid w:val="0"/>
              <w:spacing w:line="360" w:lineRule="auto"/>
              <w:ind w:firstLine="482" w:firstLineChars="200"/>
              <w:rPr>
                <w:rStyle w:val="23"/>
                <w:rFonts w:ascii="宋体" w:hAnsi="宋体" w:cs="宋体"/>
                <w:bCs/>
                <w:color w:val="000000" w:themeColor="text1"/>
                <w:spacing w:val="-10"/>
                <w:kern w:val="0"/>
                <w:sz w:val="24"/>
                <w14:textFill>
                  <w14:solidFill>
                    <w14:schemeClr w14:val="tx1"/>
                  </w14:solidFill>
                </w14:textFill>
              </w:rPr>
            </w:pPr>
            <w:r>
              <w:rPr>
                <w:rStyle w:val="23"/>
                <w:rFonts w:ascii="宋体" w:hAnsi="宋体"/>
                <w:b/>
                <w:color w:val="000000" w:themeColor="text1"/>
                <w:kern w:val="44"/>
                <w:sz w:val="24"/>
                <w14:textFill>
                  <w14:solidFill>
                    <w14:schemeClr w14:val="tx1"/>
                  </w14:solidFill>
                </w14:textFill>
              </w:rPr>
              <w:t>类别</w:t>
            </w:r>
          </w:p>
        </w:tc>
        <w:tc>
          <w:tcPr>
            <w:tcW w:w="547" w:type="dxa"/>
            <w:tcBorders>
              <w:top w:val="single" w:color="000000" w:sz="4" w:space="0"/>
              <w:left w:val="single" w:color="000000" w:sz="4" w:space="0"/>
              <w:bottom w:val="single" w:color="000000" w:sz="4" w:space="0"/>
              <w:right w:val="single" w:color="000000" w:sz="4" w:space="0"/>
            </w:tcBorders>
            <w:vAlign w:val="center"/>
          </w:tcPr>
          <w:p w14:paraId="513AC440">
            <w:pPr>
              <w:snapToGrid w:val="0"/>
              <w:spacing w:line="360" w:lineRule="auto"/>
              <w:jc w:val="center"/>
              <w:rPr>
                <w:rStyle w:val="23"/>
                <w:rFonts w:ascii="宋体" w:hAnsi="宋体"/>
                <w:b/>
                <w:color w:val="000000" w:themeColor="text1"/>
                <w:kern w:val="44"/>
                <w:sz w:val="24"/>
                <w14:textFill>
                  <w14:solidFill>
                    <w14:schemeClr w14:val="tx1"/>
                  </w14:solidFill>
                </w14:textFill>
              </w:rPr>
            </w:pPr>
          </w:p>
          <w:p w14:paraId="64F9517C">
            <w:pPr>
              <w:snapToGrid w:val="0"/>
              <w:spacing w:line="360" w:lineRule="auto"/>
              <w:jc w:val="center"/>
              <w:rPr>
                <w:rStyle w:val="23"/>
                <w:rFonts w:ascii="宋体" w:hAnsi="宋体" w:cs="宋体"/>
                <w:bCs/>
                <w:color w:val="000000" w:themeColor="text1"/>
                <w:kern w:val="44"/>
                <w:sz w:val="24"/>
                <w14:textFill>
                  <w14:solidFill>
                    <w14:schemeClr w14:val="tx1"/>
                  </w14:solidFill>
                </w14:textFill>
              </w:rPr>
            </w:pPr>
            <w:r>
              <w:rPr>
                <w:rStyle w:val="23"/>
                <w:rFonts w:ascii="宋体" w:hAnsi="宋体"/>
                <w:b/>
                <w:color w:val="000000" w:themeColor="text1"/>
                <w:kern w:val="44"/>
                <w:sz w:val="24"/>
                <w14:textFill>
                  <w14:solidFill>
                    <w14:schemeClr w14:val="tx1"/>
                  </w14:solidFill>
                </w14:textFill>
              </w:rPr>
              <w:t>数量</w:t>
            </w:r>
          </w:p>
        </w:tc>
        <w:tc>
          <w:tcPr>
            <w:tcW w:w="6943" w:type="dxa"/>
            <w:tcBorders>
              <w:top w:val="single" w:color="000000" w:sz="4" w:space="0"/>
              <w:left w:val="single" w:color="000000" w:sz="4" w:space="0"/>
              <w:bottom w:val="single" w:color="000000" w:sz="4" w:space="0"/>
              <w:right w:val="single" w:color="000000" w:sz="4" w:space="0"/>
            </w:tcBorders>
            <w:vAlign w:val="center"/>
          </w:tcPr>
          <w:p w14:paraId="46DC1680">
            <w:pPr>
              <w:snapToGrid w:val="0"/>
              <w:spacing w:line="360" w:lineRule="auto"/>
              <w:ind w:firstLine="482" w:firstLineChars="200"/>
              <w:jc w:val="center"/>
              <w:rPr>
                <w:rStyle w:val="23"/>
                <w:rFonts w:ascii="宋体" w:hAnsi="宋体"/>
                <w:b/>
                <w:color w:val="000000" w:themeColor="text1"/>
                <w:kern w:val="44"/>
                <w:sz w:val="24"/>
                <w14:textFill>
                  <w14:solidFill>
                    <w14:schemeClr w14:val="tx1"/>
                  </w14:solidFill>
                </w14:textFill>
              </w:rPr>
            </w:pPr>
          </w:p>
          <w:p w14:paraId="35E4D235">
            <w:pPr>
              <w:snapToGrid w:val="0"/>
              <w:spacing w:line="360" w:lineRule="auto"/>
              <w:ind w:firstLine="482" w:firstLineChars="200"/>
              <w:jc w:val="center"/>
              <w:rPr>
                <w:rStyle w:val="23"/>
                <w:rFonts w:ascii="宋体" w:hAnsi="宋体"/>
                <w:color w:val="000000" w:themeColor="text1"/>
                <w:kern w:val="0"/>
                <w:sz w:val="24"/>
                <w14:textFill>
                  <w14:solidFill>
                    <w14:schemeClr w14:val="tx1"/>
                  </w14:solidFill>
                </w14:textFill>
              </w:rPr>
            </w:pPr>
            <w:r>
              <w:rPr>
                <w:rStyle w:val="23"/>
                <w:rFonts w:ascii="宋体" w:hAnsi="宋体"/>
                <w:b/>
                <w:color w:val="000000" w:themeColor="text1"/>
                <w:kern w:val="44"/>
                <w:sz w:val="24"/>
                <w14:textFill>
                  <w14:solidFill>
                    <w14:schemeClr w14:val="tx1"/>
                  </w14:solidFill>
                </w14:textFill>
              </w:rPr>
              <w:t>基本要求</w:t>
            </w:r>
          </w:p>
        </w:tc>
      </w:tr>
      <w:tr w14:paraId="4355A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1467" w:type="dxa"/>
            <w:tcBorders>
              <w:top w:val="single" w:color="000000" w:sz="4" w:space="0"/>
              <w:left w:val="single" w:color="000000" w:sz="4" w:space="0"/>
              <w:bottom w:val="single" w:color="000000" w:sz="4" w:space="0"/>
              <w:right w:val="single" w:color="000000" w:sz="4" w:space="0"/>
            </w:tcBorders>
            <w:vAlign w:val="center"/>
          </w:tcPr>
          <w:p w14:paraId="197108DF">
            <w:pPr>
              <w:snapToGrid w:val="0"/>
              <w:spacing w:line="360" w:lineRule="auto"/>
              <w:ind w:left="-361" w:leftChars="-172" w:firstLine="420" w:firstLineChars="200"/>
              <w:jc w:val="left"/>
              <w:rPr>
                <w:rStyle w:val="23"/>
                <w:rFonts w:ascii="宋体" w:hAnsi="宋体"/>
                <w:color w:val="000000" w:themeColor="text1"/>
                <w:kern w:val="0"/>
                <w:szCs w:val="21"/>
                <w14:textFill>
                  <w14:solidFill>
                    <w14:schemeClr w14:val="tx1"/>
                  </w14:solidFill>
                </w14:textFill>
              </w:rPr>
            </w:pPr>
            <w:r>
              <w:rPr>
                <w:rStyle w:val="23"/>
                <w:rFonts w:ascii="宋体" w:hAnsi="宋体"/>
                <w:color w:val="000000" w:themeColor="text1"/>
                <w:kern w:val="0"/>
                <w:szCs w:val="21"/>
                <w14:textFill>
                  <w14:solidFill>
                    <w14:schemeClr w14:val="tx1"/>
                  </w14:solidFill>
                </w14:textFill>
              </w:rPr>
              <w:t>项目总监</w:t>
            </w:r>
          </w:p>
        </w:tc>
        <w:tc>
          <w:tcPr>
            <w:tcW w:w="547" w:type="dxa"/>
            <w:tcBorders>
              <w:top w:val="single" w:color="000000" w:sz="4" w:space="0"/>
              <w:left w:val="single" w:color="000000" w:sz="4" w:space="0"/>
              <w:bottom w:val="single" w:color="000000" w:sz="4" w:space="0"/>
              <w:right w:val="single" w:color="000000" w:sz="4" w:space="0"/>
            </w:tcBorders>
            <w:vAlign w:val="center"/>
          </w:tcPr>
          <w:p w14:paraId="611CB62A">
            <w:pPr>
              <w:snapToGrid w:val="0"/>
              <w:spacing w:line="360" w:lineRule="auto"/>
              <w:ind w:left="-361" w:leftChars="-172" w:firstLine="420" w:firstLineChars="200"/>
              <w:jc w:val="center"/>
              <w:rPr>
                <w:rStyle w:val="23"/>
                <w:rFonts w:ascii="宋体" w:hAnsi="宋体"/>
                <w:color w:val="000000" w:themeColor="text1"/>
                <w:kern w:val="0"/>
                <w:szCs w:val="21"/>
                <w14:textFill>
                  <w14:solidFill>
                    <w14:schemeClr w14:val="tx1"/>
                  </w14:solidFill>
                </w14:textFill>
              </w:rPr>
            </w:pPr>
            <w:r>
              <w:rPr>
                <w:rStyle w:val="23"/>
                <w:rFonts w:ascii="宋体" w:hAnsi="宋体"/>
                <w:color w:val="000000" w:themeColor="text1"/>
                <w:kern w:val="0"/>
                <w:szCs w:val="21"/>
                <w14:textFill>
                  <w14:solidFill>
                    <w14:schemeClr w14:val="tx1"/>
                  </w14:solidFill>
                </w14:textFill>
              </w:rPr>
              <w:t>1</w:t>
            </w:r>
          </w:p>
        </w:tc>
        <w:tc>
          <w:tcPr>
            <w:tcW w:w="6943" w:type="dxa"/>
            <w:tcBorders>
              <w:top w:val="single" w:color="000000" w:sz="4" w:space="0"/>
              <w:left w:val="single" w:color="000000" w:sz="4" w:space="0"/>
              <w:bottom w:val="single" w:color="000000" w:sz="4" w:space="0"/>
              <w:right w:val="single" w:color="000000" w:sz="4" w:space="0"/>
            </w:tcBorders>
            <w:vAlign w:val="center"/>
          </w:tcPr>
          <w:p w14:paraId="13E1747B">
            <w:pPr>
              <w:snapToGrid w:val="0"/>
              <w:spacing w:line="360" w:lineRule="auto"/>
              <w:jc w:val="left"/>
              <w:rPr>
                <w:rStyle w:val="23"/>
                <w:rFonts w:ascii="宋体" w:hAnsi="宋体"/>
                <w:color w:val="000000" w:themeColor="text1"/>
                <w:kern w:val="0"/>
                <w:szCs w:val="21"/>
                <w14:textFill>
                  <w14:solidFill>
                    <w14:schemeClr w14:val="tx1"/>
                  </w14:solidFill>
                </w14:textFill>
              </w:rPr>
            </w:pPr>
            <w:r>
              <w:rPr>
                <w:rStyle w:val="23"/>
                <w:rFonts w:hint="eastAsia" w:ascii="宋体" w:hAnsi="宋体"/>
                <w:color w:val="000000" w:themeColor="text1"/>
                <w:kern w:val="0"/>
                <w:szCs w:val="21"/>
                <w14:textFill>
                  <w14:solidFill>
                    <w14:schemeClr w14:val="tx1"/>
                  </w14:solidFill>
                </w14:textFill>
              </w:rPr>
              <w:t>拟派项目总监理工程师须具有建设部2006年4月1日后颁发的中华人民共和国注册监理工程师注册执业证书，且其注册证书专业为房屋建筑工程，注册执业单位为本公司。</w:t>
            </w:r>
            <w:r>
              <w:rPr>
                <w:rStyle w:val="23"/>
                <w:rFonts w:hint="eastAsia" w:ascii="宋体" w:hAnsi="宋体"/>
                <w:color w:val="000000" w:themeColor="text1"/>
                <w:kern w:val="0"/>
                <w:szCs w:val="21"/>
                <w:lang w:val="en-US" w:eastAsia="zh-CN"/>
                <w14:textFill>
                  <w14:solidFill>
                    <w14:schemeClr w14:val="tx1"/>
                  </w14:solidFill>
                </w14:textFill>
              </w:rPr>
              <w:t>项目工地例会</w:t>
            </w:r>
            <w:r>
              <w:rPr>
                <w:rStyle w:val="23"/>
                <w:rFonts w:ascii="宋体" w:hAnsi="宋体"/>
                <w:color w:val="000000" w:themeColor="text1"/>
                <w:kern w:val="0"/>
                <w:szCs w:val="21"/>
                <w14:textFill>
                  <w14:solidFill>
                    <w14:schemeClr w14:val="tx1"/>
                  </w14:solidFill>
                </w14:textFill>
              </w:rPr>
              <w:t>到场。</w:t>
            </w:r>
          </w:p>
        </w:tc>
      </w:tr>
      <w:tr w14:paraId="3DA16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467" w:type="dxa"/>
            <w:tcBorders>
              <w:top w:val="single" w:color="000000" w:sz="4" w:space="0"/>
              <w:left w:val="single" w:color="000000" w:sz="4" w:space="0"/>
              <w:bottom w:val="single" w:color="000000" w:sz="4" w:space="0"/>
              <w:right w:val="single" w:color="000000" w:sz="4" w:space="0"/>
            </w:tcBorders>
            <w:vAlign w:val="center"/>
          </w:tcPr>
          <w:p w14:paraId="76CA8C6F">
            <w:pPr>
              <w:snapToGrid w:val="0"/>
              <w:spacing w:line="360" w:lineRule="auto"/>
              <w:ind w:left="71" w:leftChars="34"/>
              <w:jc w:val="left"/>
              <w:rPr>
                <w:rStyle w:val="23"/>
                <w:rFonts w:ascii="宋体" w:hAnsi="宋体" w:cs="宋体"/>
                <w:bCs/>
                <w:color w:val="000000" w:themeColor="text1"/>
                <w:kern w:val="44"/>
                <w:szCs w:val="21"/>
                <w14:textFill>
                  <w14:solidFill>
                    <w14:schemeClr w14:val="tx1"/>
                  </w14:solidFill>
                </w14:textFill>
              </w:rPr>
            </w:pPr>
            <w:r>
              <w:rPr>
                <w:rStyle w:val="23"/>
                <w:rFonts w:ascii="宋体" w:hAnsi="宋体" w:cs="宋体"/>
                <w:bCs/>
                <w:color w:val="000000" w:themeColor="text1"/>
                <w:kern w:val="44"/>
                <w:szCs w:val="21"/>
                <w14:textFill>
                  <w14:solidFill>
                    <w14:schemeClr w14:val="tx1"/>
                  </w14:solidFill>
                </w14:textFill>
              </w:rPr>
              <w:t>土建监理工程师</w:t>
            </w:r>
          </w:p>
        </w:tc>
        <w:tc>
          <w:tcPr>
            <w:tcW w:w="547" w:type="dxa"/>
            <w:tcBorders>
              <w:top w:val="single" w:color="000000" w:sz="4" w:space="0"/>
              <w:left w:val="single" w:color="000000" w:sz="4" w:space="0"/>
              <w:bottom w:val="single" w:color="000000" w:sz="4" w:space="0"/>
              <w:right w:val="single" w:color="000000" w:sz="4" w:space="0"/>
            </w:tcBorders>
            <w:vAlign w:val="center"/>
          </w:tcPr>
          <w:p w14:paraId="1DD8206E">
            <w:pPr>
              <w:snapToGrid w:val="0"/>
              <w:spacing w:line="360" w:lineRule="auto"/>
              <w:ind w:left="-361" w:leftChars="-172" w:firstLine="420" w:firstLineChars="200"/>
              <w:jc w:val="center"/>
              <w:rPr>
                <w:rStyle w:val="23"/>
                <w:rFonts w:ascii="宋体" w:hAnsi="宋体"/>
                <w:color w:val="000000" w:themeColor="text1"/>
                <w:kern w:val="0"/>
                <w:szCs w:val="21"/>
                <w14:textFill>
                  <w14:solidFill>
                    <w14:schemeClr w14:val="tx1"/>
                  </w14:solidFill>
                </w14:textFill>
              </w:rPr>
            </w:pPr>
            <w:r>
              <w:rPr>
                <w:rStyle w:val="23"/>
                <w:rFonts w:hint="eastAsia" w:ascii="宋体" w:hAnsi="宋体"/>
                <w:color w:val="000000" w:themeColor="text1"/>
                <w:kern w:val="0"/>
                <w:szCs w:val="21"/>
                <w14:textFill>
                  <w14:solidFill>
                    <w14:schemeClr w14:val="tx1"/>
                  </w14:solidFill>
                </w14:textFill>
              </w:rPr>
              <w:t>1</w:t>
            </w:r>
          </w:p>
        </w:tc>
        <w:tc>
          <w:tcPr>
            <w:tcW w:w="6943" w:type="dxa"/>
            <w:tcBorders>
              <w:top w:val="single" w:color="000000" w:sz="4" w:space="0"/>
              <w:left w:val="single" w:color="000000" w:sz="4" w:space="0"/>
              <w:bottom w:val="single" w:color="000000" w:sz="4" w:space="0"/>
              <w:right w:val="single" w:color="000000" w:sz="4" w:space="0"/>
            </w:tcBorders>
            <w:vAlign w:val="center"/>
          </w:tcPr>
          <w:p w14:paraId="7A375FEA">
            <w:pPr>
              <w:snapToGrid w:val="0"/>
              <w:spacing w:line="360" w:lineRule="auto"/>
              <w:jc w:val="left"/>
              <w:rPr>
                <w:rStyle w:val="23"/>
                <w:rFonts w:ascii="宋体" w:hAnsi="宋体"/>
                <w:color w:val="000000" w:themeColor="text1"/>
                <w:kern w:val="0"/>
                <w:szCs w:val="21"/>
                <w14:textFill>
                  <w14:solidFill>
                    <w14:schemeClr w14:val="tx1"/>
                  </w14:solidFill>
                </w14:textFill>
              </w:rPr>
            </w:pPr>
            <w:r>
              <w:rPr>
                <w:rStyle w:val="23"/>
                <w:rFonts w:ascii="宋体" w:hAnsi="宋体"/>
                <w:color w:val="000000" w:themeColor="text1"/>
                <w:kern w:val="0"/>
                <w:szCs w:val="21"/>
                <w14:textFill>
                  <w14:solidFill>
                    <w14:schemeClr w14:val="tx1"/>
                  </w14:solidFill>
                </w14:textFill>
              </w:rPr>
              <w:t>单位在</w:t>
            </w:r>
            <w:r>
              <w:rPr>
                <w:rStyle w:val="23"/>
                <w:rFonts w:hint="eastAsia" w:ascii="宋体" w:hAnsi="宋体"/>
                <w:color w:val="000000" w:themeColor="text1"/>
                <w:kern w:val="0"/>
                <w:szCs w:val="21"/>
                <w14:textFill>
                  <w14:solidFill>
                    <w14:schemeClr w14:val="tx1"/>
                  </w14:solidFill>
                </w14:textFill>
              </w:rPr>
              <w:t>职</w:t>
            </w:r>
            <w:r>
              <w:rPr>
                <w:rStyle w:val="23"/>
                <w:rFonts w:ascii="宋体" w:hAnsi="宋体"/>
                <w:color w:val="000000" w:themeColor="text1"/>
                <w:kern w:val="0"/>
                <w:szCs w:val="21"/>
                <w14:textFill>
                  <w14:solidFill>
                    <w14:schemeClr w14:val="tx1"/>
                  </w14:solidFill>
                </w14:textFill>
              </w:rPr>
              <w:t>人员，</w:t>
            </w:r>
            <w:r>
              <w:rPr>
                <w:rStyle w:val="23"/>
                <w:rFonts w:hint="eastAsia" w:ascii="宋体" w:hAnsi="宋体"/>
                <w:color w:val="000000" w:themeColor="text1"/>
                <w:kern w:val="0"/>
                <w:szCs w:val="21"/>
                <w14:textFill>
                  <w14:solidFill>
                    <w14:schemeClr w14:val="tx1"/>
                  </w14:solidFill>
                </w14:textFill>
              </w:rPr>
              <w:t>持有房屋建筑工程专业注册监理工程师证或房屋建筑工程专业监理工程师证书</w:t>
            </w:r>
            <w:r>
              <w:rPr>
                <w:rStyle w:val="23"/>
                <w:rFonts w:ascii="宋体" w:hAnsi="宋体"/>
                <w:color w:val="000000" w:themeColor="text1"/>
                <w:kern w:val="0"/>
                <w:szCs w:val="21"/>
                <w14:textFill>
                  <w14:solidFill>
                    <w14:schemeClr w14:val="tx1"/>
                  </w14:solidFill>
                </w14:textFill>
              </w:rPr>
              <w:t>。</w:t>
            </w:r>
            <w:r>
              <w:rPr>
                <w:rStyle w:val="23"/>
                <w:rFonts w:hint="eastAsia" w:ascii="宋体" w:hAnsi="宋体"/>
                <w:color w:val="000000" w:themeColor="text1"/>
                <w:kern w:val="0"/>
                <w:szCs w:val="21"/>
                <w14:textFill>
                  <w14:solidFill>
                    <w14:schemeClr w14:val="tx1"/>
                  </w14:solidFill>
                </w14:textFill>
              </w:rPr>
              <w:t>需</w:t>
            </w:r>
            <w:r>
              <w:rPr>
                <w:rStyle w:val="23"/>
                <w:rFonts w:ascii="宋体" w:hAnsi="宋体"/>
                <w:color w:val="000000" w:themeColor="text1"/>
                <w:kern w:val="0"/>
                <w:szCs w:val="21"/>
                <w14:textFill>
                  <w14:solidFill>
                    <w14:schemeClr w14:val="tx1"/>
                  </w14:solidFill>
                </w14:textFill>
              </w:rPr>
              <w:t>驻场。</w:t>
            </w:r>
            <w:bookmarkStart w:id="1" w:name="_GoBack"/>
            <w:bookmarkEnd w:id="1"/>
          </w:p>
        </w:tc>
      </w:tr>
      <w:tr w14:paraId="3E6CD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467" w:type="dxa"/>
            <w:tcBorders>
              <w:top w:val="single" w:color="000000" w:sz="4" w:space="0"/>
              <w:left w:val="single" w:color="000000" w:sz="4" w:space="0"/>
              <w:bottom w:val="single" w:color="000000" w:sz="4" w:space="0"/>
              <w:right w:val="single" w:color="000000" w:sz="4" w:space="0"/>
            </w:tcBorders>
            <w:vAlign w:val="center"/>
          </w:tcPr>
          <w:p w14:paraId="5B0D4E2C">
            <w:pPr>
              <w:snapToGrid w:val="0"/>
              <w:spacing w:line="360" w:lineRule="auto"/>
              <w:ind w:left="71" w:leftChars="34"/>
              <w:jc w:val="left"/>
              <w:rPr>
                <w:rStyle w:val="23"/>
                <w:rFonts w:ascii="宋体" w:hAnsi="宋体" w:cs="宋体"/>
                <w:bCs/>
                <w:color w:val="000000" w:themeColor="text1"/>
                <w:kern w:val="44"/>
                <w:szCs w:val="21"/>
                <w14:textFill>
                  <w14:solidFill>
                    <w14:schemeClr w14:val="tx1"/>
                  </w14:solidFill>
                </w14:textFill>
              </w:rPr>
            </w:pPr>
            <w:r>
              <w:rPr>
                <w:rStyle w:val="23"/>
                <w:rFonts w:ascii="宋体" w:hAnsi="宋体" w:cs="宋体"/>
                <w:bCs/>
                <w:color w:val="000000" w:themeColor="text1"/>
                <w:kern w:val="44"/>
                <w:szCs w:val="21"/>
                <w14:textFill>
                  <w14:solidFill>
                    <w14:schemeClr w14:val="tx1"/>
                  </w14:solidFill>
                </w14:textFill>
              </w:rPr>
              <w:t>机电监理工程师</w:t>
            </w:r>
          </w:p>
        </w:tc>
        <w:tc>
          <w:tcPr>
            <w:tcW w:w="547" w:type="dxa"/>
            <w:tcBorders>
              <w:top w:val="single" w:color="000000" w:sz="4" w:space="0"/>
              <w:left w:val="single" w:color="000000" w:sz="4" w:space="0"/>
              <w:bottom w:val="single" w:color="000000" w:sz="4" w:space="0"/>
              <w:right w:val="single" w:color="000000" w:sz="4" w:space="0"/>
            </w:tcBorders>
            <w:vAlign w:val="center"/>
          </w:tcPr>
          <w:p w14:paraId="584DA254">
            <w:pPr>
              <w:snapToGrid w:val="0"/>
              <w:spacing w:line="360" w:lineRule="auto"/>
              <w:ind w:left="-361" w:leftChars="-172" w:firstLine="420" w:firstLineChars="200"/>
              <w:jc w:val="center"/>
              <w:rPr>
                <w:rStyle w:val="23"/>
                <w:rFonts w:ascii="宋体" w:hAnsi="宋体" w:cs="宋体"/>
                <w:bCs/>
                <w:color w:val="000000" w:themeColor="text1"/>
                <w:kern w:val="44"/>
                <w:szCs w:val="21"/>
                <w14:textFill>
                  <w14:solidFill>
                    <w14:schemeClr w14:val="tx1"/>
                  </w14:solidFill>
                </w14:textFill>
              </w:rPr>
            </w:pPr>
            <w:r>
              <w:rPr>
                <w:rStyle w:val="23"/>
                <w:rFonts w:ascii="宋体" w:hAnsi="宋体" w:cs="宋体"/>
                <w:bCs/>
                <w:color w:val="000000" w:themeColor="text1"/>
                <w:kern w:val="44"/>
                <w:szCs w:val="21"/>
                <w14:textFill>
                  <w14:solidFill>
                    <w14:schemeClr w14:val="tx1"/>
                  </w14:solidFill>
                </w14:textFill>
              </w:rPr>
              <w:t>1</w:t>
            </w:r>
          </w:p>
        </w:tc>
        <w:tc>
          <w:tcPr>
            <w:tcW w:w="6943" w:type="dxa"/>
            <w:tcBorders>
              <w:top w:val="single" w:color="000000" w:sz="4" w:space="0"/>
              <w:left w:val="single" w:color="000000" w:sz="4" w:space="0"/>
              <w:bottom w:val="single" w:color="000000" w:sz="4" w:space="0"/>
              <w:right w:val="single" w:color="000000" w:sz="4" w:space="0"/>
            </w:tcBorders>
            <w:vAlign w:val="center"/>
          </w:tcPr>
          <w:p w14:paraId="57E2A7FF">
            <w:pPr>
              <w:snapToGrid w:val="0"/>
              <w:spacing w:line="360" w:lineRule="auto"/>
              <w:jc w:val="left"/>
              <w:rPr>
                <w:rStyle w:val="23"/>
                <w:rFonts w:ascii="宋体" w:hAnsi="宋体"/>
                <w:color w:val="000000" w:themeColor="text1"/>
                <w:kern w:val="0"/>
                <w:szCs w:val="21"/>
                <w14:textFill>
                  <w14:solidFill>
                    <w14:schemeClr w14:val="tx1"/>
                  </w14:solidFill>
                </w14:textFill>
              </w:rPr>
            </w:pPr>
            <w:r>
              <w:rPr>
                <w:rStyle w:val="23"/>
                <w:rFonts w:ascii="宋体" w:hAnsi="宋体"/>
                <w:color w:val="000000" w:themeColor="text1"/>
                <w:kern w:val="0"/>
                <w:szCs w:val="21"/>
                <w14:textFill>
                  <w14:solidFill>
                    <w14:schemeClr w14:val="tx1"/>
                  </w14:solidFill>
                </w14:textFill>
              </w:rPr>
              <w:t>单位在</w:t>
            </w:r>
            <w:r>
              <w:rPr>
                <w:rStyle w:val="23"/>
                <w:rFonts w:hint="eastAsia" w:ascii="宋体" w:hAnsi="宋体"/>
                <w:color w:val="000000" w:themeColor="text1"/>
                <w:kern w:val="0"/>
                <w:szCs w:val="21"/>
                <w14:textFill>
                  <w14:solidFill>
                    <w14:schemeClr w14:val="tx1"/>
                  </w14:solidFill>
                </w14:textFill>
              </w:rPr>
              <w:t>职</w:t>
            </w:r>
            <w:r>
              <w:rPr>
                <w:rStyle w:val="23"/>
                <w:rFonts w:ascii="宋体" w:hAnsi="宋体"/>
                <w:color w:val="000000" w:themeColor="text1"/>
                <w:kern w:val="0"/>
                <w:szCs w:val="21"/>
                <w14:textFill>
                  <w14:solidFill>
                    <w14:schemeClr w14:val="tx1"/>
                  </w14:solidFill>
                </w14:textFill>
              </w:rPr>
              <w:t>人员，</w:t>
            </w:r>
            <w:r>
              <w:rPr>
                <w:rStyle w:val="23"/>
                <w:rFonts w:hint="eastAsia" w:ascii="宋体" w:hAnsi="宋体"/>
                <w:color w:val="000000" w:themeColor="text1"/>
                <w:kern w:val="0"/>
                <w:szCs w:val="21"/>
                <w14:textFill>
                  <w14:solidFill>
                    <w14:schemeClr w14:val="tx1"/>
                  </w14:solidFill>
                </w14:textFill>
              </w:rPr>
              <w:t>持有机电安装工程专业注册监理工程师证或机电安装工程专业监理工程师证书</w:t>
            </w:r>
            <w:r>
              <w:rPr>
                <w:rStyle w:val="23"/>
                <w:rFonts w:ascii="宋体" w:hAnsi="宋体" w:cs="宋体"/>
                <w:bCs/>
                <w:color w:val="000000" w:themeColor="text1"/>
                <w:kern w:val="44"/>
                <w:szCs w:val="21"/>
                <w14:textFill>
                  <w14:solidFill>
                    <w14:schemeClr w14:val="tx1"/>
                  </w14:solidFill>
                </w14:textFill>
              </w:rPr>
              <w:t>。</w:t>
            </w:r>
            <w:r>
              <w:rPr>
                <w:rStyle w:val="23"/>
                <w:rFonts w:hint="eastAsia" w:ascii="宋体" w:hAnsi="宋体" w:cs="宋体"/>
                <w:bCs/>
                <w:color w:val="000000" w:themeColor="text1"/>
                <w:kern w:val="44"/>
                <w:szCs w:val="21"/>
                <w14:textFill>
                  <w14:solidFill>
                    <w14:schemeClr w14:val="tx1"/>
                  </w14:solidFill>
                </w14:textFill>
              </w:rPr>
              <w:t>需</w:t>
            </w:r>
            <w:r>
              <w:rPr>
                <w:rStyle w:val="23"/>
                <w:rFonts w:ascii="宋体" w:hAnsi="宋体"/>
                <w:color w:val="000000" w:themeColor="text1"/>
                <w:kern w:val="0"/>
                <w:szCs w:val="21"/>
                <w14:textFill>
                  <w14:solidFill>
                    <w14:schemeClr w14:val="tx1"/>
                  </w14:solidFill>
                </w14:textFill>
              </w:rPr>
              <w:t>驻场。</w:t>
            </w:r>
          </w:p>
        </w:tc>
      </w:tr>
      <w:tr w14:paraId="76C6B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467" w:type="dxa"/>
            <w:tcBorders>
              <w:top w:val="single" w:color="000000" w:sz="4" w:space="0"/>
              <w:left w:val="single" w:color="000000" w:sz="4" w:space="0"/>
              <w:bottom w:val="single" w:color="000000" w:sz="4" w:space="0"/>
              <w:right w:val="single" w:color="000000" w:sz="4" w:space="0"/>
            </w:tcBorders>
            <w:vAlign w:val="center"/>
          </w:tcPr>
          <w:p w14:paraId="6B7B8D30">
            <w:pPr>
              <w:snapToGrid w:val="0"/>
              <w:spacing w:line="360" w:lineRule="auto"/>
              <w:ind w:left="71" w:leftChars="34"/>
              <w:jc w:val="left"/>
              <w:rPr>
                <w:rStyle w:val="23"/>
                <w:rFonts w:ascii="宋体" w:hAnsi="宋体" w:cs="宋体"/>
                <w:bCs/>
                <w:color w:val="000000" w:themeColor="text1"/>
                <w:kern w:val="44"/>
                <w:szCs w:val="21"/>
                <w14:textFill>
                  <w14:solidFill>
                    <w14:schemeClr w14:val="tx1"/>
                  </w14:solidFill>
                </w14:textFill>
              </w:rPr>
            </w:pPr>
            <w:r>
              <w:rPr>
                <w:rStyle w:val="23"/>
                <w:rFonts w:ascii="宋体" w:hAnsi="宋体" w:cs="宋体"/>
                <w:bCs/>
                <w:color w:val="000000" w:themeColor="text1"/>
                <w:kern w:val="44"/>
                <w:szCs w:val="21"/>
                <w14:textFill>
                  <w14:solidFill>
                    <w14:schemeClr w14:val="tx1"/>
                  </w14:solidFill>
                </w14:textFill>
              </w:rPr>
              <w:t>安全监理工程师</w:t>
            </w:r>
          </w:p>
        </w:tc>
        <w:tc>
          <w:tcPr>
            <w:tcW w:w="547" w:type="dxa"/>
            <w:tcBorders>
              <w:top w:val="single" w:color="000000" w:sz="4" w:space="0"/>
              <w:left w:val="single" w:color="000000" w:sz="4" w:space="0"/>
              <w:bottom w:val="single" w:color="000000" w:sz="4" w:space="0"/>
              <w:right w:val="single" w:color="000000" w:sz="4" w:space="0"/>
            </w:tcBorders>
            <w:vAlign w:val="center"/>
          </w:tcPr>
          <w:p w14:paraId="49984A36">
            <w:pPr>
              <w:snapToGrid w:val="0"/>
              <w:spacing w:line="360" w:lineRule="auto"/>
              <w:ind w:left="-361" w:leftChars="-172" w:firstLine="420" w:firstLineChars="200"/>
              <w:jc w:val="center"/>
              <w:rPr>
                <w:rStyle w:val="23"/>
                <w:rFonts w:ascii="宋体" w:hAnsi="宋体" w:cs="宋体"/>
                <w:bCs/>
                <w:color w:val="000000" w:themeColor="text1"/>
                <w:kern w:val="44"/>
                <w:szCs w:val="21"/>
                <w14:textFill>
                  <w14:solidFill>
                    <w14:schemeClr w14:val="tx1"/>
                  </w14:solidFill>
                </w14:textFill>
              </w:rPr>
            </w:pPr>
            <w:r>
              <w:rPr>
                <w:rStyle w:val="23"/>
                <w:rFonts w:ascii="宋体" w:hAnsi="宋体" w:cs="宋体"/>
                <w:bCs/>
                <w:color w:val="000000" w:themeColor="text1"/>
                <w:kern w:val="44"/>
                <w:szCs w:val="21"/>
                <w14:textFill>
                  <w14:solidFill>
                    <w14:schemeClr w14:val="tx1"/>
                  </w14:solidFill>
                </w14:textFill>
              </w:rPr>
              <w:t>1</w:t>
            </w:r>
          </w:p>
        </w:tc>
        <w:tc>
          <w:tcPr>
            <w:tcW w:w="6943" w:type="dxa"/>
            <w:tcBorders>
              <w:top w:val="single" w:color="000000" w:sz="4" w:space="0"/>
              <w:left w:val="single" w:color="000000" w:sz="4" w:space="0"/>
              <w:bottom w:val="single" w:color="000000" w:sz="4" w:space="0"/>
              <w:right w:val="single" w:color="000000" w:sz="4" w:space="0"/>
            </w:tcBorders>
            <w:vAlign w:val="center"/>
          </w:tcPr>
          <w:p w14:paraId="5365FEE4">
            <w:pPr>
              <w:snapToGrid w:val="0"/>
              <w:spacing w:line="360" w:lineRule="auto"/>
              <w:jc w:val="left"/>
              <w:rPr>
                <w:rStyle w:val="23"/>
                <w:rFonts w:ascii="宋体" w:hAnsi="宋体" w:cs="宋体"/>
                <w:bCs/>
                <w:color w:val="000000" w:themeColor="text1"/>
                <w:kern w:val="44"/>
                <w:szCs w:val="21"/>
                <w14:textFill>
                  <w14:solidFill>
                    <w14:schemeClr w14:val="tx1"/>
                  </w14:solidFill>
                </w14:textFill>
              </w:rPr>
            </w:pPr>
            <w:r>
              <w:rPr>
                <w:rStyle w:val="23"/>
                <w:rFonts w:ascii="宋体" w:hAnsi="宋体"/>
                <w:color w:val="000000" w:themeColor="text1"/>
                <w:kern w:val="0"/>
                <w:szCs w:val="21"/>
                <w14:textFill>
                  <w14:solidFill>
                    <w14:schemeClr w14:val="tx1"/>
                  </w14:solidFill>
                </w14:textFill>
              </w:rPr>
              <w:t>单位在</w:t>
            </w:r>
            <w:r>
              <w:rPr>
                <w:rStyle w:val="23"/>
                <w:rFonts w:hint="eastAsia" w:ascii="宋体" w:hAnsi="宋体"/>
                <w:color w:val="000000" w:themeColor="text1"/>
                <w:kern w:val="0"/>
                <w:szCs w:val="21"/>
                <w14:textFill>
                  <w14:solidFill>
                    <w14:schemeClr w14:val="tx1"/>
                  </w14:solidFill>
                </w14:textFill>
              </w:rPr>
              <w:t>职</w:t>
            </w:r>
            <w:r>
              <w:rPr>
                <w:rStyle w:val="23"/>
                <w:rFonts w:ascii="宋体" w:hAnsi="宋体"/>
                <w:color w:val="000000" w:themeColor="text1"/>
                <w:kern w:val="0"/>
                <w:szCs w:val="21"/>
                <w14:textFill>
                  <w14:solidFill>
                    <w14:schemeClr w14:val="tx1"/>
                  </w14:solidFill>
                </w14:textFill>
              </w:rPr>
              <w:t>人员，</w:t>
            </w:r>
            <w:r>
              <w:rPr>
                <w:rStyle w:val="23"/>
                <w:rFonts w:ascii="宋体" w:hAnsi="宋体" w:cs="宋体"/>
                <w:bCs/>
                <w:color w:val="000000" w:themeColor="text1"/>
                <w:kern w:val="44"/>
                <w:szCs w:val="21"/>
                <w14:textFill>
                  <w14:solidFill>
                    <w14:schemeClr w14:val="tx1"/>
                  </w14:solidFill>
                </w14:textFill>
              </w:rPr>
              <w:t>具有</w:t>
            </w:r>
            <w:r>
              <w:rPr>
                <w:rStyle w:val="23"/>
                <w:rFonts w:hint="eastAsia" w:ascii="宋体" w:hAnsi="宋体" w:cs="宋体"/>
                <w:bCs/>
                <w:color w:val="000000" w:themeColor="text1"/>
                <w:kern w:val="44"/>
                <w:szCs w:val="21"/>
                <w14:textFill>
                  <w14:solidFill>
                    <w14:schemeClr w14:val="tx1"/>
                  </w14:solidFill>
                </w14:textFill>
              </w:rPr>
              <w:t>注册安全工程师证书或</w:t>
            </w:r>
            <w:r>
              <w:rPr>
                <w:rStyle w:val="23"/>
                <w:rFonts w:ascii="宋体" w:hAnsi="宋体" w:cs="宋体"/>
                <w:bCs/>
                <w:color w:val="000000" w:themeColor="text1"/>
                <w:kern w:val="44"/>
                <w:szCs w:val="21"/>
                <w14:textFill>
                  <w14:solidFill>
                    <w14:schemeClr w14:val="tx1"/>
                  </w14:solidFill>
                </w14:textFill>
              </w:rPr>
              <w:t>安全培训证书或上岗证。</w:t>
            </w:r>
            <w:r>
              <w:rPr>
                <w:rStyle w:val="23"/>
                <w:rFonts w:hint="eastAsia" w:ascii="宋体" w:hAnsi="宋体" w:cs="宋体"/>
                <w:bCs/>
                <w:color w:val="000000" w:themeColor="text1"/>
                <w:kern w:val="44"/>
                <w:szCs w:val="21"/>
                <w14:textFill>
                  <w14:solidFill>
                    <w14:schemeClr w14:val="tx1"/>
                  </w14:solidFill>
                </w14:textFill>
              </w:rPr>
              <w:t>需</w:t>
            </w:r>
            <w:r>
              <w:rPr>
                <w:rStyle w:val="23"/>
                <w:rFonts w:ascii="宋体" w:hAnsi="宋体" w:cs="宋体"/>
                <w:bCs/>
                <w:color w:val="000000" w:themeColor="text1"/>
                <w:kern w:val="44"/>
                <w:szCs w:val="21"/>
                <w14:textFill>
                  <w14:solidFill>
                    <w14:schemeClr w14:val="tx1"/>
                  </w14:solidFill>
                </w14:textFill>
              </w:rPr>
              <w:t>驻场。</w:t>
            </w:r>
          </w:p>
        </w:tc>
      </w:tr>
      <w:tr w14:paraId="5C3D6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467" w:type="dxa"/>
            <w:tcBorders>
              <w:top w:val="single" w:color="000000" w:sz="4" w:space="0"/>
              <w:left w:val="single" w:color="000000" w:sz="4" w:space="0"/>
              <w:bottom w:val="single" w:color="000000" w:sz="4" w:space="0"/>
              <w:right w:val="single" w:color="000000" w:sz="4" w:space="0"/>
            </w:tcBorders>
            <w:vAlign w:val="center"/>
          </w:tcPr>
          <w:p w14:paraId="48B01B44">
            <w:pPr>
              <w:snapToGrid w:val="0"/>
              <w:spacing w:line="360" w:lineRule="auto"/>
              <w:ind w:left="71" w:leftChars="34"/>
              <w:jc w:val="left"/>
              <w:rPr>
                <w:rStyle w:val="23"/>
                <w:rFonts w:ascii="宋体" w:hAnsi="宋体" w:cs="宋体"/>
                <w:bCs/>
                <w:color w:val="000000" w:themeColor="text1"/>
                <w:kern w:val="44"/>
                <w:szCs w:val="21"/>
                <w14:textFill>
                  <w14:solidFill>
                    <w14:schemeClr w14:val="tx1"/>
                  </w14:solidFill>
                </w14:textFill>
              </w:rPr>
            </w:pPr>
            <w:r>
              <w:rPr>
                <w:rStyle w:val="23"/>
                <w:rFonts w:ascii="宋体" w:hAnsi="宋体" w:cs="宋体"/>
                <w:bCs/>
                <w:color w:val="000000" w:themeColor="text1"/>
                <w:kern w:val="44"/>
                <w:szCs w:val="21"/>
                <w14:textFill>
                  <w14:solidFill>
                    <w14:schemeClr w14:val="tx1"/>
                  </w14:solidFill>
                </w14:textFill>
              </w:rPr>
              <w:t>监理员</w:t>
            </w:r>
          </w:p>
        </w:tc>
        <w:tc>
          <w:tcPr>
            <w:tcW w:w="547" w:type="dxa"/>
            <w:tcBorders>
              <w:top w:val="single" w:color="000000" w:sz="4" w:space="0"/>
              <w:left w:val="single" w:color="000000" w:sz="4" w:space="0"/>
              <w:bottom w:val="single" w:color="000000" w:sz="4" w:space="0"/>
              <w:right w:val="single" w:color="000000" w:sz="4" w:space="0"/>
            </w:tcBorders>
            <w:vAlign w:val="center"/>
          </w:tcPr>
          <w:p w14:paraId="7CBC8C8D">
            <w:pPr>
              <w:snapToGrid w:val="0"/>
              <w:spacing w:line="360" w:lineRule="auto"/>
              <w:ind w:left="-361" w:leftChars="-172" w:firstLine="420" w:firstLineChars="200"/>
              <w:jc w:val="center"/>
              <w:rPr>
                <w:rStyle w:val="23"/>
                <w:rFonts w:ascii="宋体" w:hAnsi="宋体" w:cs="宋体"/>
                <w:bCs/>
                <w:color w:val="000000" w:themeColor="text1"/>
                <w:kern w:val="44"/>
                <w:szCs w:val="21"/>
                <w14:textFill>
                  <w14:solidFill>
                    <w14:schemeClr w14:val="tx1"/>
                  </w14:solidFill>
                </w14:textFill>
              </w:rPr>
            </w:pPr>
            <w:r>
              <w:rPr>
                <w:rStyle w:val="23"/>
                <w:rFonts w:ascii="宋体" w:hAnsi="宋体" w:cs="宋体"/>
                <w:bCs/>
                <w:color w:val="000000" w:themeColor="text1"/>
                <w:kern w:val="44"/>
                <w:szCs w:val="21"/>
                <w14:textFill>
                  <w14:solidFill>
                    <w14:schemeClr w14:val="tx1"/>
                  </w14:solidFill>
                </w14:textFill>
              </w:rPr>
              <w:t>1</w:t>
            </w:r>
          </w:p>
        </w:tc>
        <w:tc>
          <w:tcPr>
            <w:tcW w:w="6943" w:type="dxa"/>
            <w:tcBorders>
              <w:top w:val="single" w:color="000000" w:sz="4" w:space="0"/>
              <w:left w:val="single" w:color="000000" w:sz="4" w:space="0"/>
              <w:bottom w:val="single" w:color="000000" w:sz="4" w:space="0"/>
              <w:right w:val="single" w:color="000000" w:sz="4" w:space="0"/>
            </w:tcBorders>
            <w:vAlign w:val="center"/>
          </w:tcPr>
          <w:p w14:paraId="5AF00B17">
            <w:pPr>
              <w:snapToGrid w:val="0"/>
              <w:spacing w:line="360" w:lineRule="auto"/>
              <w:jc w:val="left"/>
              <w:rPr>
                <w:rStyle w:val="23"/>
                <w:rFonts w:ascii="宋体" w:hAnsi="宋体"/>
                <w:color w:val="000000" w:themeColor="text1"/>
                <w:kern w:val="0"/>
                <w:szCs w:val="21"/>
                <w14:textFill>
                  <w14:solidFill>
                    <w14:schemeClr w14:val="tx1"/>
                  </w14:solidFill>
                </w14:textFill>
              </w:rPr>
            </w:pPr>
            <w:r>
              <w:rPr>
                <w:rStyle w:val="23"/>
                <w:rFonts w:hint="eastAsia" w:ascii="宋体" w:hAnsi="宋体"/>
                <w:color w:val="000000" w:themeColor="text1"/>
                <w:kern w:val="0"/>
                <w:szCs w:val="21"/>
                <w14:textFill>
                  <w14:solidFill>
                    <w14:schemeClr w14:val="tx1"/>
                  </w14:solidFill>
                </w14:textFill>
              </w:rPr>
              <w:t>持有房屋建筑工程专业监理工程师证或监理员证书</w:t>
            </w:r>
            <w:r>
              <w:rPr>
                <w:rStyle w:val="23"/>
                <w:rFonts w:ascii="宋体" w:hAnsi="宋体"/>
                <w:color w:val="000000" w:themeColor="text1"/>
                <w:kern w:val="0"/>
                <w:szCs w:val="21"/>
                <w14:textFill>
                  <w14:solidFill>
                    <w14:schemeClr w14:val="tx1"/>
                  </w14:solidFill>
                </w14:textFill>
              </w:rPr>
              <w:t>。</w:t>
            </w:r>
            <w:r>
              <w:rPr>
                <w:rStyle w:val="23"/>
                <w:rFonts w:hint="eastAsia" w:ascii="宋体" w:hAnsi="宋体" w:cs="宋体"/>
                <w:bCs/>
                <w:color w:val="000000" w:themeColor="text1"/>
                <w:kern w:val="44"/>
                <w:szCs w:val="21"/>
                <w14:textFill>
                  <w14:solidFill>
                    <w14:schemeClr w14:val="tx1"/>
                  </w14:solidFill>
                </w14:textFill>
              </w:rPr>
              <w:t>需</w:t>
            </w:r>
            <w:r>
              <w:rPr>
                <w:rStyle w:val="23"/>
                <w:rFonts w:ascii="宋体" w:hAnsi="宋体"/>
                <w:color w:val="000000" w:themeColor="text1"/>
                <w:kern w:val="0"/>
                <w:szCs w:val="21"/>
                <w14:textFill>
                  <w14:solidFill>
                    <w14:schemeClr w14:val="tx1"/>
                  </w14:solidFill>
                </w14:textFill>
              </w:rPr>
              <w:t>驻场。</w:t>
            </w:r>
          </w:p>
        </w:tc>
      </w:tr>
      <w:tr w14:paraId="446B3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1467" w:type="dxa"/>
            <w:tcBorders>
              <w:top w:val="single" w:color="000000" w:sz="4" w:space="0"/>
              <w:left w:val="single" w:color="000000" w:sz="4" w:space="0"/>
              <w:bottom w:val="single" w:color="000000" w:sz="4" w:space="0"/>
              <w:right w:val="single" w:color="000000" w:sz="4" w:space="0"/>
            </w:tcBorders>
            <w:vAlign w:val="center"/>
          </w:tcPr>
          <w:p w14:paraId="3996F0B1">
            <w:pPr>
              <w:snapToGrid w:val="0"/>
              <w:spacing w:line="360" w:lineRule="auto"/>
              <w:ind w:left="71" w:leftChars="34"/>
              <w:jc w:val="center"/>
              <w:rPr>
                <w:rStyle w:val="23"/>
                <w:rFonts w:ascii="宋体" w:hAnsi="宋体" w:cs="宋体"/>
                <w:bCs/>
                <w:color w:val="000000" w:themeColor="text1"/>
                <w:kern w:val="44"/>
                <w:szCs w:val="21"/>
                <w14:textFill>
                  <w14:solidFill>
                    <w14:schemeClr w14:val="tx1"/>
                  </w14:solidFill>
                </w14:textFill>
              </w:rPr>
            </w:pPr>
            <w:r>
              <w:rPr>
                <w:rStyle w:val="23"/>
                <w:rFonts w:hint="eastAsia" w:ascii="宋体" w:hAnsi="宋体" w:cs="宋体"/>
                <w:bCs/>
                <w:color w:val="000000" w:themeColor="text1"/>
                <w:kern w:val="44"/>
                <w:szCs w:val="21"/>
                <w14:textFill>
                  <w14:solidFill>
                    <w14:schemeClr w14:val="tx1"/>
                  </w14:solidFill>
                </w14:textFill>
              </w:rPr>
              <w:t>备注</w:t>
            </w:r>
          </w:p>
        </w:tc>
        <w:tc>
          <w:tcPr>
            <w:tcW w:w="547" w:type="dxa"/>
            <w:tcBorders>
              <w:top w:val="single" w:color="000000" w:sz="4" w:space="0"/>
              <w:left w:val="single" w:color="000000" w:sz="4" w:space="0"/>
              <w:bottom w:val="single" w:color="000000" w:sz="4" w:space="0"/>
              <w:right w:val="single" w:color="000000" w:sz="4" w:space="0"/>
            </w:tcBorders>
            <w:vAlign w:val="center"/>
          </w:tcPr>
          <w:p w14:paraId="0F1BEEF4">
            <w:pPr>
              <w:snapToGrid w:val="0"/>
              <w:spacing w:line="360" w:lineRule="auto"/>
              <w:ind w:left="-361" w:leftChars="-172" w:firstLine="420" w:firstLineChars="200"/>
              <w:jc w:val="center"/>
              <w:rPr>
                <w:rStyle w:val="23"/>
                <w:rFonts w:ascii="宋体" w:hAnsi="宋体" w:cs="宋体"/>
                <w:bCs/>
                <w:color w:val="000000" w:themeColor="text1"/>
                <w:kern w:val="44"/>
                <w:szCs w:val="21"/>
                <w14:textFill>
                  <w14:solidFill>
                    <w14:schemeClr w14:val="tx1"/>
                  </w14:solidFill>
                </w14:textFill>
              </w:rPr>
            </w:pPr>
            <w:r>
              <w:rPr>
                <w:rStyle w:val="23"/>
                <w:rFonts w:hint="eastAsia" w:ascii="宋体" w:hAnsi="宋体" w:cs="宋体"/>
                <w:bCs/>
                <w:color w:val="000000" w:themeColor="text1"/>
                <w:kern w:val="44"/>
                <w:szCs w:val="21"/>
                <w14:textFill>
                  <w14:solidFill>
                    <w14:schemeClr w14:val="tx1"/>
                  </w14:solidFill>
                </w14:textFill>
              </w:rPr>
              <w:t>5</w:t>
            </w:r>
          </w:p>
        </w:tc>
        <w:tc>
          <w:tcPr>
            <w:tcW w:w="6943" w:type="dxa"/>
            <w:tcBorders>
              <w:top w:val="single" w:color="000000" w:sz="4" w:space="0"/>
              <w:left w:val="single" w:color="000000" w:sz="4" w:space="0"/>
              <w:bottom w:val="single" w:color="000000" w:sz="4" w:space="0"/>
              <w:right w:val="single" w:color="000000" w:sz="4" w:space="0"/>
            </w:tcBorders>
            <w:vAlign w:val="center"/>
          </w:tcPr>
          <w:p w14:paraId="1B5E2267">
            <w:pPr>
              <w:pStyle w:val="24"/>
              <w:snapToGrid w:val="0"/>
              <w:ind w:firstLine="0"/>
              <w:rPr>
                <w:rStyle w:val="23"/>
                <w:rFonts w:ascii="宋体" w:hAnsi="宋体"/>
                <w:color w:val="000000" w:themeColor="text1"/>
                <w:szCs w:val="21"/>
                <w14:textFill>
                  <w14:solidFill>
                    <w14:schemeClr w14:val="tx1"/>
                  </w14:solidFill>
                </w14:textFill>
              </w:rPr>
            </w:pPr>
            <w:r>
              <w:rPr>
                <w:rStyle w:val="23"/>
                <w:rFonts w:ascii="宋体" w:hAnsi="宋体"/>
                <w:color w:val="000000" w:themeColor="text1"/>
                <w:sz w:val="21"/>
                <w:szCs w:val="21"/>
                <w14:textFill>
                  <w14:solidFill>
                    <w14:schemeClr w14:val="tx1"/>
                  </w14:solidFill>
                </w14:textFill>
              </w:rPr>
              <w:t>以上拟派人员须提供在本单位缴纳社保作为证明材料（提供</w:t>
            </w:r>
            <w:r>
              <w:rPr>
                <w:rStyle w:val="23"/>
                <w:rFonts w:hint="eastAsia" w:ascii="宋体" w:hAnsi="宋体"/>
                <w:color w:val="000000" w:themeColor="text1"/>
                <w:sz w:val="21"/>
                <w:szCs w:val="21"/>
                <w:lang w:val="en-US" w:eastAsia="zh-CN"/>
                <w14:textFill>
                  <w14:solidFill>
                    <w14:schemeClr w14:val="tx1"/>
                  </w14:solidFill>
                </w14:textFill>
              </w:rPr>
              <w:t>近期连续三个</w:t>
            </w:r>
            <w:r>
              <w:rPr>
                <w:rStyle w:val="23"/>
                <w:rFonts w:ascii="宋体" w:hAnsi="宋体"/>
                <w:color w:val="000000" w:themeColor="text1"/>
                <w:sz w:val="21"/>
                <w:szCs w:val="21"/>
                <w14:textFill>
                  <w14:solidFill>
                    <w14:schemeClr w14:val="tx1"/>
                  </w14:solidFill>
                </w14:textFill>
              </w:rPr>
              <w:t>月的社会保险证明）。社保缴纳期限包含疫情期，若当地政府部门允许企业在疫情期间缓缴社会保险费且投标人未缴纳的，投标人可提供当地政府部门允许缓缴社保的相关文件作为缴纳社保的证明。</w:t>
            </w:r>
          </w:p>
        </w:tc>
      </w:tr>
    </w:tbl>
    <w:p w14:paraId="1AF70E69">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备注：“★”号条款为实质性条款，有任何一条负偏离则导致无效投标；打“▲”号条款为重要技术参数，但不作为无效投标条款。</w:t>
      </w:r>
    </w:p>
    <w:p w14:paraId="2DAB2A32">
      <w:pPr>
        <w:numPr>
          <w:ilvl w:val="0"/>
          <w:numId w:val="0"/>
        </w:numPr>
        <w:spacing w:line="540" w:lineRule="exact"/>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eastAsia="zh-CN"/>
        </w:rPr>
        <w:t>二、</w:t>
      </w:r>
      <w:r>
        <w:rPr>
          <w:rFonts w:hint="eastAsia" w:ascii="宋体" w:hAnsi="宋体" w:eastAsia="宋体" w:cs="宋体"/>
          <w:b/>
          <w:bCs/>
          <w:sz w:val="28"/>
          <w:szCs w:val="28"/>
          <w:highlight w:val="none"/>
        </w:rPr>
        <w:t>商务</w:t>
      </w:r>
      <w:r>
        <w:rPr>
          <w:rFonts w:hint="eastAsia" w:ascii="宋体" w:hAnsi="宋体" w:eastAsia="宋体" w:cs="宋体"/>
          <w:b/>
          <w:bCs/>
          <w:sz w:val="28"/>
          <w:szCs w:val="28"/>
          <w:highlight w:val="none"/>
          <w:lang w:eastAsia="zh-CN"/>
        </w:rPr>
        <w:t>要求</w:t>
      </w:r>
    </w:p>
    <w:p w14:paraId="3EBABE9F">
      <w:pPr>
        <w:numPr>
          <w:ilvl w:val="0"/>
          <w:numId w:val="7"/>
        </w:numPr>
        <w:spacing w:line="360" w:lineRule="auto"/>
        <w:ind w:left="0" w:leftChars="0" w:firstLine="420" w:firstLineChars="0"/>
        <w:rPr>
          <w:rFonts w:hint="eastAsia" w:ascii="宋体" w:hAnsi="宋体" w:eastAsia="宋体" w:cs="宋体"/>
          <w:bCs/>
          <w:sz w:val="24"/>
          <w:szCs w:val="24"/>
        </w:rPr>
      </w:pPr>
      <w:r>
        <w:rPr>
          <w:rFonts w:hint="eastAsia" w:ascii="宋体" w:hAnsi="宋体" w:eastAsia="宋体" w:cs="宋体"/>
          <w:b/>
          <w:bCs/>
          <w:sz w:val="24"/>
          <w:szCs w:val="24"/>
          <w:lang w:eastAsia="zh-CN"/>
        </w:rPr>
        <w:t>服务时间</w:t>
      </w:r>
      <w:r>
        <w:rPr>
          <w:rFonts w:hint="eastAsia" w:ascii="宋体" w:hAnsi="宋体" w:eastAsia="宋体" w:cs="宋体"/>
          <w:b/>
          <w:bCs/>
          <w:sz w:val="24"/>
          <w:szCs w:val="24"/>
        </w:rPr>
        <w:t>:</w:t>
      </w:r>
      <w:r>
        <w:rPr>
          <w:rFonts w:hint="eastAsia" w:ascii="宋体" w:hAnsi="宋体" w:eastAsia="宋体" w:cs="宋体"/>
          <w:b/>
          <w:bCs/>
          <w:color w:val="auto"/>
          <w:sz w:val="24"/>
          <w:szCs w:val="24"/>
          <w:lang w:eastAsia="zh-CN"/>
        </w:rPr>
        <w:t>自</w:t>
      </w:r>
      <w:r>
        <w:rPr>
          <w:rFonts w:hint="eastAsia" w:ascii="宋体" w:hAnsi="宋体" w:eastAsia="宋体" w:cs="宋体"/>
          <w:bCs/>
          <w:color w:val="auto"/>
          <w:sz w:val="24"/>
          <w:szCs w:val="24"/>
          <w:highlight w:val="none"/>
        </w:rPr>
        <w:t>合同签订之日起</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lang w:val="en-US" w:eastAsia="zh-CN"/>
        </w:rPr>
        <w:t>年。</w:t>
      </w:r>
      <w:r>
        <w:rPr>
          <w:rFonts w:hint="eastAsia" w:ascii="宋体" w:hAnsi="宋体" w:eastAsia="宋体" w:cs="宋体"/>
          <w:bCs/>
          <w:color w:val="auto"/>
          <w:sz w:val="24"/>
          <w:szCs w:val="24"/>
          <w:lang w:val="en-US" w:eastAsia="zh-CN"/>
        </w:rPr>
        <w:t>本项目为长期服务类项目，</w:t>
      </w:r>
      <w:r>
        <w:rPr>
          <w:rFonts w:hint="eastAsia" w:ascii="宋体" w:hAnsi="宋体" w:eastAsia="宋体" w:cs="宋体"/>
          <w:bCs/>
          <w:color w:val="auto"/>
          <w:sz w:val="24"/>
          <w:szCs w:val="24"/>
          <w:lang w:val="en-US" w:eastAsia="zh-CN"/>
        </w:rPr>
        <w:t>第一年为本次招标的中标服务期限，采购人可根据项目需求和中标供应商的履约情况确定合同期限是否延长，但</w:t>
      </w:r>
      <w:r>
        <w:rPr>
          <w:rFonts w:hint="eastAsia" w:ascii="宋体" w:hAnsi="宋体" w:eastAsia="宋体" w:cs="宋体"/>
          <w:bCs/>
          <w:color w:val="auto"/>
          <w:sz w:val="24"/>
          <w:szCs w:val="24"/>
          <w:lang w:val="en-US" w:eastAsia="zh-CN"/>
        </w:rPr>
        <w:t>最长不超过三年，合同一年一签</w:t>
      </w:r>
      <w:r>
        <w:rPr>
          <w:rFonts w:hint="eastAsia" w:ascii="宋体" w:hAnsi="宋体" w:eastAsia="宋体" w:cs="宋体"/>
          <w:bCs/>
          <w:color w:val="auto"/>
          <w:sz w:val="24"/>
          <w:szCs w:val="24"/>
          <w:highlight w:val="none"/>
          <w:lang w:val="en-US" w:eastAsia="zh-CN"/>
        </w:rPr>
        <w:t>。</w:t>
      </w:r>
      <w:r>
        <w:rPr>
          <w:rFonts w:hint="eastAsia"/>
          <w:color w:val="auto"/>
          <w:kern w:val="0"/>
          <w:sz w:val="24"/>
          <w:lang w:val="en-US" w:eastAsia="zh-CN"/>
        </w:rPr>
        <w:t>若年度服务期限未到，委托金额达到年度服务费用上限时且采购人未书面通知投标人自动续约事宜，合同提前终止。因单项工程项目进度导致超出服务合同期限的，单项工程项目服务继续有效，有限期直至完成单项工程项目监理服务约定的服务内容为止。</w:t>
      </w:r>
    </w:p>
    <w:p w14:paraId="7CF888B1">
      <w:pPr>
        <w:numPr>
          <w:ilvl w:val="0"/>
          <w:numId w:val="7"/>
        </w:numPr>
        <w:spacing w:line="360" w:lineRule="auto"/>
        <w:ind w:left="0" w:leftChars="0" w:firstLine="420" w:firstLineChars="0"/>
        <w:rPr>
          <w:rFonts w:hint="eastAsia" w:ascii="宋体" w:hAnsi="宋体" w:eastAsia="宋体" w:cs="宋体"/>
          <w:b/>
          <w:bCs/>
          <w:sz w:val="24"/>
          <w:szCs w:val="24"/>
        </w:rPr>
      </w:pPr>
      <w:r>
        <w:rPr>
          <w:rFonts w:hint="eastAsia" w:ascii="宋体" w:hAnsi="宋体" w:eastAsia="宋体" w:cs="宋体"/>
          <w:b/>
          <w:bCs/>
          <w:sz w:val="24"/>
          <w:szCs w:val="24"/>
          <w:lang w:eastAsia="zh-CN"/>
        </w:rPr>
        <w:t>服务</w:t>
      </w:r>
      <w:r>
        <w:rPr>
          <w:rFonts w:hint="eastAsia" w:ascii="宋体" w:hAnsi="宋体" w:eastAsia="宋体" w:cs="宋体"/>
          <w:b/>
          <w:bCs/>
          <w:sz w:val="24"/>
          <w:szCs w:val="24"/>
        </w:rPr>
        <w:t>地点：</w:t>
      </w:r>
      <w:r>
        <w:rPr>
          <w:rFonts w:hint="eastAsia" w:ascii="宋体" w:hAnsi="宋体" w:cs="宋体"/>
          <w:kern w:val="0"/>
          <w:sz w:val="24"/>
        </w:rPr>
        <w:t>中山大学附属第八医院（深圳福田）</w:t>
      </w:r>
    </w:p>
    <w:p w14:paraId="4B72C95D">
      <w:pPr>
        <w:numPr>
          <w:ilvl w:val="0"/>
          <w:numId w:val="7"/>
        </w:numPr>
        <w:spacing w:line="360" w:lineRule="auto"/>
        <w:ind w:left="0" w:leftChars="0" w:firstLine="420" w:firstLineChars="0"/>
        <w:rPr>
          <w:rFonts w:hint="eastAsia" w:ascii="宋体" w:hAnsi="宋体" w:eastAsia="宋体" w:cs="宋体"/>
          <w:b/>
          <w:bCs/>
          <w:sz w:val="24"/>
          <w:szCs w:val="24"/>
        </w:rPr>
      </w:pPr>
      <w:r>
        <w:rPr>
          <w:rFonts w:hint="eastAsia" w:ascii="宋体" w:hAnsi="宋体" w:eastAsia="宋体" w:cs="宋体"/>
          <w:b/>
          <w:bCs/>
          <w:sz w:val="24"/>
          <w:szCs w:val="24"/>
        </w:rPr>
        <w:t>投标报价要求</w:t>
      </w:r>
    </w:p>
    <w:p w14:paraId="4698BD44">
      <w:pPr>
        <w:numPr>
          <w:ilvl w:val="-1"/>
          <w:numId w:val="0"/>
        </w:numPr>
        <w:spacing w:beforeLines="-2147483648" w:line="360" w:lineRule="auto"/>
        <w:ind w:left="420" w:leftChars="0" w:firstLine="240" w:firstLineChars="100"/>
        <w:rPr>
          <w:rFonts w:hint="eastAsia" w:ascii="宋体" w:hAnsi="宋体" w:cs="宋体" w:eastAsiaTheme="minorEastAsia"/>
          <w:kern w:val="0"/>
          <w:sz w:val="24"/>
          <w:szCs w:val="24"/>
          <w:lang w:val="en-US" w:eastAsia="zh-CN"/>
        </w:rPr>
      </w:pPr>
      <w:r>
        <w:rPr>
          <w:rFonts w:hint="eastAsia" w:ascii="宋体" w:hAnsi="宋体" w:cs="宋体" w:eastAsiaTheme="minorEastAsia"/>
          <w:kern w:val="0"/>
          <w:sz w:val="24"/>
          <w:szCs w:val="24"/>
          <w:lang w:val="en-US" w:eastAsia="zh-CN"/>
        </w:rPr>
        <w:t>1.投标人应根据自身成本自行填报“投标折扣率”，不得以低于其成本报价。</w:t>
      </w:r>
    </w:p>
    <w:p w14:paraId="4F77A601">
      <w:pPr>
        <w:numPr>
          <w:ilvl w:val="-1"/>
          <w:numId w:val="0"/>
        </w:numPr>
        <w:spacing w:beforeLines="-2147483648" w:line="360" w:lineRule="auto"/>
        <w:ind w:left="420" w:leftChars="0" w:firstLine="240" w:firstLineChars="100"/>
        <w:rPr>
          <w:rFonts w:hint="eastAsia" w:ascii="宋体" w:hAnsi="宋体" w:cs="宋体" w:eastAsiaTheme="minorEastAsia"/>
          <w:kern w:val="0"/>
          <w:sz w:val="24"/>
          <w:szCs w:val="24"/>
          <w:lang w:val="en-US" w:eastAsia="zh-CN"/>
        </w:rPr>
      </w:pPr>
      <w:r>
        <w:rPr>
          <w:rFonts w:hint="eastAsia" w:ascii="宋体" w:hAnsi="宋体" w:cs="宋体" w:eastAsiaTheme="minorEastAsia"/>
          <w:kern w:val="0"/>
          <w:sz w:val="24"/>
          <w:szCs w:val="24"/>
          <w:lang w:val="en-US" w:eastAsia="zh-CN"/>
        </w:rPr>
        <w:t>2.投标折扣率填写要求：</w:t>
      </w:r>
    </w:p>
    <w:p w14:paraId="4152029B">
      <w:pPr>
        <w:numPr>
          <w:ilvl w:val="-1"/>
          <w:numId w:val="0"/>
        </w:numPr>
        <w:spacing w:beforeLines="-2147483648" w:line="360" w:lineRule="auto"/>
        <w:ind w:left="420" w:leftChars="0" w:firstLine="240" w:firstLineChars="100"/>
        <w:rPr>
          <w:rFonts w:hint="eastAsia" w:ascii="宋体" w:hAnsi="宋体" w:cs="宋体" w:eastAsiaTheme="minorEastAsia"/>
          <w:kern w:val="0"/>
          <w:sz w:val="24"/>
          <w:szCs w:val="24"/>
          <w:lang w:val="en-US" w:eastAsia="zh-CN"/>
        </w:rPr>
      </w:pPr>
      <w:r>
        <w:rPr>
          <w:rFonts w:hint="eastAsia" w:ascii="宋体" w:hAnsi="宋体" w:cs="宋体" w:eastAsiaTheme="minorEastAsia"/>
          <w:kern w:val="0"/>
          <w:sz w:val="24"/>
          <w:szCs w:val="24"/>
          <w:lang w:val="en-US" w:eastAsia="zh-CN"/>
        </w:rPr>
        <w:t>①填写要求：0＜投标折扣率≤1，未按此要求填写将视为无效投标；“投标折扣率”缺填、漏填或填报了两个或以上“投标折扣率”；开标一览表中填写的投标报价与项目详细分项报价表中填写的“投标折扣率”不一致的将视为无效投标；</w:t>
      </w:r>
    </w:p>
    <w:p w14:paraId="4417A860">
      <w:pPr>
        <w:numPr>
          <w:ilvl w:val="-1"/>
          <w:numId w:val="0"/>
        </w:numPr>
        <w:spacing w:line="360" w:lineRule="auto"/>
        <w:ind w:left="420" w:leftChars="0" w:firstLine="240" w:firstLineChars="100"/>
        <w:rPr>
          <w:rFonts w:hint="eastAsia" w:ascii="宋体" w:hAnsi="宋体" w:cs="宋体"/>
          <w:kern w:val="0"/>
          <w:sz w:val="24"/>
          <w:szCs w:val="24"/>
          <w:lang w:val="en-US" w:eastAsia="zh-CN"/>
        </w:rPr>
      </w:pPr>
      <w:r>
        <w:rPr>
          <w:rFonts w:hint="eastAsia" w:ascii="宋体" w:hAnsi="宋体" w:cs="宋体" w:eastAsiaTheme="minorEastAsia"/>
          <w:kern w:val="0"/>
          <w:sz w:val="24"/>
          <w:szCs w:val="24"/>
          <w:lang w:val="en-US" w:eastAsia="zh-CN"/>
        </w:rPr>
        <w:t>②填写的“投标折扣率”应为小数；如0.99、0.85、0.80等</w:t>
      </w:r>
      <w:r>
        <w:rPr>
          <w:rFonts w:hint="eastAsia" w:ascii="宋体" w:hAnsi="宋体" w:cs="宋体"/>
          <w:kern w:val="0"/>
          <w:sz w:val="24"/>
          <w:szCs w:val="24"/>
          <w:lang w:val="en-US" w:eastAsia="zh-CN"/>
        </w:rPr>
        <w:t>。</w:t>
      </w:r>
    </w:p>
    <w:p w14:paraId="1C12A89B">
      <w:pPr>
        <w:adjustRightInd w:val="0"/>
        <w:snapToGrid w:val="0"/>
        <w:spacing w:line="360" w:lineRule="auto"/>
        <w:ind w:firstLine="482" w:firstLineChars="200"/>
        <w:jc w:val="left"/>
        <w:rPr>
          <w:rFonts w:hint="eastAsia" w:ascii="宋体" w:hAnsi="宋体" w:eastAsia="宋体" w:cs="宋体"/>
          <w:b/>
          <w:snapToGrid w:val="0"/>
          <w:color w:val="auto"/>
          <w:kern w:val="0"/>
          <w:sz w:val="24"/>
          <w:szCs w:val="32"/>
          <w:highlight w:val="none"/>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w:t>
      </w:r>
      <w:r>
        <w:rPr>
          <w:rFonts w:hint="eastAsia" w:ascii="宋体" w:hAnsi="宋体" w:eastAsia="宋体" w:cs="宋体"/>
          <w:b/>
          <w:snapToGrid w:val="0"/>
          <w:color w:val="auto"/>
          <w:kern w:val="0"/>
          <w:sz w:val="24"/>
          <w:szCs w:val="32"/>
          <w:highlight w:val="none"/>
        </w:rPr>
        <w:t>酬金计取</w:t>
      </w:r>
    </w:p>
    <w:p w14:paraId="21E650C9">
      <w:pPr>
        <w:numPr>
          <w:ilvl w:val="-1"/>
          <w:numId w:val="0"/>
        </w:numPr>
        <w:ind w:left="400"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4.1工程监理酬金特指工程施工阶段的监理酬金。</w:t>
      </w:r>
    </w:p>
    <w:p w14:paraId="03CC05E4">
      <w:pPr>
        <w:numPr>
          <w:ilvl w:val="-1"/>
          <w:numId w:val="0"/>
        </w:numPr>
        <w:ind w:left="400"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(1)施工阶段监理酬金的计取一般参照国家发改委、建设部《工程监理与相关服务收费管理规定》(发改价格(2007)670号)的相关规定，以工程概算投资额作为施工阶段监理酬金的计费额，先计算出监理酬金的基价，再计算监理酬金的基准价，然后再就基准价的浮动范围进行协商，并最后确定施工阶段监理酬金的总价。正常情况下，监理酬金基准价的浮动范围不应&gt;+20%。</w:t>
      </w:r>
    </w:p>
    <w:p w14:paraId="70A35B21">
      <w:pPr>
        <w:numPr>
          <w:ilvl w:val="-1"/>
          <w:numId w:val="0"/>
        </w:numPr>
        <w:ind w:left="400"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(2).对于施工阶段监理，由于施工阶段的监理服务涉及工程质量控制和安全生产管理的监理服务内容，事关社会公众利益和人民生命财产安全，采购人不应恶意下浮监理酬金，投标人也不应以工程质量控制和安全生产管理的监理服务的责任重大而哄抬监理酬金。监理酬金的计取应参照国家发改委、建设部《工程监理与相关服务收费管理规定》(发改价格(2007)670号)的相关规定要求，并结合工程的实际情况，由双方协商确定。</w:t>
      </w:r>
    </w:p>
    <w:p w14:paraId="3116B515">
      <w:pPr>
        <w:numPr>
          <w:ilvl w:val="-1"/>
          <w:numId w:val="0"/>
        </w:numPr>
        <w:ind w:left="400"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4.2相关服务(保修阶段、勘察阶段、设计阶段、设备监造等)酬金的计取，采购人应明确投标人项目机构各类组成人员的类型与数量、提供相关服务的阶段与期限，按专用条件所述的人员综合费用法计取酬金。对于政府建设投资项目，保修阶段的服务酬金一般按施工阶段监理酬金的5%进行计取。</w:t>
      </w:r>
    </w:p>
    <w:p w14:paraId="0445EBA3">
      <w:pPr>
        <w:numPr>
          <w:ilvl w:val="-1"/>
          <w:numId w:val="0"/>
        </w:numPr>
        <w:ind w:left="400"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4.3工程项目管理、工程监理与工程项目管理一体化中的项目管理的酬金计取，采购人应明确投标人项目机构各类组成人员的类型与数量、提供相关服务的阶段与期限，按专用条件所述的人员综合费用法计取酬金。</w:t>
      </w:r>
    </w:p>
    <w:p w14:paraId="307CE66E">
      <w:pPr>
        <w:numPr>
          <w:ilvl w:val="-1"/>
          <w:numId w:val="0"/>
        </w:numPr>
        <w:ind w:left="400"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4.4.1施工阶段监理酬金计取</w:t>
      </w:r>
    </w:p>
    <w:p w14:paraId="276E2335">
      <w:pPr>
        <w:numPr>
          <w:ilvl w:val="-1"/>
          <w:numId w:val="0"/>
        </w:numPr>
        <w:ind w:left="400"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(1)工程概算投资额</w:t>
      </w:r>
    </w:p>
    <w:p w14:paraId="1DAB642A">
      <w:pPr>
        <w:numPr>
          <w:ilvl w:val="-1"/>
          <w:numId w:val="0"/>
        </w:numPr>
        <w:ind w:left="0" w:leftChars="0"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本工程概算投资额为【 】万元，其中:建筑安装工程费【 】万元，设备购置费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lang w:val="en-US" w:eastAsia="zh-CN"/>
        </w:rPr>
        <w:t>万元，联合试运转费</w:t>
      </w:r>
      <w:r>
        <w:rPr>
          <w:rFonts w:hint="eastAsia" w:ascii="宋体" w:hAnsi="宋体" w:cs="宋体"/>
          <w:kern w:val="0"/>
          <w:sz w:val="24"/>
          <w:szCs w:val="24"/>
          <w:u w:val="single"/>
          <w:lang w:val="en-US" w:eastAsia="zh-CN"/>
        </w:rPr>
        <w:t>_/</w:t>
      </w:r>
      <w:r>
        <w:rPr>
          <w:rFonts w:hint="eastAsia" w:ascii="宋体" w:hAnsi="宋体" w:cs="宋体"/>
          <w:kern w:val="0"/>
          <w:sz w:val="24"/>
          <w:szCs w:val="24"/>
          <w:lang w:val="en-US" w:eastAsia="zh-CN"/>
        </w:rPr>
        <w:t xml:space="preserve"> 万元。设备购置费和联合试运转费占工程概算投资额的比例为 </w:t>
      </w:r>
      <w:r>
        <w:rPr>
          <w:rFonts w:hint="eastAsia" w:ascii="宋体" w:hAnsi="宋体" w:cs="宋体"/>
          <w:kern w:val="0"/>
          <w:sz w:val="24"/>
          <w:szCs w:val="24"/>
          <w:u w:val="single"/>
          <w:lang w:val="en-US" w:eastAsia="zh-CN"/>
        </w:rPr>
        <w:t>/</w:t>
      </w:r>
      <w:r>
        <w:rPr>
          <w:rFonts w:hint="eastAsia" w:ascii="宋体" w:hAnsi="宋体" w:cs="宋体"/>
          <w:kern w:val="0"/>
          <w:sz w:val="24"/>
          <w:szCs w:val="24"/>
          <w:lang w:val="en-US" w:eastAsia="zh-CN"/>
        </w:rPr>
        <w:t xml:space="preserve"> 。</w:t>
      </w:r>
    </w:p>
    <w:p w14:paraId="3DA65938">
      <w:pPr>
        <w:numPr>
          <w:ilvl w:val="0"/>
          <w:numId w:val="8"/>
        </w:numPr>
        <w:ind w:left="400"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监理酬金计费额</w:t>
      </w:r>
    </w:p>
    <w:p w14:paraId="46AFDC30">
      <w:pPr>
        <w:numPr>
          <w:ilvl w:val="-1"/>
          <w:numId w:val="0"/>
        </w:numPr>
        <w:ind w:left="0" w:leftChars="0" w:firstLine="960" w:firstLineChars="400"/>
        <w:rPr>
          <w:rFonts w:hint="eastAsia" w:ascii="宋体" w:hAnsi="宋体" w:cs="宋体"/>
          <w:kern w:val="0"/>
          <w:sz w:val="24"/>
          <w:szCs w:val="24"/>
          <w:lang w:val="en-US" w:eastAsia="zh-CN"/>
        </w:rPr>
      </w:pPr>
      <w:r>
        <w:rPr>
          <w:rFonts w:hint="eastAsia" w:ascii="宋体" w:hAnsi="宋体" w:cs="宋体"/>
          <w:kern w:val="0"/>
          <w:sz w:val="24"/>
          <w:szCs w:val="24"/>
          <w:lang w:val="en-US" w:eastAsia="zh-CN"/>
        </w:rPr>
        <w:t>本工程施工阶段监理酬金按工程概算投资额或建筑安装工程费分档定额计费。其中:</w:t>
      </w:r>
    </w:p>
    <w:p w14:paraId="0CD4EEF3">
      <w:pPr>
        <w:numPr>
          <w:ilvl w:val="-1"/>
          <w:numId w:val="0"/>
        </w:numPr>
        <w:ind w:left="0" w:leftChars="0" w:firstLine="960" w:firstLineChars="400"/>
        <w:rPr>
          <w:rFonts w:hint="eastAsia" w:ascii="宋体" w:hAnsi="宋体" w:cs="宋体"/>
          <w:kern w:val="0"/>
          <w:sz w:val="24"/>
          <w:szCs w:val="24"/>
          <w:lang w:val="en-US" w:eastAsia="zh-CN"/>
        </w:rPr>
      </w:pPr>
      <w:r>
        <w:rPr>
          <w:rFonts w:hint="eastAsia" w:ascii="宋体" w:hAnsi="宋体"/>
          <w:snapToGrid w:val="0"/>
          <w:color w:val="000000"/>
          <w:kern w:val="0"/>
          <w:sz w:val="24"/>
          <w:lang w:eastAsia="zh-CN"/>
        </w:rPr>
        <w:t>□</w:t>
      </w:r>
      <w:r>
        <w:rPr>
          <w:rFonts w:hint="eastAsia" w:ascii="宋体" w:hAnsi="宋体" w:cs="宋体"/>
          <w:kern w:val="0"/>
          <w:sz w:val="24"/>
          <w:szCs w:val="24"/>
          <w:lang w:val="en-US" w:eastAsia="zh-CN"/>
        </w:rPr>
        <w:t>铁路、水运、公路、水电、水库工程的监理酬金的计费额为建设项目的工程概算投资:额中的建筑安装工程费。即【 】万元;</w:t>
      </w:r>
    </w:p>
    <w:p w14:paraId="0C1D2D19">
      <w:pPr>
        <w:numPr>
          <w:ilvl w:val="-1"/>
          <w:numId w:val="0"/>
        </w:numPr>
        <w:ind w:left="899" w:leftChars="428" w:firstLine="0" w:firstLineChars="0"/>
        <w:rPr>
          <w:rFonts w:hint="eastAsia" w:ascii="宋体" w:hAnsi="宋体" w:cs="宋体"/>
          <w:kern w:val="0"/>
          <w:sz w:val="24"/>
          <w:szCs w:val="24"/>
          <w:lang w:val="en-US" w:eastAsia="zh-CN"/>
        </w:rPr>
      </w:pPr>
      <w:r>
        <w:rPr>
          <w:rFonts w:hint="eastAsia" w:ascii="宋体" w:hAnsi="宋体"/>
          <w:snapToGrid w:val="0"/>
          <w:color w:val="000000"/>
          <w:kern w:val="0"/>
          <w:sz w:val="24"/>
          <w:lang w:eastAsia="zh-CN"/>
        </w:rPr>
        <w:t>☑</w:t>
      </w:r>
      <w:r>
        <w:rPr>
          <w:rFonts w:hint="eastAsia" w:ascii="宋体" w:hAnsi="宋体" w:cs="宋体"/>
          <w:kern w:val="0"/>
          <w:sz w:val="24"/>
          <w:szCs w:val="24"/>
          <w:lang w:val="en-US" w:eastAsia="zh-CN"/>
        </w:rPr>
        <w:t>房屋建筑工程，城市道路、桥梁、隧道等市政公用工程及其他工程的监理酬金的计费额为建设项目的工程概算中的建筑安装工程费。即:建筑安装工程费【 】万元。</w:t>
      </w:r>
    </w:p>
    <w:p w14:paraId="38D578A4">
      <w:pPr>
        <w:numPr>
          <w:ilvl w:val="-1"/>
          <w:numId w:val="0"/>
        </w:numPr>
        <w:ind w:left="400"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(3)监理酬金基价</w:t>
      </w:r>
    </w:p>
    <w:p w14:paraId="3FA6B7D2">
      <w:pPr>
        <w:numPr>
          <w:ilvl w:val="-1"/>
          <w:numId w:val="0"/>
        </w:numPr>
        <w:ind w:left="400"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按收费标准计算，本工程监理酬金基价为【 】万元。</w:t>
      </w:r>
    </w:p>
    <w:p w14:paraId="7E0A2039">
      <w:pPr>
        <w:numPr>
          <w:ilvl w:val="-1"/>
          <w:numId w:val="0"/>
        </w:numPr>
        <w:ind w:left="400"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(4)监理酬金基准价</w:t>
      </w:r>
    </w:p>
    <w:p w14:paraId="62CCDAF7">
      <w:pPr>
        <w:numPr>
          <w:ilvl w:val="-1"/>
          <w:numId w:val="0"/>
        </w:numPr>
        <w:ind w:left="400"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参照国家发改委、建设部《工程监理与相关服务收费管理规定》(发改价格(2007)670号)的规定，本工程的专业调整系数为【 】，工程复杂程度调整系数为【】。</w:t>
      </w:r>
    </w:p>
    <w:p w14:paraId="28C9BF67">
      <w:pPr>
        <w:numPr>
          <w:ilvl w:val="-1"/>
          <w:numId w:val="0"/>
        </w:numPr>
        <w:ind w:left="400"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监理酬金基准价=施工监理酬金基价</w:t>
      </w:r>
      <w:r>
        <w:rPr>
          <w:rFonts w:hint="eastAsia" w:ascii="宋体" w:hAnsi="宋体" w:eastAsia="宋体" w:cs="宋体"/>
          <w:snapToGrid w:val="0"/>
          <w:color w:val="auto"/>
          <w:kern w:val="0"/>
          <w:sz w:val="24"/>
          <w:highlight w:val="none"/>
        </w:rPr>
        <w:t>×</w:t>
      </w:r>
      <w:r>
        <w:rPr>
          <w:rFonts w:hint="eastAsia" w:ascii="宋体" w:hAnsi="宋体" w:cs="宋体"/>
          <w:kern w:val="0"/>
          <w:sz w:val="24"/>
          <w:szCs w:val="24"/>
          <w:lang w:val="en-US" w:eastAsia="zh-CN"/>
        </w:rPr>
        <w:t>专业调整系数</w:t>
      </w:r>
      <w:r>
        <w:rPr>
          <w:rFonts w:hint="eastAsia" w:ascii="宋体" w:hAnsi="宋体" w:eastAsia="宋体" w:cs="宋体"/>
          <w:snapToGrid w:val="0"/>
          <w:color w:val="auto"/>
          <w:kern w:val="0"/>
          <w:sz w:val="24"/>
          <w:highlight w:val="none"/>
        </w:rPr>
        <w:t>×</w:t>
      </w:r>
      <w:r>
        <w:rPr>
          <w:rFonts w:hint="eastAsia" w:ascii="宋体" w:hAnsi="宋体" w:cs="宋体"/>
          <w:kern w:val="0"/>
          <w:sz w:val="24"/>
          <w:szCs w:val="24"/>
          <w:lang w:val="en-US" w:eastAsia="zh-CN"/>
        </w:rPr>
        <w:t>工程复杂程度调整系数</w:t>
      </w:r>
    </w:p>
    <w:p w14:paraId="77112537">
      <w:pPr>
        <w:numPr>
          <w:ilvl w:val="-1"/>
          <w:numId w:val="0"/>
        </w:numPr>
        <w:ind w:left="400"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(5)监理酬金浮动幅度</w:t>
      </w:r>
    </w:p>
    <w:p w14:paraId="2D5BB292">
      <w:pPr>
        <w:numPr>
          <w:ilvl w:val="-1"/>
          <w:numId w:val="0"/>
        </w:numPr>
        <w:ind w:left="400"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按投标报价或经商定，施工阶段监理酬金浮动幅度值为【 】%(建议浮动幅度≯+20%</w:t>
      </w:r>
    </w:p>
    <w:p w14:paraId="27F78221">
      <w:pPr>
        <w:numPr>
          <w:ilvl w:val="-1"/>
          <w:numId w:val="0"/>
        </w:numPr>
        <w:ind w:left="0" w:firstLine="0" w:firstLineChars="0"/>
        <w:rPr>
          <w:rFonts w:hint="eastAsia" w:ascii="宋体" w:hAnsi="宋体" w:cs="宋体"/>
          <w:kern w:val="0"/>
          <w:sz w:val="24"/>
          <w:szCs w:val="24"/>
          <w:lang w:val="en-US" w:eastAsia="zh-CN"/>
        </w:rPr>
      </w:pPr>
    </w:p>
    <w:p w14:paraId="71EF828F">
      <w:pPr>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4</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en-US" w:eastAsia="zh-CN"/>
        </w:rPr>
        <w:t>4.2.</w:t>
      </w:r>
      <w:r>
        <w:rPr>
          <w:rFonts w:hint="eastAsia" w:ascii="宋体" w:hAnsi="宋体" w:eastAsia="宋体" w:cs="宋体"/>
          <w:snapToGrid w:val="0"/>
          <w:color w:val="auto"/>
          <w:kern w:val="0"/>
          <w:sz w:val="24"/>
          <w:highlight w:val="none"/>
        </w:rPr>
        <w:t>保修阶段、勘察阶段、设计阶段及设备监造等相关服务酬金计取</w:t>
      </w:r>
    </w:p>
    <w:p w14:paraId="11116817">
      <w:pPr>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保修阶段按施工阶段监理酬金总额的5％×</w:t>
      </w:r>
      <w:r>
        <w:rPr>
          <w:rFonts w:hint="eastAsia" w:ascii="宋体" w:hAnsi="宋体" w:eastAsia="宋体" w:cs="宋体"/>
          <w:snapToGrid w:val="0"/>
          <w:color w:val="auto"/>
          <w:kern w:val="0"/>
          <w:sz w:val="24"/>
          <w:highlight w:val="none"/>
          <w:lang w:val="en-US" w:eastAsia="zh-CN"/>
        </w:rPr>
        <w:t>折扣率</w:t>
      </w:r>
      <w:r>
        <w:rPr>
          <w:rFonts w:hint="eastAsia" w:ascii="宋体" w:hAnsi="宋体" w:eastAsia="宋体" w:cs="宋体"/>
          <w:snapToGrid w:val="0"/>
          <w:color w:val="auto"/>
          <w:kern w:val="0"/>
          <w:sz w:val="24"/>
          <w:highlight w:val="none"/>
        </w:rPr>
        <w:t>计取，即：</w:t>
      </w:r>
    </w:p>
    <w:p w14:paraId="2C6BB111">
      <w:pPr>
        <w:adjustRightInd w:val="0"/>
        <w:snapToGrid w:val="0"/>
        <w:spacing w:line="360" w:lineRule="auto"/>
        <w:ind w:left="239" w:leftChars="11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保修阶段服务酬金额＝施工阶段监理酬金总额×5％×</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lang w:val="en-US" w:eastAsia="zh-CN"/>
        </w:rPr>
        <w:t>折扣率</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u w:val="single"/>
          <w:lang w:val="en-US" w:eastAsia="zh-CN"/>
        </w:rPr>
        <w:t xml:space="preserve">  </w:t>
      </w:r>
      <w:r>
        <w:rPr>
          <w:rFonts w:hint="eastAsia" w:ascii="宋体" w:hAnsi="宋体" w:eastAsia="宋体" w:cs="宋体"/>
          <w:snapToGrid w:val="0"/>
          <w:color w:val="auto"/>
          <w:kern w:val="0"/>
          <w:sz w:val="24"/>
          <w:highlight w:val="none"/>
        </w:rPr>
        <w:t>×5％×</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lang w:val="en-US" w:eastAsia="zh-CN"/>
        </w:rPr>
        <w:t xml:space="preserve">  </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＝元。</w:t>
      </w:r>
    </w:p>
    <w:p w14:paraId="773AB61E">
      <w:pPr>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□保修阶段、勘察阶段、设计阶段及设备监造等相关服务按项目机构组成人员综合费用法计取。即：相关服务酬金额＝∑（各类服务人员综合费用×相应服务人员数量）×相应服务期）</w:t>
      </w:r>
    </w:p>
    <w:p w14:paraId="11D7C962">
      <w:pPr>
        <w:adjustRightInd w:val="0"/>
        <w:snapToGrid w:val="0"/>
        <w:spacing w:line="360" w:lineRule="auto"/>
        <w:ind w:firstLine="480" w:firstLineChars="200"/>
        <w:jc w:val="left"/>
        <w:rPr>
          <w:rFonts w:ascii="宋体" w:hAnsi="宋体"/>
          <w:snapToGrid w:val="0"/>
          <w:color w:val="auto"/>
          <w:kern w:val="0"/>
          <w:sz w:val="24"/>
          <w:highlight w:val="none"/>
        </w:rPr>
      </w:pPr>
      <w:r>
        <w:rPr>
          <w:rFonts w:ascii="宋体" w:hAnsi="宋体"/>
          <w:snapToGrid w:val="0"/>
          <w:color w:val="auto"/>
          <w:kern w:val="0"/>
          <w:sz w:val="24"/>
          <w:highlight w:val="none"/>
        </w:rPr>
        <w:t>＝∑（</w:t>
      </w:r>
      <w:r>
        <w:rPr>
          <w:rFonts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lang w:val="en-US" w:eastAsia="zh-CN"/>
        </w:rPr>
        <w:t>/</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w:t>
      </w:r>
      <w:r>
        <w:rPr>
          <w:rFonts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lang w:val="en-US" w:eastAsia="zh-CN"/>
        </w:rPr>
        <w:t>/</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w:t>
      </w:r>
      <w:r>
        <w:rPr>
          <w:rFonts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lang w:val="en-US" w:eastAsia="zh-CN"/>
        </w:rPr>
        <w:t>/</w:t>
      </w:r>
      <w:r>
        <w:rPr>
          <w:rFonts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w:t>
      </w:r>
    </w:p>
    <w:p w14:paraId="549C1FA3">
      <w:pPr>
        <w:adjustRightInd w:val="0"/>
        <w:snapToGrid w:val="0"/>
        <w:spacing w:line="360" w:lineRule="auto"/>
        <w:ind w:firstLine="480" w:firstLineChars="200"/>
        <w:jc w:val="left"/>
        <w:rPr>
          <w:rFonts w:hint="eastAsia" w:ascii="宋体" w:hAnsi="宋体"/>
          <w:snapToGrid w:val="0"/>
          <w:color w:val="auto"/>
          <w:kern w:val="0"/>
          <w:sz w:val="24"/>
          <w:highlight w:val="none"/>
        </w:rPr>
      </w:pPr>
      <w:r>
        <w:rPr>
          <w:rFonts w:ascii="宋体" w:hAnsi="宋体"/>
          <w:snapToGrid w:val="0"/>
          <w:color w:val="auto"/>
          <w:kern w:val="0"/>
          <w:sz w:val="24"/>
          <w:highlight w:val="none"/>
        </w:rPr>
        <w:t>＝</w:t>
      </w:r>
      <w:r>
        <w:rPr>
          <w:rFonts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lang w:val="en-US" w:eastAsia="zh-CN"/>
        </w:rPr>
        <w:t>/</w:t>
      </w:r>
      <w:r>
        <w:rPr>
          <w:rFonts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万元</w:t>
      </w:r>
    </w:p>
    <w:p w14:paraId="175009EB">
      <w:pPr>
        <w:adjustRightInd w:val="0"/>
        <w:snapToGrid w:val="0"/>
        <w:spacing w:line="360" w:lineRule="auto"/>
        <w:ind w:firstLine="482" w:firstLineChars="200"/>
        <w:jc w:val="left"/>
        <w:rPr>
          <w:rFonts w:hint="eastAsia" w:ascii="宋体" w:hAnsi="宋体" w:cs="宋体"/>
          <w:b/>
          <w:snapToGrid w:val="0"/>
          <w:color w:val="auto"/>
          <w:kern w:val="0"/>
          <w:sz w:val="24"/>
          <w:szCs w:val="32"/>
          <w:highlight w:val="none"/>
          <w:lang w:val="en-US" w:eastAsia="zh-CN"/>
        </w:rPr>
      </w:pPr>
      <w:r>
        <w:rPr>
          <w:rFonts w:hint="eastAsia" w:ascii="宋体" w:hAnsi="宋体" w:eastAsia="宋体" w:cs="宋体"/>
          <w:b/>
          <w:snapToGrid w:val="0"/>
          <w:color w:val="auto"/>
          <w:kern w:val="0"/>
          <w:sz w:val="24"/>
          <w:szCs w:val="32"/>
          <w:highlight w:val="none"/>
          <w:lang w:val="en-US" w:eastAsia="zh-CN"/>
        </w:rPr>
        <w:t>（五）</w:t>
      </w:r>
      <w:r>
        <w:rPr>
          <w:rFonts w:ascii="宋体" w:hAnsi="宋体"/>
          <w:snapToGrid w:val="0"/>
          <w:color w:val="auto"/>
          <w:kern w:val="0"/>
          <w:sz w:val="24"/>
          <w:highlight w:val="none"/>
        </w:rPr>
        <w:t>监理</w:t>
      </w:r>
      <w:r>
        <w:rPr>
          <w:rFonts w:hint="eastAsia" w:ascii="宋体" w:hAnsi="宋体" w:eastAsia="宋体" w:cs="宋体"/>
          <w:b/>
          <w:snapToGrid w:val="0"/>
          <w:color w:val="auto"/>
          <w:kern w:val="0"/>
          <w:sz w:val="24"/>
          <w:szCs w:val="32"/>
          <w:highlight w:val="none"/>
        </w:rPr>
        <w:t>酬金</w:t>
      </w:r>
      <w:r>
        <w:rPr>
          <w:rFonts w:hint="eastAsia" w:ascii="宋体" w:hAnsi="宋体" w:cs="宋体"/>
          <w:b/>
          <w:snapToGrid w:val="0"/>
          <w:color w:val="auto"/>
          <w:kern w:val="0"/>
          <w:sz w:val="24"/>
          <w:szCs w:val="32"/>
          <w:highlight w:val="none"/>
          <w:lang w:val="en-US" w:eastAsia="zh-CN"/>
        </w:rPr>
        <w:t>支付</w:t>
      </w:r>
    </w:p>
    <w:p w14:paraId="7BBCD86D">
      <w:pPr>
        <w:adjustRightInd w:val="0"/>
        <w:snapToGrid w:val="0"/>
        <w:spacing w:line="360" w:lineRule="auto"/>
        <w:ind w:firstLine="480" w:firstLineChars="200"/>
        <w:jc w:val="left"/>
        <w:rPr>
          <w:rFonts w:ascii="宋体" w:hAnsi="宋体"/>
          <w:snapToGrid w:val="0"/>
          <w:color w:val="000000"/>
          <w:kern w:val="0"/>
          <w:sz w:val="24"/>
        </w:rPr>
      </w:pPr>
      <w:r>
        <w:rPr>
          <w:rFonts w:hint="eastAsia" w:ascii="宋体" w:hAnsi="宋体"/>
          <w:snapToGrid w:val="0"/>
          <w:color w:val="000000"/>
          <w:kern w:val="0"/>
          <w:sz w:val="24"/>
          <w:lang w:eastAsia="zh-CN"/>
        </w:rPr>
        <w:t>☑</w:t>
      </w:r>
      <w:r>
        <w:rPr>
          <w:rFonts w:hint="eastAsia" w:ascii="宋体" w:hAnsi="宋体"/>
          <w:snapToGrid w:val="0"/>
          <w:color w:val="000000"/>
          <w:kern w:val="0"/>
          <w:sz w:val="24"/>
          <w:lang w:val="en-US" w:eastAsia="zh-CN"/>
        </w:rPr>
        <w:t>5</w:t>
      </w:r>
      <w:r>
        <w:rPr>
          <w:rFonts w:ascii="宋体" w:hAnsi="宋体"/>
          <w:snapToGrid w:val="0"/>
          <w:color w:val="000000"/>
          <w:kern w:val="0"/>
          <w:sz w:val="24"/>
        </w:rPr>
        <w:t>.</w:t>
      </w:r>
      <w:r>
        <w:rPr>
          <w:rFonts w:hint="eastAsia" w:ascii="宋体" w:hAnsi="宋体"/>
          <w:snapToGrid w:val="0"/>
          <w:color w:val="000000"/>
          <w:kern w:val="0"/>
          <w:sz w:val="24"/>
          <w:lang w:val="en-US" w:eastAsia="zh-CN"/>
        </w:rPr>
        <w:t>1</w:t>
      </w:r>
      <w:r>
        <w:rPr>
          <w:rFonts w:ascii="宋体" w:hAnsi="宋体"/>
          <w:snapToGrid w:val="0"/>
          <w:color w:val="000000"/>
          <w:kern w:val="0"/>
          <w:sz w:val="24"/>
        </w:rPr>
        <w:t>施工阶段监理酬金支付</w:t>
      </w:r>
    </w:p>
    <w:p w14:paraId="3CFF2BD2">
      <w:pPr>
        <w:pStyle w:val="4"/>
        <w:spacing w:line="360" w:lineRule="auto"/>
        <w:ind w:firstLine="480" w:firstLineChars="200"/>
        <w:rPr>
          <w:rFonts w:hint="eastAsia"/>
          <w:highlight w:val="none"/>
          <w:lang w:eastAsia="zh-CN"/>
        </w:rPr>
      </w:pPr>
      <w:r>
        <w:rPr>
          <w:rFonts w:hint="eastAsia" w:ascii="宋体" w:hAnsi="宋体" w:eastAsia="宋体"/>
          <w:snapToGrid w:val="0"/>
          <w:color w:val="000000"/>
          <w:kern w:val="0"/>
          <w:sz w:val="24"/>
        </w:rPr>
        <w:t>按</w:t>
      </w:r>
      <w:r>
        <w:rPr>
          <w:rFonts w:hint="eastAsia" w:ascii="宋体" w:hAnsi="宋体" w:eastAsia="宋体"/>
          <w:snapToGrid w:val="0"/>
          <w:color w:val="000000"/>
          <w:kern w:val="0"/>
          <w:sz w:val="24"/>
          <w:highlight w:val="none"/>
        </w:rPr>
        <w:t>照中山大学附属第八医院（深圳福田）有关规定付款。</w:t>
      </w:r>
    </w:p>
    <w:p w14:paraId="409A2054">
      <w:pPr>
        <w:numPr>
          <w:ilvl w:val="0"/>
          <w:numId w:val="9"/>
        </w:numPr>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Times New Roman"/>
          <w:kern w:val="44"/>
          <w:sz w:val="24"/>
          <w:highlight w:val="none"/>
          <w:lang w:val="en-US" w:eastAsia="zh-CN"/>
        </w:rPr>
        <w:t>合同签订后，</w:t>
      </w:r>
      <w:r>
        <w:rPr>
          <w:rFonts w:hint="eastAsia" w:ascii="宋体" w:hAnsi="宋体" w:eastAsia="宋体" w:cs="宋体"/>
          <w:color w:val="auto"/>
          <w:kern w:val="0"/>
          <w:sz w:val="24"/>
          <w:szCs w:val="24"/>
          <w:highlight w:val="none"/>
          <w:lang w:val="en-US" w:eastAsia="zh-CN"/>
        </w:rPr>
        <w:t>采购人凭投标人提供的</w:t>
      </w:r>
      <w:r>
        <w:rPr>
          <w:rFonts w:hint="eastAsia" w:ascii="宋体" w:hAnsi="宋体" w:eastAsia="宋体" w:cs="Times New Roman"/>
          <w:b w:val="0"/>
          <w:bCs w:val="0"/>
          <w:kern w:val="44"/>
          <w:sz w:val="24"/>
          <w:szCs w:val="24"/>
          <w:highlight w:val="none"/>
          <w:lang w:val="en-US" w:eastAsia="zh-CN"/>
        </w:rPr>
        <w:t>合同施工阶段的20%监理费的</w:t>
      </w:r>
      <w:r>
        <w:rPr>
          <w:rFonts w:hint="eastAsia" w:ascii="宋体" w:hAnsi="宋体" w:eastAsia="宋体" w:cs="宋体"/>
          <w:color w:val="auto"/>
          <w:kern w:val="0"/>
          <w:sz w:val="24"/>
          <w:szCs w:val="24"/>
          <w:highlight w:val="none"/>
          <w:lang w:val="en-US" w:eastAsia="zh-CN"/>
        </w:rPr>
        <w:t>发票及凭证资料向福田区相关部门申请财政资金，财政资金下达后，采购人10个工作日内完成支付流程，付款时间以政府相关部门的审批支付为准。</w:t>
      </w:r>
    </w:p>
    <w:p w14:paraId="12EDB96F">
      <w:pPr>
        <w:numPr>
          <w:ilvl w:val="-1"/>
          <w:numId w:val="0"/>
        </w:numPr>
        <w:ind w:firstLine="480" w:firstLineChars="200"/>
        <w:rPr>
          <w:rFonts w:hint="eastAsia"/>
          <w:highlight w:val="none"/>
        </w:rPr>
      </w:pPr>
      <w:r>
        <w:rPr>
          <w:rFonts w:hint="eastAsia" w:ascii="Times New Roman" w:hAnsi="Times New Roman" w:eastAsia="宋体" w:cs="Times New Roman"/>
          <w:color w:val="000000"/>
          <w:kern w:val="44"/>
          <w:sz w:val="24"/>
          <w:highlight w:val="none"/>
          <w:lang w:val="en-US" w:eastAsia="zh-CN"/>
        </w:rPr>
        <w:t>2.</w:t>
      </w:r>
      <w:r>
        <w:rPr>
          <w:rFonts w:hint="default" w:ascii="Times New Roman" w:hAnsi="Times New Roman" w:eastAsia="宋体" w:cs="Times New Roman"/>
          <w:color w:val="000000"/>
          <w:kern w:val="44"/>
          <w:sz w:val="24"/>
          <w:highlight w:val="none"/>
        </w:rPr>
        <w:t>工程竣工验收合格后（包括消防验收、节能验收、环保验收、档案验收等）</w:t>
      </w:r>
      <w:r>
        <w:rPr>
          <w:rFonts w:hint="eastAsia" w:ascii="Times New Roman" w:hAnsi="Times New Roman" w:eastAsia="宋体" w:cs="Times New Roman"/>
          <w:color w:val="000000"/>
          <w:kern w:val="44"/>
          <w:sz w:val="24"/>
          <w:highlight w:val="none"/>
          <w:lang w:eastAsia="zh-CN"/>
        </w:rPr>
        <w:t>，</w:t>
      </w:r>
      <w:r>
        <w:rPr>
          <w:rFonts w:hint="eastAsia" w:ascii="宋体" w:hAnsi="宋体" w:eastAsia="宋体" w:cs="宋体"/>
          <w:color w:val="auto"/>
          <w:kern w:val="0"/>
          <w:sz w:val="24"/>
          <w:szCs w:val="24"/>
          <w:highlight w:val="none"/>
          <w:lang w:val="en-US" w:eastAsia="zh-CN"/>
        </w:rPr>
        <w:t>采购人凭投标人提供的</w:t>
      </w:r>
      <w:r>
        <w:rPr>
          <w:rFonts w:hint="eastAsia" w:ascii="宋体" w:hAnsi="宋体" w:eastAsia="宋体" w:cs="Times New Roman"/>
          <w:b w:val="0"/>
          <w:bCs w:val="0"/>
          <w:kern w:val="44"/>
          <w:sz w:val="24"/>
          <w:szCs w:val="24"/>
          <w:highlight w:val="none"/>
          <w:lang w:val="en-US" w:eastAsia="zh-CN"/>
        </w:rPr>
        <w:t>合同施工阶段的40%监理费的</w:t>
      </w:r>
      <w:r>
        <w:rPr>
          <w:rFonts w:hint="eastAsia" w:ascii="宋体" w:hAnsi="宋体" w:eastAsia="宋体" w:cs="宋体"/>
          <w:color w:val="auto"/>
          <w:kern w:val="0"/>
          <w:sz w:val="24"/>
          <w:szCs w:val="24"/>
          <w:highlight w:val="none"/>
          <w:lang w:val="en-US" w:eastAsia="zh-CN"/>
        </w:rPr>
        <w:t>发票及凭证资料向福田区相关部门申请财政资金，财政资金下达后，采购人10个工作日内完成支付流程</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付款时间以政府相关部门的审批支付为准。</w:t>
      </w:r>
    </w:p>
    <w:p w14:paraId="705FD958">
      <w:pPr>
        <w:numPr>
          <w:ilvl w:val="-1"/>
          <w:numId w:val="0"/>
        </w:numPr>
        <w:ind w:firstLine="480" w:firstLineChars="200"/>
        <w:rPr>
          <w:rFonts w:hint="eastAsia"/>
        </w:rPr>
      </w:pPr>
      <w:r>
        <w:rPr>
          <w:rFonts w:hint="eastAsia" w:ascii="Times New Roman" w:hAnsi="Times New Roman" w:eastAsia="宋体" w:cs="Times New Roman"/>
          <w:color w:val="000000"/>
          <w:kern w:val="44"/>
          <w:sz w:val="24"/>
          <w:highlight w:val="none"/>
          <w:lang w:val="en-US" w:eastAsia="zh-CN"/>
        </w:rPr>
        <w:t>3.</w:t>
      </w:r>
      <w:r>
        <w:rPr>
          <w:rFonts w:hint="eastAsia" w:ascii="Times New Roman" w:hAnsi="Times New Roman" w:eastAsia="宋体" w:cs="Times New Roman"/>
          <w:color w:val="000000"/>
          <w:kern w:val="44"/>
          <w:sz w:val="24"/>
          <w:highlight w:val="none"/>
          <w:lang w:eastAsia="zh-CN"/>
        </w:rPr>
        <w:t>投标人</w:t>
      </w:r>
      <w:r>
        <w:rPr>
          <w:rFonts w:hint="default" w:ascii="Times New Roman" w:hAnsi="Times New Roman" w:eastAsia="宋体" w:cs="Times New Roman"/>
          <w:color w:val="000000"/>
          <w:kern w:val="44"/>
          <w:sz w:val="24"/>
          <w:highlight w:val="none"/>
        </w:rPr>
        <w:t>将</w:t>
      </w:r>
      <w:r>
        <w:rPr>
          <w:rFonts w:hint="default" w:ascii="Times New Roman" w:hAnsi="Times New Roman" w:eastAsia="宋体" w:cs="Times New Roman"/>
          <w:color w:val="000000"/>
          <w:kern w:val="44"/>
          <w:sz w:val="24"/>
          <w:highlight w:val="none"/>
        </w:rPr>
        <w:t>施工结算资料</w:t>
      </w:r>
      <w:r>
        <w:rPr>
          <w:rFonts w:hint="default" w:ascii="Times New Roman" w:hAnsi="Times New Roman" w:eastAsia="宋体" w:cs="Times New Roman"/>
          <w:color w:val="000000"/>
          <w:kern w:val="44"/>
          <w:sz w:val="24"/>
          <w:highlight w:val="none"/>
        </w:rPr>
        <w:t>及</w:t>
      </w:r>
      <w:r>
        <w:rPr>
          <w:rFonts w:hint="default" w:ascii="Times New Roman" w:hAnsi="Times New Roman" w:eastAsia="宋体" w:cs="Times New Roman"/>
          <w:color w:val="000000"/>
          <w:kern w:val="44"/>
          <w:sz w:val="24"/>
          <w:highlight w:val="none"/>
        </w:rPr>
        <w:t>监理结算资料</w:t>
      </w:r>
      <w:r>
        <w:rPr>
          <w:rFonts w:hint="default" w:ascii="Times New Roman" w:hAnsi="Times New Roman" w:eastAsia="宋体" w:cs="Times New Roman"/>
          <w:color w:val="000000"/>
          <w:kern w:val="44"/>
          <w:sz w:val="24"/>
          <w:highlight w:val="none"/>
        </w:rPr>
        <w:t>送</w:t>
      </w:r>
      <w:r>
        <w:rPr>
          <w:rFonts w:hint="eastAsia" w:ascii="Times New Roman" w:hAnsi="Times New Roman" w:eastAsia="宋体" w:cs="Times New Roman"/>
          <w:color w:val="000000"/>
          <w:kern w:val="44"/>
          <w:sz w:val="24"/>
          <w:highlight w:val="none"/>
          <w:lang w:eastAsia="zh-CN"/>
        </w:rPr>
        <w:t>采购人</w:t>
      </w:r>
      <w:r>
        <w:rPr>
          <w:rFonts w:hint="default" w:ascii="Times New Roman" w:hAnsi="Times New Roman" w:eastAsia="宋体" w:cs="Times New Roman"/>
          <w:color w:val="000000"/>
          <w:kern w:val="44"/>
          <w:sz w:val="24"/>
          <w:highlight w:val="none"/>
        </w:rPr>
        <w:t>审核，</w:t>
      </w:r>
      <w:r>
        <w:rPr>
          <w:rFonts w:hint="eastAsia" w:ascii="Times New Roman" w:hAnsi="Times New Roman" w:eastAsia="宋体" w:cs="Times New Roman"/>
          <w:color w:val="000000"/>
          <w:kern w:val="44"/>
          <w:sz w:val="24"/>
          <w:highlight w:val="none"/>
          <w:lang w:eastAsia="zh-CN"/>
        </w:rPr>
        <w:t>采购人</w:t>
      </w:r>
      <w:r>
        <w:rPr>
          <w:rFonts w:hint="default" w:ascii="Times New Roman" w:hAnsi="Times New Roman" w:eastAsia="宋体" w:cs="Times New Roman"/>
          <w:color w:val="000000"/>
          <w:kern w:val="44"/>
          <w:sz w:val="24"/>
          <w:highlight w:val="none"/>
        </w:rPr>
        <w:t>在15个工作日内审核完成</w:t>
      </w:r>
      <w:r>
        <w:rPr>
          <w:rFonts w:hint="eastAsia" w:ascii="Times New Roman" w:hAnsi="Times New Roman" w:eastAsia="宋体" w:cs="Times New Roman"/>
          <w:color w:val="000000"/>
          <w:kern w:val="44"/>
          <w:sz w:val="24"/>
          <w:highlight w:val="none"/>
          <w:lang w:eastAsia="zh-CN"/>
        </w:rPr>
        <w:t>。</w:t>
      </w:r>
      <w:r>
        <w:rPr>
          <w:rFonts w:hint="eastAsia" w:ascii="宋体" w:hAnsi="宋体" w:eastAsia="宋体" w:cs="宋体"/>
          <w:color w:val="auto"/>
          <w:kern w:val="0"/>
          <w:sz w:val="24"/>
          <w:szCs w:val="24"/>
          <w:highlight w:val="none"/>
          <w:lang w:val="en-US" w:eastAsia="zh-CN"/>
        </w:rPr>
        <w:t>采购人凭投标人提供的</w:t>
      </w:r>
      <w:r>
        <w:rPr>
          <w:rFonts w:hint="eastAsia" w:ascii="宋体" w:hAnsi="宋体" w:eastAsia="宋体" w:cs="Times New Roman"/>
          <w:b w:val="0"/>
          <w:bCs w:val="0"/>
          <w:kern w:val="44"/>
          <w:sz w:val="24"/>
          <w:szCs w:val="24"/>
          <w:highlight w:val="none"/>
          <w:lang w:val="en-US" w:eastAsia="zh-CN"/>
        </w:rPr>
        <w:t>合同施工阶段的40%监理费的</w:t>
      </w:r>
      <w:r>
        <w:rPr>
          <w:rFonts w:hint="eastAsia" w:ascii="宋体" w:hAnsi="宋体" w:eastAsia="宋体" w:cs="宋体"/>
          <w:color w:val="auto"/>
          <w:kern w:val="0"/>
          <w:sz w:val="24"/>
          <w:szCs w:val="24"/>
          <w:highlight w:val="none"/>
          <w:lang w:val="en-US" w:eastAsia="zh-CN"/>
        </w:rPr>
        <w:t>发</w:t>
      </w:r>
      <w:r>
        <w:rPr>
          <w:rFonts w:hint="eastAsia" w:ascii="宋体" w:hAnsi="宋体" w:eastAsia="宋体" w:cs="宋体"/>
          <w:color w:val="auto"/>
          <w:kern w:val="0"/>
          <w:sz w:val="24"/>
          <w:szCs w:val="24"/>
          <w:lang w:val="en-US" w:eastAsia="zh-CN"/>
        </w:rPr>
        <w:t>票及凭证资料向福田区相关部门申请财政资金，财政资金下达后，采购人10个工作日内完成支付流程，付款时间以政府相关部门的审批支付为准。</w:t>
      </w:r>
    </w:p>
    <w:p w14:paraId="0A3A784F">
      <w:pPr>
        <w:adjustRightInd w:val="0"/>
        <w:snapToGrid w:val="0"/>
        <w:spacing w:line="360" w:lineRule="auto"/>
        <w:ind w:firstLine="480" w:firstLineChars="200"/>
        <w:jc w:val="left"/>
        <w:rPr>
          <w:rFonts w:ascii="宋体" w:hAnsi="宋体"/>
          <w:snapToGrid w:val="0"/>
          <w:color w:val="FF0000"/>
          <w:kern w:val="0"/>
          <w:sz w:val="24"/>
        </w:rPr>
      </w:pPr>
      <w:r>
        <w:rPr>
          <w:rFonts w:hint="eastAsia" w:ascii="宋体" w:hAnsi="宋体"/>
          <w:snapToGrid w:val="0"/>
          <w:color w:val="000000"/>
          <w:kern w:val="0"/>
          <w:sz w:val="24"/>
        </w:rPr>
        <w:t>☑</w:t>
      </w:r>
      <w:r>
        <w:rPr>
          <w:rFonts w:hint="eastAsia" w:ascii="宋体" w:hAnsi="宋体"/>
          <w:snapToGrid w:val="0"/>
          <w:color w:val="000000"/>
          <w:kern w:val="0"/>
          <w:sz w:val="24"/>
          <w:lang w:val="en-US" w:eastAsia="zh-CN"/>
        </w:rPr>
        <w:t>5</w:t>
      </w:r>
      <w:r>
        <w:rPr>
          <w:rFonts w:ascii="宋体" w:hAnsi="宋体"/>
          <w:snapToGrid w:val="0"/>
          <w:color w:val="000000" w:themeColor="text1"/>
          <w:kern w:val="0"/>
          <w:sz w:val="24"/>
          <w14:textFill>
            <w14:solidFill>
              <w14:schemeClr w14:val="tx1"/>
            </w14:solidFill>
          </w14:textFill>
        </w:rPr>
        <w:t>.</w:t>
      </w:r>
      <w:r>
        <w:rPr>
          <w:rFonts w:hint="eastAsia" w:ascii="宋体" w:hAnsi="宋体"/>
          <w:snapToGrid w:val="0"/>
          <w:color w:val="000000" w:themeColor="text1"/>
          <w:kern w:val="0"/>
          <w:sz w:val="24"/>
          <w:lang w:val="en-US" w:eastAsia="zh-CN"/>
          <w14:textFill>
            <w14:solidFill>
              <w14:schemeClr w14:val="tx1"/>
            </w14:solidFill>
          </w14:textFill>
        </w:rPr>
        <w:t>2</w:t>
      </w:r>
      <w:r>
        <w:rPr>
          <w:rFonts w:hint="eastAsia" w:ascii="宋体" w:hAnsi="宋体"/>
          <w:snapToGrid w:val="0"/>
          <w:color w:val="000000" w:themeColor="text1"/>
          <w:kern w:val="0"/>
          <w:sz w:val="24"/>
          <w14:textFill>
            <w14:solidFill>
              <w14:schemeClr w14:val="tx1"/>
            </w14:solidFill>
          </w14:textFill>
        </w:rPr>
        <w:t>保修阶段、勘察阶段、设计阶段及设备监造</w:t>
      </w:r>
      <w:r>
        <w:rPr>
          <w:rFonts w:ascii="宋体" w:hAnsi="宋体"/>
          <w:snapToGrid w:val="0"/>
          <w:color w:val="000000" w:themeColor="text1"/>
          <w:kern w:val="0"/>
          <w:sz w:val="24"/>
          <w14:textFill>
            <w14:solidFill>
              <w14:schemeClr w14:val="tx1"/>
            </w14:solidFill>
          </w14:textFill>
        </w:rPr>
        <w:t>等</w:t>
      </w:r>
      <w:r>
        <w:rPr>
          <w:rFonts w:hint="eastAsia" w:ascii="宋体" w:hAnsi="宋体"/>
          <w:snapToGrid w:val="0"/>
          <w:color w:val="000000" w:themeColor="text1"/>
          <w:kern w:val="0"/>
          <w:sz w:val="24"/>
          <w14:textFill>
            <w14:solidFill>
              <w14:schemeClr w14:val="tx1"/>
            </w14:solidFill>
          </w14:textFill>
        </w:rPr>
        <w:t>相关服务酬金支付</w:t>
      </w:r>
    </w:p>
    <w:p w14:paraId="538F0FC1">
      <w:pPr>
        <w:adjustRightInd w:val="0"/>
        <w:snapToGrid w:val="0"/>
        <w:spacing w:line="360" w:lineRule="auto"/>
        <w:ind w:firstLine="480" w:firstLineChars="200"/>
        <w:jc w:val="left"/>
        <w:rPr>
          <w:rFonts w:ascii="宋体" w:hAnsi="宋体"/>
          <w:snapToGrid w:val="0"/>
          <w:kern w:val="0"/>
          <w:sz w:val="24"/>
        </w:rPr>
      </w:pPr>
      <w:r>
        <w:rPr>
          <w:rFonts w:hint="eastAsia" w:ascii="宋体" w:hAnsi="宋体"/>
          <w:kern w:val="44"/>
          <w:sz w:val="24"/>
        </w:rPr>
        <w:t>若双方对本合同的履行没有争议的，</w:t>
      </w:r>
      <w:r>
        <w:rPr>
          <w:rFonts w:hint="eastAsia" w:ascii="宋体" w:hAnsi="宋体"/>
          <w:kern w:val="44"/>
          <w:sz w:val="24"/>
          <w:lang w:eastAsia="zh-CN"/>
        </w:rPr>
        <w:t>投标人</w:t>
      </w:r>
      <w:r>
        <w:rPr>
          <w:rFonts w:hint="eastAsia" w:ascii="宋体" w:hAnsi="宋体"/>
          <w:kern w:val="44"/>
          <w:sz w:val="24"/>
        </w:rPr>
        <w:t>应在保修期满之日起1</w:t>
      </w:r>
      <w:r>
        <w:rPr>
          <w:rFonts w:ascii="宋体" w:hAnsi="宋体"/>
          <w:kern w:val="44"/>
          <w:sz w:val="24"/>
        </w:rPr>
        <w:t>5</w:t>
      </w:r>
      <w:r>
        <w:rPr>
          <w:rFonts w:hint="eastAsia" w:ascii="宋体" w:hAnsi="宋体"/>
          <w:kern w:val="44"/>
          <w:sz w:val="24"/>
        </w:rPr>
        <w:t>日内向</w:t>
      </w:r>
      <w:r>
        <w:rPr>
          <w:rFonts w:hint="eastAsia" w:ascii="宋体" w:hAnsi="宋体"/>
          <w:kern w:val="44"/>
          <w:sz w:val="24"/>
          <w:lang w:eastAsia="zh-CN"/>
        </w:rPr>
        <w:t>采购人</w:t>
      </w:r>
      <w:r>
        <w:rPr>
          <w:rFonts w:hint="eastAsia" w:ascii="宋体" w:hAnsi="宋体"/>
          <w:snapToGrid w:val="0"/>
          <w:kern w:val="0"/>
          <w:sz w:val="24"/>
        </w:rPr>
        <w:t>出具与合同保修阶段监理服务费等额的发票并提供相应的凭证等完整资料，自</w:t>
      </w:r>
      <w:r>
        <w:rPr>
          <w:rFonts w:hint="eastAsia" w:ascii="宋体" w:hAnsi="宋体"/>
          <w:snapToGrid w:val="0"/>
          <w:kern w:val="0"/>
          <w:sz w:val="24"/>
          <w:lang w:eastAsia="zh-CN"/>
        </w:rPr>
        <w:t>采购人</w:t>
      </w:r>
      <w:r>
        <w:rPr>
          <w:rFonts w:hint="eastAsia" w:ascii="宋体" w:hAnsi="宋体"/>
          <w:snapToGrid w:val="0"/>
          <w:kern w:val="0"/>
          <w:sz w:val="24"/>
        </w:rPr>
        <w:t>财务收到发票及相应的凭证等完整资料之日起10个工作日内一次性支付发票等额款项。</w:t>
      </w:r>
    </w:p>
    <w:p w14:paraId="6CD94875">
      <w:pPr>
        <w:adjustRightInd w:val="0"/>
        <w:snapToGrid w:val="0"/>
        <w:spacing w:line="360" w:lineRule="auto"/>
        <w:ind w:firstLine="480" w:firstLineChars="200"/>
        <w:jc w:val="left"/>
        <w:rPr>
          <w:rFonts w:ascii="宋体" w:hAnsi="宋体"/>
          <w:snapToGrid w:val="0"/>
          <w:color w:val="000000"/>
          <w:kern w:val="0"/>
          <w:sz w:val="24"/>
        </w:rPr>
      </w:pPr>
      <w:r>
        <w:rPr>
          <w:rFonts w:hint="eastAsia" w:ascii="宋体" w:hAnsi="宋体"/>
          <w:snapToGrid w:val="0"/>
          <w:color w:val="000000"/>
          <w:kern w:val="0"/>
          <w:sz w:val="24"/>
        </w:rPr>
        <w:t>□</w:t>
      </w:r>
      <w:r>
        <w:rPr>
          <w:rFonts w:hint="eastAsia" w:ascii="宋体" w:hAnsi="宋体"/>
          <w:snapToGrid w:val="0"/>
          <w:color w:val="000000"/>
          <w:kern w:val="0"/>
          <w:sz w:val="24"/>
          <w:lang w:val="en-US" w:eastAsia="zh-CN"/>
        </w:rPr>
        <w:t>5</w:t>
      </w:r>
      <w:r>
        <w:rPr>
          <w:rFonts w:ascii="宋体" w:hAnsi="宋体"/>
          <w:snapToGrid w:val="0"/>
          <w:color w:val="000000"/>
          <w:kern w:val="0"/>
          <w:sz w:val="24"/>
        </w:rPr>
        <w:t>.3工程项目管理酬金或工程监理与</w:t>
      </w:r>
      <w:r>
        <w:rPr>
          <w:rFonts w:hint="eastAsia" w:ascii="宋体" w:hAnsi="宋体"/>
          <w:snapToGrid w:val="0"/>
          <w:color w:val="000000"/>
          <w:kern w:val="0"/>
          <w:sz w:val="24"/>
        </w:rPr>
        <w:t>项目管理一体化中的项目管理酬金支付</w:t>
      </w:r>
    </w:p>
    <w:p w14:paraId="3A8495F3">
      <w:pPr>
        <w:adjustRightInd w:val="0"/>
        <w:snapToGrid w:val="0"/>
        <w:spacing w:line="360" w:lineRule="auto"/>
        <w:ind w:firstLine="480" w:firstLineChars="200"/>
        <w:jc w:val="left"/>
        <w:rPr>
          <w:rFonts w:ascii="宋体" w:hAnsi="宋体"/>
          <w:snapToGrid w:val="0"/>
          <w:color w:val="000000"/>
          <w:kern w:val="0"/>
          <w:sz w:val="24"/>
        </w:rPr>
      </w:pPr>
      <w:r>
        <w:rPr>
          <w:rFonts w:hint="eastAsia" w:ascii="宋体" w:hAnsi="宋体"/>
          <w:snapToGrid w:val="0"/>
          <w:color w:val="000000"/>
          <w:kern w:val="0"/>
          <w:sz w:val="24"/>
        </w:rPr>
        <w:t>采用按月度支付的方式，</w:t>
      </w:r>
      <w:r>
        <w:rPr>
          <w:rFonts w:hint="eastAsia" w:ascii="宋体" w:hAnsi="宋体"/>
          <w:snapToGrid w:val="0"/>
          <w:color w:val="000000"/>
          <w:kern w:val="0"/>
          <w:sz w:val="24"/>
          <w:lang w:eastAsia="zh-CN"/>
        </w:rPr>
        <w:t>采购人</w:t>
      </w:r>
      <w:r>
        <w:rPr>
          <w:rFonts w:hint="eastAsia" w:ascii="宋体" w:hAnsi="宋体"/>
          <w:snapToGrid w:val="0"/>
          <w:color w:val="000000"/>
          <w:kern w:val="0"/>
          <w:sz w:val="24"/>
        </w:rPr>
        <w:t>应在每月的</w:t>
      </w:r>
      <w:r>
        <w:rPr>
          <w:rFonts w:ascii="宋体" w:hAnsi="宋体"/>
          <w:snapToGrid w:val="0"/>
          <w:color w:val="000000"/>
          <w:kern w:val="0"/>
          <w:sz w:val="24"/>
        </w:rPr>
        <w:t>10</w:t>
      </w:r>
      <w:r>
        <w:rPr>
          <w:rFonts w:hint="eastAsia" w:ascii="宋体" w:hAnsi="宋体"/>
          <w:snapToGrid w:val="0"/>
          <w:color w:val="000000"/>
          <w:kern w:val="0"/>
          <w:sz w:val="24"/>
        </w:rPr>
        <w:t>日前支付</w:t>
      </w:r>
      <w:r>
        <w:rPr>
          <w:rFonts w:hint="eastAsia" w:ascii="宋体" w:hAnsi="宋体"/>
          <w:snapToGrid w:val="0"/>
          <w:color w:val="000000"/>
          <w:kern w:val="0"/>
          <w:sz w:val="24"/>
          <w:lang w:eastAsia="zh-CN"/>
        </w:rPr>
        <w:t>采购人</w:t>
      </w:r>
      <w:r>
        <w:rPr>
          <w:rFonts w:hint="eastAsia" w:ascii="宋体" w:hAnsi="宋体"/>
          <w:snapToGrid w:val="0"/>
          <w:color w:val="000000"/>
          <w:kern w:val="0"/>
          <w:sz w:val="24"/>
        </w:rPr>
        <w:t>上一月度的酬金。</w:t>
      </w:r>
    </w:p>
    <w:p w14:paraId="683223ED">
      <w:pPr>
        <w:adjustRightInd w:val="0"/>
        <w:snapToGrid w:val="0"/>
        <w:spacing w:line="360" w:lineRule="auto"/>
        <w:ind w:firstLine="480" w:firstLineChars="200"/>
        <w:jc w:val="left"/>
        <w:rPr>
          <w:rFonts w:ascii="宋体" w:hAnsi="宋体"/>
          <w:snapToGrid w:val="0"/>
          <w:color w:val="000000"/>
          <w:kern w:val="0"/>
          <w:sz w:val="24"/>
        </w:rPr>
      </w:pPr>
      <w:r>
        <w:rPr>
          <w:rFonts w:hint="eastAsia" w:ascii="宋体" w:hAnsi="宋体"/>
          <w:snapToGrid w:val="0"/>
          <w:color w:val="000000"/>
          <w:kern w:val="0"/>
          <w:sz w:val="24"/>
        </w:rPr>
        <w:t>月度支付额＝各阶段酬金总金额÷各阶段服务期限（日历天）÷</w:t>
      </w:r>
      <w:r>
        <w:rPr>
          <w:rFonts w:ascii="宋体" w:hAnsi="宋体"/>
          <w:snapToGrid w:val="0"/>
          <w:color w:val="000000"/>
          <w:kern w:val="0"/>
          <w:sz w:val="24"/>
        </w:rPr>
        <w:t>30</w:t>
      </w:r>
      <w:r>
        <w:rPr>
          <w:rFonts w:hint="eastAsia" w:ascii="宋体" w:hAnsi="宋体"/>
          <w:snapToGrid w:val="0"/>
          <w:color w:val="000000"/>
          <w:kern w:val="0"/>
          <w:sz w:val="24"/>
        </w:rPr>
        <w:t>（天）</w:t>
      </w:r>
    </w:p>
    <w:p w14:paraId="4863384E">
      <w:pPr>
        <w:adjustRightInd w:val="0"/>
        <w:snapToGrid w:val="0"/>
        <w:spacing w:line="360" w:lineRule="auto"/>
        <w:ind w:firstLine="480" w:firstLineChars="200"/>
        <w:jc w:val="left"/>
        <w:rPr>
          <w:rFonts w:ascii="宋体" w:hAnsi="宋体"/>
          <w:snapToGrid w:val="0"/>
          <w:color w:val="000000"/>
          <w:kern w:val="0"/>
          <w:sz w:val="24"/>
        </w:rPr>
      </w:pPr>
      <w:r>
        <w:rPr>
          <w:rFonts w:hint="eastAsia" w:ascii="宋体" w:hAnsi="宋体"/>
          <w:snapToGrid w:val="0"/>
          <w:color w:val="000000"/>
          <w:kern w:val="0"/>
          <w:sz w:val="24"/>
        </w:rPr>
        <w:t>＝</w:t>
      </w:r>
      <w:r>
        <w:rPr>
          <w:rFonts w:ascii="宋体" w:hAnsi="宋体"/>
          <w:snapToGrid w:val="0"/>
          <w:color w:val="000000"/>
          <w:kern w:val="0"/>
          <w:sz w:val="24"/>
          <w:u w:val="single"/>
        </w:rPr>
        <w:t xml:space="preserve">  </w:t>
      </w:r>
      <w:r>
        <w:rPr>
          <w:rFonts w:hint="eastAsia" w:ascii="宋体" w:hAnsi="宋体"/>
          <w:snapToGrid w:val="0"/>
          <w:color w:val="000000"/>
          <w:kern w:val="0"/>
          <w:sz w:val="24"/>
          <w:u w:val="single"/>
        </w:rPr>
        <w:t>/</w:t>
      </w:r>
      <w:r>
        <w:rPr>
          <w:rFonts w:ascii="宋体" w:hAnsi="宋体"/>
          <w:snapToGrid w:val="0"/>
          <w:color w:val="000000"/>
          <w:kern w:val="0"/>
          <w:sz w:val="24"/>
          <w:u w:val="single"/>
        </w:rPr>
        <w:t xml:space="preserve"> </w:t>
      </w:r>
      <w:r>
        <w:rPr>
          <w:rFonts w:hint="eastAsia" w:ascii="宋体" w:hAnsi="宋体"/>
          <w:snapToGrid w:val="0"/>
          <w:color w:val="000000"/>
          <w:kern w:val="0"/>
          <w:sz w:val="24"/>
        </w:rPr>
        <w:t>÷</w:t>
      </w:r>
      <w:r>
        <w:rPr>
          <w:rFonts w:ascii="宋体" w:hAnsi="宋体"/>
          <w:snapToGrid w:val="0"/>
          <w:color w:val="000000"/>
          <w:kern w:val="0"/>
          <w:sz w:val="24"/>
          <w:u w:val="single"/>
        </w:rPr>
        <w:t xml:space="preserve">  </w:t>
      </w:r>
      <w:r>
        <w:rPr>
          <w:rFonts w:hint="eastAsia" w:ascii="宋体" w:hAnsi="宋体"/>
          <w:snapToGrid w:val="0"/>
          <w:color w:val="000000"/>
          <w:kern w:val="0"/>
          <w:sz w:val="24"/>
          <w:u w:val="single"/>
        </w:rPr>
        <w:t>/</w:t>
      </w:r>
      <w:r>
        <w:rPr>
          <w:rFonts w:ascii="宋体" w:hAnsi="宋体"/>
          <w:snapToGrid w:val="0"/>
          <w:color w:val="000000"/>
          <w:kern w:val="0"/>
          <w:sz w:val="24"/>
          <w:u w:val="single"/>
        </w:rPr>
        <w:t xml:space="preserve">  </w:t>
      </w:r>
      <w:r>
        <w:rPr>
          <w:rFonts w:hint="eastAsia" w:ascii="宋体" w:hAnsi="宋体"/>
          <w:snapToGrid w:val="0"/>
          <w:color w:val="000000"/>
          <w:kern w:val="0"/>
          <w:sz w:val="24"/>
        </w:rPr>
        <w:t>（日历天）÷</w:t>
      </w:r>
      <w:r>
        <w:rPr>
          <w:rFonts w:ascii="宋体" w:hAnsi="宋体"/>
          <w:snapToGrid w:val="0"/>
          <w:color w:val="000000"/>
          <w:kern w:val="0"/>
          <w:sz w:val="24"/>
        </w:rPr>
        <w:t>30</w:t>
      </w:r>
      <w:r>
        <w:rPr>
          <w:rFonts w:hint="eastAsia" w:ascii="宋体" w:hAnsi="宋体"/>
          <w:snapToGrid w:val="0"/>
          <w:color w:val="000000"/>
          <w:kern w:val="0"/>
          <w:sz w:val="24"/>
        </w:rPr>
        <w:t>（天）</w:t>
      </w:r>
    </w:p>
    <w:p w14:paraId="700C4FAC">
      <w:pPr>
        <w:adjustRightInd w:val="0"/>
        <w:snapToGrid w:val="0"/>
        <w:spacing w:line="360" w:lineRule="auto"/>
        <w:ind w:firstLine="480" w:firstLineChars="200"/>
        <w:jc w:val="left"/>
        <w:rPr>
          <w:rFonts w:hint="eastAsia" w:ascii="宋体" w:hAnsi="宋体"/>
          <w:snapToGrid w:val="0"/>
          <w:color w:val="000000"/>
          <w:kern w:val="0"/>
          <w:sz w:val="24"/>
        </w:rPr>
      </w:pPr>
      <w:r>
        <w:rPr>
          <w:rFonts w:hint="eastAsia" w:ascii="宋体" w:hAnsi="宋体"/>
          <w:snapToGrid w:val="0"/>
          <w:color w:val="000000"/>
          <w:kern w:val="0"/>
          <w:sz w:val="24"/>
        </w:rPr>
        <w:t>＝</w:t>
      </w:r>
      <w:r>
        <w:rPr>
          <w:rFonts w:ascii="宋体" w:hAnsi="宋体"/>
          <w:snapToGrid w:val="0"/>
          <w:color w:val="000000"/>
          <w:kern w:val="0"/>
          <w:sz w:val="24"/>
          <w:u w:val="single"/>
        </w:rPr>
        <w:t xml:space="preserve">   </w:t>
      </w:r>
      <w:r>
        <w:rPr>
          <w:rFonts w:hint="eastAsia" w:ascii="宋体" w:hAnsi="宋体"/>
          <w:snapToGrid w:val="0"/>
          <w:color w:val="000000"/>
          <w:kern w:val="0"/>
          <w:sz w:val="24"/>
          <w:u w:val="single"/>
        </w:rPr>
        <w:t>/</w:t>
      </w:r>
      <w:r>
        <w:rPr>
          <w:rFonts w:hint="eastAsia" w:ascii="宋体" w:hAnsi="宋体"/>
          <w:snapToGrid w:val="0"/>
          <w:color w:val="000000"/>
          <w:kern w:val="0"/>
          <w:sz w:val="24"/>
        </w:rPr>
        <w:t>万元</w:t>
      </w:r>
    </w:p>
    <w:p w14:paraId="1FD6D983">
      <w:pPr>
        <w:numPr>
          <w:ilvl w:val="-1"/>
          <w:numId w:val="0"/>
        </w:numPr>
        <w:ind w:left="0" w:firstLine="480" w:firstLineChars="200"/>
        <w:rPr>
          <w:rFonts w:hint="eastAsia" w:ascii="宋体" w:hAnsi="宋体" w:cs="宋体" w:eastAsiaTheme="minorEastAsia"/>
          <w:kern w:val="0"/>
          <w:sz w:val="24"/>
          <w:szCs w:val="24"/>
          <w:lang w:val="en-US" w:eastAsia="zh-CN"/>
        </w:rPr>
      </w:pPr>
      <w:r>
        <w:rPr>
          <w:rFonts w:hint="eastAsia" w:ascii="宋体" w:hAnsi="宋体"/>
          <w:snapToGrid w:val="0"/>
          <w:color w:val="000000" w:themeColor="text1"/>
          <w:kern w:val="0"/>
          <w:sz w:val="24"/>
          <w:lang w:val="en-US" w:eastAsia="zh-CN"/>
          <w14:textFill>
            <w14:solidFill>
              <w14:schemeClr w14:val="tx1"/>
            </w14:solidFill>
          </w14:textFill>
        </w:rPr>
        <w:t>5</w:t>
      </w:r>
      <w:r>
        <w:rPr>
          <w:rFonts w:ascii="宋体" w:hAnsi="宋体"/>
          <w:snapToGrid w:val="0"/>
          <w:color w:val="000000" w:themeColor="text1"/>
          <w:kern w:val="0"/>
          <w:sz w:val="24"/>
          <w14:textFill>
            <w14:solidFill>
              <w14:schemeClr w14:val="tx1"/>
            </w14:solidFill>
          </w14:textFill>
        </w:rPr>
        <w:t>.</w:t>
      </w:r>
      <w:r>
        <w:rPr>
          <w:rFonts w:hint="eastAsia" w:ascii="宋体" w:hAnsi="宋体"/>
          <w:snapToGrid w:val="0"/>
          <w:color w:val="000000" w:themeColor="text1"/>
          <w:kern w:val="0"/>
          <w:sz w:val="24"/>
          <w:lang w:val="en-US" w:eastAsia="zh-CN"/>
          <w14:textFill>
            <w14:solidFill>
              <w14:schemeClr w14:val="tx1"/>
            </w14:solidFill>
          </w14:textFill>
        </w:rPr>
        <w:t>4</w:t>
      </w:r>
      <w:r>
        <w:rPr>
          <w:rFonts w:hint="eastAsia" w:ascii="宋体" w:hAnsi="宋体" w:cs="宋体" w:eastAsiaTheme="minorEastAsia"/>
          <w:kern w:val="0"/>
          <w:sz w:val="24"/>
          <w:szCs w:val="24"/>
          <w:lang w:val="en-US" w:eastAsia="zh-CN"/>
        </w:rPr>
        <w:t>如</w:t>
      </w:r>
      <w:r>
        <w:rPr>
          <w:rFonts w:hint="eastAsia" w:ascii="宋体" w:hAnsi="宋体" w:cs="宋体"/>
          <w:kern w:val="0"/>
          <w:sz w:val="24"/>
          <w:szCs w:val="24"/>
          <w:lang w:val="en-US" w:eastAsia="zh-CN"/>
        </w:rPr>
        <w:t>监理</w:t>
      </w:r>
      <w:r>
        <w:rPr>
          <w:rFonts w:hint="eastAsia" w:ascii="宋体" w:hAnsi="宋体" w:cs="宋体" w:eastAsiaTheme="minorEastAsia"/>
          <w:kern w:val="0"/>
          <w:sz w:val="24"/>
          <w:szCs w:val="24"/>
          <w:lang w:val="en-US" w:eastAsia="zh-CN"/>
        </w:rPr>
        <w:t>合同结算价与招标单位委托的决算审核部门或福田区审计部门的审核结果不一致，以决算审核的金额为准。如有超付，</w:t>
      </w:r>
      <w:r>
        <w:rPr>
          <w:rFonts w:hint="eastAsia" w:ascii="宋体" w:hAnsi="宋体" w:cs="宋体"/>
          <w:kern w:val="0"/>
          <w:sz w:val="24"/>
          <w:szCs w:val="24"/>
          <w:lang w:val="en-US" w:eastAsia="zh-CN"/>
        </w:rPr>
        <w:t>投标人</w:t>
      </w:r>
      <w:r>
        <w:rPr>
          <w:rFonts w:hint="eastAsia" w:ascii="宋体" w:hAnsi="宋体" w:cs="宋体" w:eastAsiaTheme="minorEastAsia"/>
          <w:kern w:val="0"/>
          <w:sz w:val="24"/>
          <w:szCs w:val="24"/>
          <w:lang w:val="en-US" w:eastAsia="zh-CN"/>
        </w:rPr>
        <w:t>应无条件按照区审计局和财政局的要求退还超付资金。</w:t>
      </w:r>
    </w:p>
    <w:p w14:paraId="4A41083E">
      <w:pPr>
        <w:adjustRightInd/>
        <w:snapToGrid/>
        <w:spacing w:line="240" w:lineRule="auto"/>
        <w:ind w:firstLine="480" w:firstLineChars="200"/>
        <w:jc w:val="left"/>
        <w:rPr>
          <w:rFonts w:hint="eastAsia" w:ascii="宋体" w:hAnsi="宋体"/>
          <w:snapToGrid w:val="0"/>
          <w:color w:val="000000"/>
          <w:kern w:val="0"/>
          <w:sz w:val="24"/>
        </w:rPr>
      </w:pPr>
      <w:r>
        <w:rPr>
          <w:rFonts w:hint="eastAsia" w:ascii="宋体" w:hAnsi="宋体"/>
          <w:snapToGrid w:val="0"/>
          <w:color w:val="000000" w:themeColor="text1"/>
          <w:kern w:val="0"/>
          <w:sz w:val="24"/>
          <w:lang w:val="en-US" w:eastAsia="zh-CN"/>
          <w14:textFill>
            <w14:solidFill>
              <w14:schemeClr w14:val="tx1"/>
            </w14:solidFill>
          </w14:textFill>
        </w:rPr>
        <w:t>5</w:t>
      </w:r>
      <w:r>
        <w:rPr>
          <w:rFonts w:ascii="宋体" w:hAnsi="宋体"/>
          <w:snapToGrid w:val="0"/>
          <w:color w:val="000000" w:themeColor="text1"/>
          <w:kern w:val="0"/>
          <w:sz w:val="24"/>
          <w14:textFill>
            <w14:solidFill>
              <w14:schemeClr w14:val="tx1"/>
            </w14:solidFill>
          </w14:textFill>
        </w:rPr>
        <w:t>.</w:t>
      </w:r>
      <w:r>
        <w:rPr>
          <w:rFonts w:hint="eastAsia" w:ascii="宋体" w:hAnsi="宋体" w:cs="宋体"/>
          <w:kern w:val="0"/>
          <w:sz w:val="24"/>
          <w:szCs w:val="24"/>
          <w:lang w:val="en-US" w:eastAsia="zh-CN"/>
        </w:rPr>
        <w:t>5如项目终止的，投标人已开始监理工作的</w:t>
      </w:r>
      <w:r>
        <w:rPr>
          <w:rFonts w:hint="eastAsia" w:ascii="宋体" w:hAnsi="宋体" w:cs="宋体" w:eastAsiaTheme="minorEastAsia"/>
          <w:kern w:val="0"/>
          <w:sz w:val="24"/>
          <w:szCs w:val="24"/>
        </w:rPr>
        <w:t>，</w:t>
      </w:r>
      <w:r>
        <w:rPr>
          <w:rFonts w:hint="eastAsia" w:ascii="宋体" w:hAnsi="宋体" w:cs="宋体"/>
          <w:kern w:val="0"/>
          <w:sz w:val="24"/>
          <w:szCs w:val="24"/>
          <w:lang w:val="en-US" w:eastAsia="zh-CN"/>
        </w:rPr>
        <w:t>由采购人</w:t>
      </w:r>
      <w:r>
        <w:rPr>
          <w:rFonts w:hint="eastAsia" w:ascii="宋体" w:hAnsi="宋体" w:cs="宋体" w:eastAsiaTheme="minorEastAsia"/>
          <w:kern w:val="0"/>
          <w:sz w:val="24"/>
          <w:szCs w:val="24"/>
        </w:rPr>
        <w:t>根据</w:t>
      </w:r>
      <w:r>
        <w:rPr>
          <w:rFonts w:hint="eastAsia" w:ascii="宋体" w:hAnsi="宋体" w:cs="宋体" w:eastAsiaTheme="minorEastAsia"/>
          <w:kern w:val="0"/>
          <w:sz w:val="24"/>
          <w:szCs w:val="24"/>
          <w:lang w:eastAsia="zh-CN"/>
        </w:rPr>
        <w:t>投标人</w:t>
      </w:r>
      <w:r>
        <w:rPr>
          <w:rFonts w:hint="eastAsia" w:ascii="宋体" w:hAnsi="宋体" w:cs="宋体" w:eastAsiaTheme="minorEastAsia"/>
          <w:kern w:val="0"/>
          <w:sz w:val="24"/>
          <w:szCs w:val="24"/>
        </w:rPr>
        <w:t>已完成的</w:t>
      </w:r>
      <w:r>
        <w:rPr>
          <w:rFonts w:hint="eastAsia" w:ascii="宋体" w:hAnsi="宋体" w:cs="宋体"/>
          <w:kern w:val="0"/>
          <w:sz w:val="24"/>
          <w:szCs w:val="24"/>
          <w:lang w:val="en-US" w:eastAsia="zh-CN"/>
        </w:rPr>
        <w:t>阶段性监理服务自筹资金支付</w:t>
      </w:r>
      <w:r>
        <w:rPr>
          <w:rFonts w:hint="eastAsia" w:ascii="宋体" w:hAnsi="宋体" w:cs="宋体"/>
          <w:kern w:val="0"/>
          <w:sz w:val="24"/>
          <w:lang w:val="en-US" w:eastAsia="zh-CN"/>
        </w:rPr>
        <w:t>；投标人未</w:t>
      </w:r>
      <w:r>
        <w:rPr>
          <w:rFonts w:hint="eastAsia" w:ascii="宋体" w:hAnsi="宋体" w:cs="宋体" w:eastAsiaTheme="minorEastAsia"/>
          <w:kern w:val="0"/>
          <w:sz w:val="24"/>
          <w:szCs w:val="24"/>
        </w:rPr>
        <w:t>开始</w:t>
      </w:r>
      <w:r>
        <w:rPr>
          <w:rFonts w:hint="eastAsia" w:ascii="宋体" w:hAnsi="宋体" w:cs="宋体"/>
          <w:kern w:val="0"/>
          <w:sz w:val="24"/>
          <w:szCs w:val="24"/>
          <w:lang w:val="en-US" w:eastAsia="zh-CN"/>
        </w:rPr>
        <w:t>提供监理服务</w:t>
      </w:r>
      <w:r>
        <w:rPr>
          <w:rFonts w:hint="eastAsia" w:ascii="宋体" w:hAnsi="宋体" w:cs="宋体"/>
          <w:kern w:val="0"/>
          <w:sz w:val="24"/>
          <w:szCs w:val="24"/>
          <w:lang w:eastAsia="zh-CN"/>
        </w:rPr>
        <w:t>的</w:t>
      </w:r>
      <w:r>
        <w:rPr>
          <w:rFonts w:hint="eastAsia" w:ascii="宋体" w:hAnsi="宋体" w:cs="宋体"/>
          <w:kern w:val="0"/>
          <w:sz w:val="24"/>
          <w:lang w:val="en-US" w:eastAsia="zh-CN"/>
        </w:rPr>
        <w:t>，则项目零费用终止</w:t>
      </w:r>
      <w:r>
        <w:rPr>
          <w:rFonts w:hint="eastAsia" w:ascii="宋体" w:hAnsi="宋体" w:cs="宋体"/>
          <w:kern w:val="0"/>
          <w:sz w:val="24"/>
          <w:szCs w:val="24"/>
          <w:lang w:val="en-US" w:eastAsia="zh-CN"/>
        </w:rPr>
        <w:t>。</w:t>
      </w:r>
    </w:p>
    <w:p w14:paraId="7DBE8A54">
      <w:pPr>
        <w:adjustRightInd w:val="0"/>
        <w:snapToGrid w:val="0"/>
        <w:spacing w:line="360" w:lineRule="auto"/>
        <w:ind w:firstLine="482" w:firstLineChars="200"/>
        <w:jc w:val="left"/>
        <w:rPr>
          <w:rFonts w:ascii="宋体" w:hAnsi="宋体"/>
          <w:b/>
          <w:snapToGrid w:val="0"/>
          <w:color w:val="auto"/>
          <w:kern w:val="0"/>
          <w:sz w:val="24"/>
          <w:szCs w:val="32"/>
          <w:highlight w:val="none"/>
        </w:rPr>
      </w:pPr>
      <w:r>
        <w:rPr>
          <w:rFonts w:hint="eastAsia" w:ascii="宋体" w:hAnsi="宋体"/>
          <w:b/>
          <w:snapToGrid w:val="0"/>
          <w:color w:val="auto"/>
          <w:kern w:val="0"/>
          <w:sz w:val="24"/>
          <w:szCs w:val="32"/>
          <w:highlight w:val="none"/>
          <w:lang w:val="en-US" w:eastAsia="zh-CN"/>
        </w:rPr>
        <w:t>5</w:t>
      </w:r>
      <w:r>
        <w:rPr>
          <w:rFonts w:ascii="宋体" w:hAnsi="宋体"/>
          <w:b/>
          <w:snapToGrid w:val="0"/>
          <w:color w:val="auto"/>
          <w:kern w:val="0"/>
          <w:sz w:val="24"/>
          <w:szCs w:val="32"/>
          <w:highlight w:val="none"/>
        </w:rPr>
        <w:t>.</w:t>
      </w:r>
      <w:r>
        <w:rPr>
          <w:rFonts w:hint="eastAsia" w:ascii="宋体" w:hAnsi="宋体"/>
          <w:b/>
          <w:snapToGrid w:val="0"/>
          <w:color w:val="auto"/>
          <w:kern w:val="0"/>
          <w:sz w:val="24"/>
          <w:szCs w:val="32"/>
          <w:highlight w:val="none"/>
          <w:lang w:val="en-US" w:eastAsia="zh-CN"/>
        </w:rPr>
        <w:t>6</w:t>
      </w:r>
      <w:r>
        <w:rPr>
          <w:rFonts w:ascii="宋体" w:hAnsi="宋体"/>
          <w:b/>
          <w:snapToGrid w:val="0"/>
          <w:color w:val="auto"/>
          <w:kern w:val="0"/>
          <w:sz w:val="24"/>
          <w:szCs w:val="32"/>
          <w:highlight w:val="none"/>
        </w:rPr>
        <w:t>支付货币</w:t>
      </w:r>
    </w:p>
    <w:p w14:paraId="5FA20994">
      <w:pPr>
        <w:adjustRightInd w:val="0"/>
        <w:snapToGrid w:val="0"/>
        <w:spacing w:line="360" w:lineRule="auto"/>
        <w:ind w:firstLine="480" w:firstLineChars="200"/>
        <w:jc w:val="left"/>
        <w:rPr>
          <w:rFonts w:ascii="宋体" w:hAnsi="宋体"/>
          <w:snapToGrid w:val="0"/>
          <w:color w:val="000000"/>
          <w:kern w:val="0"/>
          <w:sz w:val="24"/>
        </w:rPr>
      </w:pPr>
      <w:r>
        <w:rPr>
          <w:rFonts w:hint="eastAsia" w:ascii="宋体" w:hAnsi="宋体"/>
          <w:snapToGrid w:val="0"/>
          <w:color w:val="000000"/>
          <w:kern w:val="0"/>
          <w:sz w:val="24"/>
        </w:rPr>
        <w:t>币种为：</w:t>
      </w:r>
      <w:r>
        <w:rPr>
          <w:rFonts w:ascii="宋体" w:hAnsi="宋体"/>
          <w:snapToGrid w:val="0"/>
          <w:color w:val="000000"/>
          <w:kern w:val="0"/>
          <w:sz w:val="24"/>
          <w:u w:val="single"/>
        </w:rPr>
        <w:t xml:space="preserve"> </w:t>
      </w:r>
      <w:r>
        <w:rPr>
          <w:rFonts w:hint="eastAsia" w:ascii="宋体" w:hAnsi="宋体"/>
          <w:snapToGrid w:val="0"/>
          <w:color w:val="000000"/>
          <w:kern w:val="0"/>
          <w:sz w:val="24"/>
          <w:u w:val="single"/>
        </w:rPr>
        <w:t>人民币</w:t>
      </w:r>
      <w:r>
        <w:rPr>
          <w:rFonts w:ascii="宋体" w:hAnsi="宋体"/>
          <w:snapToGrid w:val="0"/>
          <w:color w:val="000000"/>
          <w:kern w:val="0"/>
          <w:sz w:val="24"/>
          <w:u w:val="single"/>
        </w:rPr>
        <w:t xml:space="preserve"> </w:t>
      </w:r>
      <w:r>
        <w:rPr>
          <w:rFonts w:hint="eastAsia" w:ascii="宋体" w:hAnsi="宋体"/>
          <w:snapToGrid w:val="0"/>
          <w:color w:val="000000"/>
          <w:kern w:val="0"/>
          <w:sz w:val="24"/>
        </w:rPr>
        <w:t>，比例为：</w:t>
      </w:r>
      <w:r>
        <w:rPr>
          <w:rFonts w:ascii="宋体" w:hAnsi="宋体"/>
          <w:snapToGrid w:val="0"/>
          <w:color w:val="000000"/>
          <w:kern w:val="0"/>
          <w:sz w:val="24"/>
          <w:u w:val="single"/>
        </w:rPr>
        <w:t xml:space="preserve"> 100%     </w:t>
      </w:r>
      <w:r>
        <w:rPr>
          <w:rFonts w:hint="eastAsia" w:ascii="宋体" w:hAnsi="宋体"/>
          <w:snapToGrid w:val="0"/>
          <w:color w:val="000000"/>
          <w:kern w:val="0"/>
          <w:sz w:val="24"/>
        </w:rPr>
        <w:t>，汇率为：</w:t>
      </w:r>
      <w:r>
        <w:rPr>
          <w:rFonts w:ascii="宋体" w:hAnsi="宋体"/>
          <w:snapToGrid w:val="0"/>
          <w:color w:val="000000"/>
          <w:kern w:val="0"/>
          <w:sz w:val="24"/>
          <w:u w:val="single"/>
        </w:rPr>
        <w:t xml:space="preserve">  /     </w:t>
      </w:r>
      <w:r>
        <w:rPr>
          <w:rFonts w:hint="eastAsia" w:ascii="宋体" w:hAnsi="宋体"/>
          <w:snapToGrid w:val="0"/>
          <w:color w:val="000000"/>
          <w:kern w:val="0"/>
          <w:sz w:val="24"/>
        </w:rPr>
        <w:t>。</w:t>
      </w:r>
    </w:p>
    <w:p w14:paraId="4C154557">
      <w:pPr>
        <w:rPr>
          <w:rFonts w:hint="eastAsia"/>
          <w:lang w:val="en-US" w:eastAsia="zh-CN"/>
        </w:rPr>
      </w:pPr>
    </w:p>
    <w:p w14:paraId="0DA96576">
      <w:pPr>
        <w:pStyle w:val="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）关于验收</w:t>
      </w:r>
    </w:p>
    <w:p w14:paraId="6488E441">
      <w:pPr>
        <w:numPr>
          <w:ilvl w:val="-1"/>
          <w:numId w:val="0"/>
        </w:numPr>
        <w:spacing w:line="24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投标人能有效完成并配合采购人对工程建设资料收集备案、项目建设过程监督管理、建筑材料送检、档案整理等，采购人将对投标人进行监理服务履约评价，履约评价合格则验收合格。合格后，双方共同签署验收报告。工程保修期自项目竣工验收合格之日起算，保修阶段结束时另做一次验收后支付保修阶段的监理费</w:t>
      </w:r>
      <w:r>
        <w:rPr>
          <w:rFonts w:hint="eastAsia" w:ascii="宋体" w:hAnsi="宋体" w:cs="宋体"/>
          <w:kern w:val="0"/>
          <w:sz w:val="24"/>
          <w:lang w:eastAsia="zh-CN"/>
        </w:rPr>
        <w:t>。</w:t>
      </w:r>
    </w:p>
    <w:p w14:paraId="2E3ACB91">
      <w:pPr>
        <w:numPr>
          <w:ilvl w:val="0"/>
          <w:numId w:val="10"/>
        </w:num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其它</w:t>
      </w:r>
    </w:p>
    <w:p w14:paraId="23365539">
      <w:pPr>
        <w:numPr>
          <w:numId w:val="0"/>
        </w:numPr>
        <w:spacing w:line="240" w:lineRule="auto"/>
        <w:ind w:firstLine="480" w:firstLineChars="200"/>
        <w:rPr>
          <w:rFonts w:hint="eastAsia" w:ascii="宋体" w:hAnsi="宋体" w:cs="宋体" w:eastAsiaTheme="minorEastAsia"/>
          <w:kern w:val="0"/>
          <w:sz w:val="24"/>
          <w:szCs w:val="24"/>
        </w:rPr>
      </w:pPr>
      <w:r>
        <w:rPr>
          <w:rFonts w:hint="eastAsia" w:ascii="宋体" w:hAnsi="宋体" w:cs="宋体" w:eastAsiaTheme="minorEastAsia"/>
          <w:kern w:val="0"/>
          <w:sz w:val="24"/>
          <w:szCs w:val="24"/>
        </w:rPr>
        <w:t>1、如投标人过失产生质量事故，造成采购人经济损失，投标人同意按以下办法承担责任，赔偿损失：</w:t>
      </w:r>
    </w:p>
    <w:p w14:paraId="4B03EDBD">
      <w:pPr>
        <w:numPr>
          <w:numId w:val="0"/>
        </w:numPr>
        <w:spacing w:line="240" w:lineRule="auto"/>
        <w:ind w:firstLine="480" w:firstLineChars="200"/>
        <w:rPr>
          <w:rFonts w:hint="eastAsia" w:ascii="宋体" w:hAnsi="宋体" w:cs="宋体" w:eastAsiaTheme="minorEastAsia"/>
          <w:kern w:val="0"/>
          <w:sz w:val="24"/>
          <w:szCs w:val="24"/>
        </w:rPr>
      </w:pPr>
      <w:r>
        <w:rPr>
          <w:rFonts w:hint="eastAsia" w:ascii="宋体" w:hAnsi="宋体" w:cs="宋体" w:eastAsiaTheme="minorEastAsia"/>
          <w:kern w:val="0"/>
          <w:sz w:val="24"/>
          <w:szCs w:val="24"/>
        </w:rPr>
        <w:t>（1）因投标人违反本合同约定的义务给采购人造成损失的，投标人应当赔偿采购人的全部直接经济损失（以监理酬金总额的70%为限），以及采购人所支付的全部维权费用（包括但不限于律师费、鉴定费、差旅费、诉讼费等）。上述直接经济损失达到建安费用的 10 %时，采购人有权解除合同。合同解除不影响投标人违约责任和赔偿责任的承担。</w:t>
      </w:r>
    </w:p>
    <w:p w14:paraId="74D67EE2">
      <w:pPr>
        <w:numPr>
          <w:numId w:val="0"/>
        </w:numPr>
        <w:spacing w:line="240" w:lineRule="auto"/>
        <w:ind w:firstLine="480" w:firstLineChars="200"/>
        <w:rPr>
          <w:rFonts w:hint="eastAsia" w:ascii="宋体" w:hAnsi="宋体" w:cs="宋体" w:eastAsiaTheme="minorEastAsia"/>
          <w:kern w:val="0"/>
          <w:sz w:val="24"/>
          <w:szCs w:val="24"/>
        </w:rPr>
      </w:pPr>
      <w:r>
        <w:rPr>
          <w:rFonts w:hint="eastAsia" w:ascii="宋体" w:hAnsi="宋体" w:cs="宋体" w:eastAsiaTheme="minorEastAsia"/>
          <w:kern w:val="0"/>
          <w:sz w:val="24"/>
          <w:szCs w:val="24"/>
        </w:rPr>
        <w:t>（2）因投标人的原因使工期延误，造成采购人经济损失，投标人同意按以下办法赔偿采购人的损失：每延长一天赔偿</w:t>
      </w:r>
      <w:r>
        <w:rPr>
          <w:rFonts w:hint="eastAsia" w:ascii="宋体" w:hAnsi="宋体" w:cs="宋体"/>
          <w:kern w:val="0"/>
          <w:sz w:val="24"/>
          <w:szCs w:val="24"/>
          <w:lang w:val="en-US" w:eastAsia="zh-CN"/>
        </w:rPr>
        <w:t>5</w:t>
      </w:r>
      <w:r>
        <w:rPr>
          <w:rFonts w:hint="eastAsia" w:ascii="宋体" w:hAnsi="宋体" w:cs="宋体" w:eastAsiaTheme="minorEastAsia"/>
          <w:kern w:val="0"/>
          <w:sz w:val="24"/>
          <w:szCs w:val="24"/>
        </w:rPr>
        <w:t>00元，总额不超过监理酬金的3%。</w:t>
      </w:r>
    </w:p>
    <w:p w14:paraId="614FA534">
      <w:pPr>
        <w:numPr>
          <w:ilvl w:val="0"/>
          <w:numId w:val="0"/>
        </w:numPr>
        <w:spacing w:line="240" w:lineRule="auto"/>
        <w:ind w:firstLine="480" w:firstLineChars="200"/>
        <w:rPr>
          <w:rFonts w:hint="eastAsia" w:ascii="宋体" w:hAnsi="宋体" w:cs="宋体" w:eastAsiaTheme="minorEastAsia"/>
          <w:kern w:val="0"/>
          <w:sz w:val="24"/>
          <w:szCs w:val="24"/>
        </w:rPr>
      </w:pPr>
      <w:r>
        <w:rPr>
          <w:rFonts w:hint="eastAsia" w:ascii="宋体" w:hAnsi="宋体" w:cs="宋体" w:eastAsiaTheme="minorEastAsia"/>
          <w:kern w:val="0"/>
          <w:sz w:val="24"/>
          <w:szCs w:val="24"/>
        </w:rPr>
        <w:t xml:space="preserve">（3）因投标人的原因造成合同被解除的，投标人应退还采购人已经支付的全部费用，并向采购人支付相当于合同总价款10 %的违约金。因此造成工期延误或者给采购人造成其他经济损失，且违约金不足以弥补损失的，投标人还应当承担损失赔偿责任。  </w:t>
      </w:r>
    </w:p>
    <w:p w14:paraId="1A4EEC06">
      <w:pPr>
        <w:numPr>
          <w:ilvl w:val="0"/>
          <w:numId w:val="0"/>
        </w:numPr>
        <w:spacing w:line="240" w:lineRule="auto"/>
        <w:ind w:firstLine="480" w:firstLineChars="200"/>
        <w:rPr>
          <w:rFonts w:hint="eastAsia" w:ascii="宋体" w:hAnsi="宋体" w:cs="宋体"/>
          <w:kern w:val="0"/>
          <w:sz w:val="24"/>
          <w:lang w:val="en-US" w:eastAsia="zh-CN"/>
        </w:rPr>
      </w:pPr>
      <w:r>
        <w:rPr>
          <w:rFonts w:hint="eastAsia" w:ascii="宋体" w:hAnsi="宋体" w:cs="宋体" w:eastAsiaTheme="minorEastAsia"/>
          <w:kern w:val="0"/>
          <w:sz w:val="24"/>
          <w:szCs w:val="24"/>
        </w:rPr>
        <w:t>2、投标人充分理解政府项目的特殊性，投标人同意本项目开工日期延期及总工期延长不属于采购人违约，投标人放弃要求索赔、赔偿或补偿等权利。</w:t>
      </w:r>
    </w:p>
    <w:p w14:paraId="556C139F">
      <w:pPr>
        <w:numPr>
          <w:ilvl w:val="0"/>
          <w:numId w:val="0"/>
        </w:numPr>
        <w:ind w:firstLine="480" w:firstLineChars="200"/>
        <w:rPr>
          <w:rFonts w:hint="eastAsia" w:ascii="宋体" w:hAnsi="宋体" w:cs="宋体"/>
          <w:kern w:val="0"/>
          <w:sz w:val="24"/>
          <w:lang w:val="en-US" w:eastAsia="zh-CN"/>
        </w:rPr>
      </w:pPr>
    </w:p>
    <w:p w14:paraId="44A92EB4">
      <w:pPr>
        <w:numPr>
          <w:ilvl w:val="0"/>
          <w:numId w:val="0"/>
        </w:numPr>
        <w:ind w:firstLine="480" w:firstLineChars="200"/>
        <w:rPr>
          <w:rFonts w:hint="eastAsia" w:ascii="宋体" w:hAnsi="宋体" w:cs="宋体"/>
          <w:snapToGrid/>
          <w:kern w:val="0"/>
          <w:sz w:val="24"/>
          <w:szCs w:val="24"/>
        </w:rPr>
      </w:pPr>
      <w:r>
        <w:rPr>
          <w:rFonts w:hint="eastAsia" w:ascii="宋体" w:hAnsi="宋体" w:cs="宋体"/>
          <w:kern w:val="0"/>
          <w:sz w:val="24"/>
          <w:lang w:val="en-US" w:eastAsia="zh-CN"/>
        </w:rPr>
        <w:t>6</w:t>
      </w:r>
      <w:r>
        <w:rPr>
          <w:rFonts w:hint="eastAsia" w:ascii="宋体" w:hAnsi="宋体" w:cs="宋体"/>
          <w:kern w:val="0"/>
          <w:sz w:val="24"/>
        </w:rPr>
        <w:t>. 综合以上</w:t>
      </w:r>
      <w:r>
        <w:rPr>
          <w:rFonts w:hint="eastAsia" w:ascii="宋体" w:hAnsi="宋体" w:cs="宋体"/>
          <w:snapToGrid/>
          <w:kern w:val="0"/>
          <w:sz w:val="24"/>
        </w:rPr>
        <w:t>分析比较，评委会将对各投标文件进行书面的量化评定，得分</w:t>
      </w:r>
      <w:r>
        <w:rPr>
          <w:rFonts w:hint="eastAsia" w:ascii="宋体" w:hAnsi="宋体" w:cs="宋体"/>
          <w:snapToGrid/>
          <w:kern w:val="0"/>
          <w:sz w:val="24"/>
          <w:szCs w:val="24"/>
        </w:rPr>
        <w:t>精确到小数点后一位。</w:t>
      </w:r>
    </w:p>
    <w:p w14:paraId="44F7D8AC">
      <w:pPr>
        <w:numPr>
          <w:ilvl w:val="0"/>
          <w:numId w:val="0"/>
        </w:numPr>
        <w:ind w:firstLine="480" w:firstLineChars="200"/>
        <w:rPr>
          <w:rFonts w:hint="eastAsia" w:ascii="宋体" w:hAnsi="宋体" w:cs="宋体" w:eastAsiaTheme="minorEastAsia"/>
          <w:kern w:val="0"/>
          <w:sz w:val="24"/>
          <w:szCs w:val="24"/>
        </w:rPr>
      </w:pPr>
      <w:r>
        <w:rPr>
          <w:rFonts w:hint="eastAsia" w:ascii="宋体" w:hAnsi="宋体" w:cs="宋体"/>
          <w:snapToGrid/>
          <w:kern w:val="0"/>
          <w:sz w:val="24"/>
          <w:szCs w:val="24"/>
          <w:lang w:val="en-US" w:eastAsia="zh-CN"/>
        </w:rPr>
        <w:t>7</w:t>
      </w:r>
      <w:r>
        <w:rPr>
          <w:rFonts w:hint="eastAsia" w:ascii="宋体" w:hAnsi="宋体" w:cs="宋体"/>
          <w:snapToGrid/>
          <w:kern w:val="0"/>
          <w:sz w:val="24"/>
          <w:szCs w:val="24"/>
        </w:rPr>
        <w:t>. 投标价超过招标控制价直接废标</w:t>
      </w:r>
    </w:p>
    <w:p w14:paraId="2931C869">
      <w:pPr>
        <w:spacing w:line="540" w:lineRule="exact"/>
        <w:jc w:val="right"/>
        <w:rPr>
          <w:rFonts w:hint="eastAsia" w:ascii="Times New Roman" w:hAnsi="Times New Roman" w:eastAsia="仿宋_GB2312" w:cs="Times New Roman"/>
          <w:sz w:val="22"/>
          <w:szCs w:val="22"/>
        </w:rPr>
      </w:pPr>
    </w:p>
    <w:p w14:paraId="3B6F6BE0">
      <w:pPr>
        <w:spacing w:line="540" w:lineRule="exact"/>
        <w:jc w:val="righ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此模板由</w:t>
      </w:r>
      <w:r>
        <w:rPr>
          <w:rFonts w:hint="eastAsia" w:ascii="Times New Roman" w:hAnsi="Times New Roman" w:eastAsia="仿宋_GB2312" w:cs="Times New Roman"/>
          <w:sz w:val="22"/>
          <w:szCs w:val="22"/>
          <w:lang w:eastAsia="zh-CN"/>
        </w:rPr>
        <w:t>招标采购管理办公室</w:t>
      </w:r>
      <w:r>
        <w:rPr>
          <w:rFonts w:hint="eastAsia" w:ascii="Times New Roman" w:hAnsi="Times New Roman" w:eastAsia="仿宋_GB2312" w:cs="Times New Roman"/>
          <w:sz w:val="22"/>
          <w:szCs w:val="22"/>
        </w:rPr>
        <w:t>于2021年</w:t>
      </w:r>
      <w:r>
        <w:rPr>
          <w:rFonts w:hint="eastAsia" w:ascii="Times New Roman" w:hAnsi="Times New Roman" w:eastAsia="仿宋_GB2312" w:cs="Times New Roman"/>
          <w:sz w:val="22"/>
          <w:szCs w:val="22"/>
          <w:lang w:val="en-US" w:eastAsia="zh-CN"/>
        </w:rPr>
        <w:t>11</w:t>
      </w:r>
      <w:r>
        <w:rPr>
          <w:rFonts w:hint="eastAsia" w:ascii="Times New Roman" w:hAnsi="Times New Roman" w:eastAsia="仿宋_GB2312" w:cs="Times New Roman"/>
          <w:sz w:val="22"/>
          <w:szCs w:val="22"/>
        </w:rPr>
        <w:t>月</w:t>
      </w:r>
      <w:r>
        <w:rPr>
          <w:rFonts w:hint="eastAsia" w:ascii="Times New Roman" w:hAnsi="Times New Roman" w:eastAsia="仿宋_GB2312" w:cs="Times New Roman"/>
          <w:sz w:val="22"/>
          <w:szCs w:val="22"/>
          <w:lang w:val="en-US" w:eastAsia="zh-CN"/>
        </w:rPr>
        <w:t>28</w:t>
      </w:r>
      <w:r>
        <w:rPr>
          <w:rFonts w:hint="eastAsia" w:ascii="Times New Roman" w:hAnsi="Times New Roman" w:eastAsia="仿宋_GB2312" w:cs="Times New Roman"/>
          <w:sz w:val="22"/>
          <w:szCs w:val="22"/>
        </w:rPr>
        <w:t>日修订</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2F57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43D765">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E43D765">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B7D42">
    <w:pPr>
      <w:widowControl w:val="0"/>
      <w:autoSpaceDE w:val="0"/>
      <w:autoSpaceDN w:val="0"/>
      <w:spacing w:before="0" w:after="0" w:line="14" w:lineRule="auto"/>
      <w:ind w:left="0" w:right="0" w:firstLine="0"/>
      <w:jc w:val="left"/>
      <w:rPr>
        <w:rFonts w:ascii="仿宋" w:hAnsi="仿宋" w:eastAsia="仿宋" w:cs="仿宋"/>
        <w:sz w:val="20"/>
        <w:szCs w:val="24"/>
        <w:lang w:val="en-US" w:eastAsia="en-US"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F60FD"/>
    <w:multiLevelType w:val="singleLevel"/>
    <w:tmpl w:val="AC8F60FD"/>
    <w:lvl w:ilvl="0" w:tentative="0">
      <w:start w:val="1"/>
      <w:numFmt w:val="decimal"/>
      <w:suff w:val="nothing"/>
      <w:lvlText w:val="%1．"/>
      <w:lvlJc w:val="left"/>
      <w:pPr>
        <w:ind w:left="0" w:firstLine="400"/>
      </w:pPr>
      <w:rPr>
        <w:rFonts w:hint="default"/>
      </w:rPr>
    </w:lvl>
  </w:abstractNum>
  <w:abstractNum w:abstractNumId="1">
    <w:nsid w:val="BEEB4E4E"/>
    <w:multiLevelType w:val="singleLevel"/>
    <w:tmpl w:val="BEEB4E4E"/>
    <w:lvl w:ilvl="0" w:tentative="0">
      <w:start w:val="1"/>
      <w:numFmt w:val="decimal"/>
      <w:suff w:val="nothing"/>
      <w:lvlText w:val="%1．"/>
      <w:lvlJc w:val="left"/>
      <w:pPr>
        <w:ind w:left="0" w:firstLine="400"/>
      </w:pPr>
      <w:rPr>
        <w:rFonts w:hint="default"/>
      </w:rPr>
    </w:lvl>
  </w:abstractNum>
  <w:abstractNum w:abstractNumId="2">
    <w:nsid w:val="C02BF2FA"/>
    <w:multiLevelType w:val="singleLevel"/>
    <w:tmpl w:val="C02BF2FA"/>
    <w:lvl w:ilvl="0" w:tentative="0">
      <w:start w:val="6"/>
      <w:numFmt w:val="chineseCounting"/>
      <w:suff w:val="nothing"/>
      <w:lvlText w:val="（%1）"/>
      <w:lvlJc w:val="left"/>
      <w:rPr>
        <w:rFonts w:hint="eastAsia"/>
      </w:rPr>
    </w:lvl>
  </w:abstractNum>
  <w:abstractNum w:abstractNumId="3">
    <w:nsid w:val="E1701669"/>
    <w:multiLevelType w:val="singleLevel"/>
    <w:tmpl w:val="E1701669"/>
    <w:lvl w:ilvl="0" w:tentative="0">
      <w:start w:val="2"/>
      <w:numFmt w:val="decimal"/>
      <w:lvlText w:val="(%1)"/>
      <w:lvlJc w:val="left"/>
      <w:pPr>
        <w:tabs>
          <w:tab w:val="left" w:pos="312"/>
        </w:tabs>
      </w:pPr>
    </w:lvl>
  </w:abstractNum>
  <w:abstractNum w:abstractNumId="4">
    <w:nsid w:val="E17401EC"/>
    <w:multiLevelType w:val="singleLevel"/>
    <w:tmpl w:val="E17401EC"/>
    <w:lvl w:ilvl="0" w:tentative="0">
      <w:start w:val="1"/>
      <w:numFmt w:val="chineseCounting"/>
      <w:suff w:val="nothing"/>
      <w:lvlText w:val="（%1）"/>
      <w:lvlJc w:val="left"/>
      <w:pPr>
        <w:ind w:left="0" w:firstLine="420"/>
      </w:pPr>
      <w:rPr>
        <w:rFonts w:hint="eastAsia"/>
      </w:rPr>
    </w:lvl>
  </w:abstractNum>
  <w:abstractNum w:abstractNumId="5">
    <w:nsid w:val="E8B41802"/>
    <w:multiLevelType w:val="singleLevel"/>
    <w:tmpl w:val="E8B41802"/>
    <w:lvl w:ilvl="0" w:tentative="0">
      <w:start w:val="2"/>
      <w:numFmt w:val="chineseCounting"/>
      <w:suff w:val="nothing"/>
      <w:lvlText w:val="（%1）"/>
      <w:lvlJc w:val="left"/>
      <w:rPr>
        <w:rFonts w:hint="eastAsia"/>
      </w:rPr>
    </w:lvl>
  </w:abstractNum>
  <w:abstractNum w:abstractNumId="6">
    <w:nsid w:val="14E3E999"/>
    <w:multiLevelType w:val="singleLevel"/>
    <w:tmpl w:val="14E3E999"/>
    <w:lvl w:ilvl="0" w:tentative="0">
      <w:start w:val="1"/>
      <w:numFmt w:val="chineseCounting"/>
      <w:suff w:val="nothing"/>
      <w:lvlText w:val="（%1）"/>
      <w:lvlJc w:val="left"/>
      <w:pPr>
        <w:ind w:left="0" w:firstLine="420"/>
      </w:pPr>
      <w:rPr>
        <w:rFonts w:hint="eastAsia"/>
      </w:rPr>
    </w:lvl>
  </w:abstractNum>
  <w:abstractNum w:abstractNumId="7">
    <w:nsid w:val="1B9B557A"/>
    <w:multiLevelType w:val="singleLevel"/>
    <w:tmpl w:val="1B9B557A"/>
    <w:lvl w:ilvl="0" w:tentative="0">
      <w:start w:val="1"/>
      <w:numFmt w:val="decimal"/>
      <w:suff w:val="nothing"/>
      <w:lvlText w:val="%1．"/>
      <w:lvlJc w:val="left"/>
      <w:pPr>
        <w:ind w:left="0" w:firstLine="400"/>
      </w:pPr>
      <w:rPr>
        <w:rFonts w:hint="default"/>
      </w:rPr>
    </w:lvl>
  </w:abstractNum>
  <w:abstractNum w:abstractNumId="8">
    <w:nsid w:val="47C8427E"/>
    <w:multiLevelType w:val="singleLevel"/>
    <w:tmpl w:val="47C8427E"/>
    <w:lvl w:ilvl="0" w:tentative="0">
      <w:start w:val="1"/>
      <w:numFmt w:val="decimal"/>
      <w:lvlText w:val="%1."/>
      <w:lvlJc w:val="left"/>
      <w:pPr>
        <w:tabs>
          <w:tab w:val="left" w:pos="312"/>
        </w:tabs>
      </w:pPr>
    </w:lvl>
  </w:abstractNum>
  <w:abstractNum w:abstractNumId="9">
    <w:nsid w:val="49A8936B"/>
    <w:multiLevelType w:val="singleLevel"/>
    <w:tmpl w:val="49A8936B"/>
    <w:lvl w:ilvl="0" w:tentative="0">
      <w:start w:val="1"/>
      <w:numFmt w:val="decimal"/>
      <w:suff w:val="nothing"/>
      <w:lvlText w:val="%1．"/>
      <w:lvlJc w:val="left"/>
      <w:pPr>
        <w:ind w:left="0" w:firstLine="400"/>
      </w:pPr>
      <w:rPr>
        <w:rFonts w:hint="default"/>
      </w:rPr>
    </w:lvl>
  </w:abstractNum>
  <w:num w:numId="1">
    <w:abstractNumId w:val="7"/>
  </w:num>
  <w:num w:numId="2">
    <w:abstractNumId w:val="4"/>
  </w:num>
  <w:num w:numId="3">
    <w:abstractNumId w:val="9"/>
  </w:num>
  <w:num w:numId="4">
    <w:abstractNumId w:val="5"/>
  </w:num>
  <w:num w:numId="5">
    <w:abstractNumId w:val="1"/>
  </w:num>
  <w:num w:numId="6">
    <w:abstractNumId w:val="0"/>
  </w:num>
  <w:num w:numId="7">
    <w:abstractNumId w:val="6"/>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NjgxZTIyNWM1M2NlOTNmODM3YTRiYTNjN2I4ZGQifQ=="/>
  </w:docVars>
  <w:rsids>
    <w:rsidRoot w:val="4FFC5FA2"/>
    <w:rsid w:val="000624C6"/>
    <w:rsid w:val="001C35EF"/>
    <w:rsid w:val="006105BC"/>
    <w:rsid w:val="006832BA"/>
    <w:rsid w:val="006A471C"/>
    <w:rsid w:val="00A23411"/>
    <w:rsid w:val="00C528DB"/>
    <w:rsid w:val="02100E79"/>
    <w:rsid w:val="025A2061"/>
    <w:rsid w:val="031B4DDD"/>
    <w:rsid w:val="031C113E"/>
    <w:rsid w:val="032D6A68"/>
    <w:rsid w:val="04156555"/>
    <w:rsid w:val="04F835A0"/>
    <w:rsid w:val="05C30855"/>
    <w:rsid w:val="066639D5"/>
    <w:rsid w:val="06D90D71"/>
    <w:rsid w:val="07207949"/>
    <w:rsid w:val="085F520C"/>
    <w:rsid w:val="08B6005B"/>
    <w:rsid w:val="0AF34F6D"/>
    <w:rsid w:val="0CB734F0"/>
    <w:rsid w:val="0EE02E1D"/>
    <w:rsid w:val="0F9A7C6B"/>
    <w:rsid w:val="0FC87C7C"/>
    <w:rsid w:val="109F26E4"/>
    <w:rsid w:val="11737418"/>
    <w:rsid w:val="11C5229D"/>
    <w:rsid w:val="134F13DF"/>
    <w:rsid w:val="13C045D3"/>
    <w:rsid w:val="147B6EEB"/>
    <w:rsid w:val="14E07226"/>
    <w:rsid w:val="154E4416"/>
    <w:rsid w:val="15A22D8C"/>
    <w:rsid w:val="1613499E"/>
    <w:rsid w:val="168B310E"/>
    <w:rsid w:val="18823C45"/>
    <w:rsid w:val="195B397D"/>
    <w:rsid w:val="199724DC"/>
    <w:rsid w:val="1AB64061"/>
    <w:rsid w:val="1AD87250"/>
    <w:rsid w:val="1B0915C7"/>
    <w:rsid w:val="1D390E43"/>
    <w:rsid w:val="1DE57DBB"/>
    <w:rsid w:val="1E7239A4"/>
    <w:rsid w:val="1E7D169F"/>
    <w:rsid w:val="1F2E7B6B"/>
    <w:rsid w:val="20DB2F52"/>
    <w:rsid w:val="21601623"/>
    <w:rsid w:val="228C6B97"/>
    <w:rsid w:val="22B53804"/>
    <w:rsid w:val="22D737D5"/>
    <w:rsid w:val="244F1E09"/>
    <w:rsid w:val="24831BCB"/>
    <w:rsid w:val="252F7FE8"/>
    <w:rsid w:val="253E0C21"/>
    <w:rsid w:val="25F37AAF"/>
    <w:rsid w:val="26180E7B"/>
    <w:rsid w:val="26A61888"/>
    <w:rsid w:val="27611031"/>
    <w:rsid w:val="27FE6C11"/>
    <w:rsid w:val="29803CD8"/>
    <w:rsid w:val="29ED6FF1"/>
    <w:rsid w:val="2A1B7E4B"/>
    <w:rsid w:val="2AA52FC8"/>
    <w:rsid w:val="2B3D2467"/>
    <w:rsid w:val="2B5014F4"/>
    <w:rsid w:val="2BD6024B"/>
    <w:rsid w:val="2DC65AAA"/>
    <w:rsid w:val="2DCD4F7D"/>
    <w:rsid w:val="2F3A78FF"/>
    <w:rsid w:val="2F4B1AAD"/>
    <w:rsid w:val="2F5939CF"/>
    <w:rsid w:val="2FAA4298"/>
    <w:rsid w:val="2FC041FF"/>
    <w:rsid w:val="3001707A"/>
    <w:rsid w:val="3215472C"/>
    <w:rsid w:val="32551DA6"/>
    <w:rsid w:val="32AD00B9"/>
    <w:rsid w:val="32DB2FBC"/>
    <w:rsid w:val="33E61EC6"/>
    <w:rsid w:val="34023489"/>
    <w:rsid w:val="347B4711"/>
    <w:rsid w:val="34815751"/>
    <w:rsid w:val="35394B86"/>
    <w:rsid w:val="35400969"/>
    <w:rsid w:val="35A4385C"/>
    <w:rsid w:val="36BC2F59"/>
    <w:rsid w:val="370B0B2C"/>
    <w:rsid w:val="37B02C8E"/>
    <w:rsid w:val="39FD4282"/>
    <w:rsid w:val="3A2A6BAB"/>
    <w:rsid w:val="3A916267"/>
    <w:rsid w:val="3AF109F6"/>
    <w:rsid w:val="3B4A6275"/>
    <w:rsid w:val="3B5A188F"/>
    <w:rsid w:val="3B915A92"/>
    <w:rsid w:val="3BDB4DF3"/>
    <w:rsid w:val="3C9A6F62"/>
    <w:rsid w:val="3E0233F7"/>
    <w:rsid w:val="3EB11003"/>
    <w:rsid w:val="3EBD1529"/>
    <w:rsid w:val="41072269"/>
    <w:rsid w:val="417D6ADA"/>
    <w:rsid w:val="41CE0C1B"/>
    <w:rsid w:val="41DF7AD9"/>
    <w:rsid w:val="41E11594"/>
    <w:rsid w:val="420B225C"/>
    <w:rsid w:val="42BE4C61"/>
    <w:rsid w:val="433E4632"/>
    <w:rsid w:val="44CD334A"/>
    <w:rsid w:val="456E420D"/>
    <w:rsid w:val="467E3ADB"/>
    <w:rsid w:val="46CC532B"/>
    <w:rsid w:val="478233CE"/>
    <w:rsid w:val="4811248E"/>
    <w:rsid w:val="48AE4FC8"/>
    <w:rsid w:val="48E61E4B"/>
    <w:rsid w:val="491F30E9"/>
    <w:rsid w:val="49260284"/>
    <w:rsid w:val="4A086EB1"/>
    <w:rsid w:val="4A1C3C31"/>
    <w:rsid w:val="4B0C22F0"/>
    <w:rsid w:val="4B14306D"/>
    <w:rsid w:val="4B1E5CB5"/>
    <w:rsid w:val="4CA57B58"/>
    <w:rsid w:val="4D8B37D2"/>
    <w:rsid w:val="4EE203B7"/>
    <w:rsid w:val="4F2B561A"/>
    <w:rsid w:val="4FFC5FA2"/>
    <w:rsid w:val="515B74A8"/>
    <w:rsid w:val="523B17BE"/>
    <w:rsid w:val="53460CB6"/>
    <w:rsid w:val="53E20F3D"/>
    <w:rsid w:val="542F6C1E"/>
    <w:rsid w:val="564878F5"/>
    <w:rsid w:val="56FA2A30"/>
    <w:rsid w:val="576371D7"/>
    <w:rsid w:val="5B285746"/>
    <w:rsid w:val="5B9D1491"/>
    <w:rsid w:val="5BFE789A"/>
    <w:rsid w:val="5EBC473A"/>
    <w:rsid w:val="5FE35C09"/>
    <w:rsid w:val="608E2BDB"/>
    <w:rsid w:val="60A469C9"/>
    <w:rsid w:val="60AF7DC8"/>
    <w:rsid w:val="60ED780A"/>
    <w:rsid w:val="60F21C67"/>
    <w:rsid w:val="61EE63A0"/>
    <w:rsid w:val="62355AF7"/>
    <w:rsid w:val="62EA2ED9"/>
    <w:rsid w:val="632D6DDA"/>
    <w:rsid w:val="6436079B"/>
    <w:rsid w:val="65876D62"/>
    <w:rsid w:val="67412A3D"/>
    <w:rsid w:val="68C06B2C"/>
    <w:rsid w:val="691D3680"/>
    <w:rsid w:val="6CDB5633"/>
    <w:rsid w:val="6D545CCB"/>
    <w:rsid w:val="6DA700B4"/>
    <w:rsid w:val="6E3672BE"/>
    <w:rsid w:val="70866F42"/>
    <w:rsid w:val="72BB282C"/>
    <w:rsid w:val="750A290B"/>
    <w:rsid w:val="7A2B0238"/>
    <w:rsid w:val="7A8D564C"/>
    <w:rsid w:val="7B086181"/>
    <w:rsid w:val="7B7D370C"/>
    <w:rsid w:val="7B9C382C"/>
    <w:rsid w:val="7BB865F7"/>
    <w:rsid w:val="7C8E755C"/>
    <w:rsid w:val="7CCE2DB5"/>
    <w:rsid w:val="7CD56FFA"/>
    <w:rsid w:val="7D34021E"/>
    <w:rsid w:val="7DF47FDB"/>
    <w:rsid w:val="7DFF2EA4"/>
    <w:rsid w:val="7E0A2AE6"/>
    <w:rsid w:val="7E1A4034"/>
    <w:rsid w:val="7F170FBC"/>
    <w:rsid w:val="7F46351C"/>
    <w:rsid w:val="7FD7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adjustRightInd w:val="0"/>
      <w:spacing w:line="360" w:lineRule="atLeast"/>
      <w:ind w:firstLine="420"/>
      <w:jc w:val="left"/>
      <w:textAlignment w:val="baseline"/>
    </w:pPr>
    <w:rPr>
      <w:kern w:val="0"/>
      <w:sz w:val="24"/>
    </w:r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line="360" w:lineRule="auto"/>
    </w:pPr>
    <w:rPr>
      <w:szCs w:val="20"/>
    </w:rPr>
  </w:style>
  <w:style w:type="paragraph" w:styleId="5">
    <w:name w:val="Body Text Indent"/>
    <w:basedOn w:val="1"/>
    <w:autoRedefine/>
    <w:qFormat/>
    <w:uiPriority w:val="0"/>
    <w:pPr>
      <w:spacing w:line="560" w:lineRule="exact"/>
      <w:ind w:left="300"/>
    </w:pPr>
    <w:rPr>
      <w:sz w:val="24"/>
    </w:rPr>
  </w:style>
  <w:style w:type="paragraph" w:styleId="6">
    <w:name w:val="Plain Text"/>
    <w:basedOn w:val="1"/>
    <w:autoRedefine/>
    <w:qFormat/>
    <w:uiPriority w:val="0"/>
    <w:rPr>
      <w:rFonts w:ascii="宋体" w:hAnsi="Courier New"/>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envelope return"/>
    <w:basedOn w:val="1"/>
    <w:autoRedefine/>
    <w:qFormat/>
    <w:uiPriority w:val="99"/>
    <w:pPr>
      <w:snapToGrid w:val="0"/>
    </w:pPr>
    <w:rPr>
      <w:rFonts w:ascii="Arial" w:hAnsi="Arial"/>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autoRedefine/>
    <w:qFormat/>
    <w:uiPriority w:val="0"/>
    <w:pPr>
      <w:spacing w:after="6" w:line="257" w:lineRule="auto"/>
      <w:ind w:left="430" w:right="127" w:hanging="10"/>
      <w:jc w:val="both"/>
    </w:pPr>
    <w:rPr>
      <w:sz w:val="21"/>
    </w:rPr>
  </w:style>
  <w:style w:type="paragraph" w:styleId="11">
    <w:name w:val="Normal (Web)"/>
    <w:basedOn w:val="1"/>
    <w:autoRedefine/>
    <w:qFormat/>
    <w:uiPriority w:val="99"/>
    <w:pPr>
      <w:spacing w:beforeAutospacing="1" w:afterAutospacing="1"/>
      <w:jc w:val="left"/>
    </w:pPr>
    <w:rPr>
      <w:rFonts w:cs="Times New Roman"/>
      <w:kern w:val="0"/>
      <w:sz w:val="24"/>
    </w:rPr>
  </w:style>
  <w:style w:type="paragraph" w:styleId="12">
    <w:name w:val="Body Text First Indent 2"/>
    <w:basedOn w:val="5"/>
    <w:next w:val="1"/>
    <w:autoRedefine/>
    <w:qFormat/>
    <w:uiPriority w:val="0"/>
    <w:pPr>
      <w:ind w:firstLine="420" w:firstLineChars="200"/>
    </w:pPr>
    <w:rPr>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autoRedefine/>
    <w:qFormat/>
    <w:uiPriority w:val="99"/>
    <w:rPr>
      <w:sz w:val="21"/>
      <w:szCs w:val="21"/>
    </w:rPr>
  </w:style>
  <w:style w:type="paragraph" w:styleId="17">
    <w:name w:val="Quote"/>
    <w:next w:val="1"/>
    <w:autoRedefine/>
    <w:qFormat/>
    <w:uiPriority w:val="99"/>
    <w:pPr>
      <w:widowControl w:val="0"/>
      <w:jc w:val="both"/>
    </w:pPr>
    <w:rPr>
      <w:rFonts w:ascii="Calibri" w:hAnsi="Calibri" w:eastAsia="宋体" w:cs="Calibri"/>
      <w:i/>
      <w:iCs/>
      <w:color w:val="000000"/>
      <w:kern w:val="2"/>
      <w:sz w:val="22"/>
      <w:szCs w:val="22"/>
      <w:lang w:val="en-US" w:eastAsia="zh-CN" w:bidi="ar-SA"/>
    </w:rPr>
  </w:style>
  <w:style w:type="paragraph" w:styleId="18">
    <w:name w:val="List Paragraph"/>
    <w:basedOn w:val="1"/>
    <w:autoRedefine/>
    <w:qFormat/>
    <w:uiPriority w:val="0"/>
    <w:pPr>
      <w:ind w:firstLine="420" w:firstLineChars="200"/>
    </w:pPr>
    <w:rPr>
      <w:rFonts w:ascii="Times New Roman" w:hAnsi="Times New Roman" w:eastAsia="宋体" w:cs="Times New Roman"/>
      <w:szCs w:val="20"/>
    </w:rPr>
  </w:style>
  <w:style w:type="paragraph" w:customStyle="1" w:styleId="19">
    <w:name w:val="文档正文"/>
    <w:basedOn w:val="1"/>
    <w:autoRedefine/>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2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1">
    <w:name w:val="列出段落1"/>
    <w:basedOn w:val="1"/>
    <w:autoRedefine/>
    <w:qFormat/>
    <w:uiPriority w:val="0"/>
    <w:pPr>
      <w:ind w:firstLine="420" w:firstLineChars="200"/>
    </w:pPr>
    <w:rPr>
      <w:rFonts w:ascii="Times New Roman" w:hAnsi="Times New Roman" w:eastAsia="宋体" w:cs="Times New Roman"/>
    </w:rPr>
  </w:style>
  <w:style w:type="paragraph" w:customStyle="1" w:styleId="22">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3">
    <w:name w:val="NormalCharacter"/>
    <w:autoRedefine/>
    <w:qFormat/>
    <w:uiPriority w:val="0"/>
  </w:style>
  <w:style w:type="paragraph" w:customStyle="1" w:styleId="24">
    <w:name w:val="BodyText1I"/>
    <w:basedOn w:val="25"/>
    <w:autoRedefine/>
    <w:qFormat/>
    <w:uiPriority w:val="0"/>
    <w:pPr>
      <w:spacing w:line="312" w:lineRule="auto"/>
      <w:ind w:firstLine="420"/>
    </w:pPr>
    <w:rPr>
      <w:rFonts w:ascii="Calibri" w:hAnsi="Calibri"/>
      <w:kern w:val="0"/>
      <w:sz w:val="20"/>
    </w:rPr>
  </w:style>
  <w:style w:type="paragraph" w:customStyle="1" w:styleId="25">
    <w:name w:val="BodyText"/>
    <w:basedOn w:val="1"/>
    <w:next w:val="1"/>
    <w:autoRedefine/>
    <w:qFormat/>
    <w:uiPriority w:val="0"/>
    <w:pPr>
      <w:spacing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9807</Words>
  <Characters>10067</Characters>
  <Lines>55</Lines>
  <Paragraphs>15</Paragraphs>
  <TotalTime>7</TotalTime>
  <ScaleCrop>false</ScaleCrop>
  <LinksUpToDate>false</LinksUpToDate>
  <CharactersWithSpaces>10330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2019-11-07T01:08:00Z</dcterms:created>
  <dc:creator>yc</dc:creator>
  <cp:lastModifiedBy>科</cp:lastModifiedBy>
  <dcterms:modified xsi:type="dcterms:W3CDTF">2026-05-08T07:50:57Z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22F9AB08A028466C9C1D786BA0B0F285_13</vt:lpwstr>
  </property>
  <property fmtid="{D5CDD505-2E9C-101B-9397-08002B2CF9AE}" pid="4" name="KSOTemplateDocerSaveRecord">
    <vt:lpwstr>eyJoZGlkIjoiMTE5NjgxZTIyNWM1M2NlOTNmODM3YTRiYTNjN2I4ZGQiLCJ1c2VySWQiOiI0OTk2MDA4NjQifQ==</vt:lpwstr>
  </property>
</Properties>
</file>