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F1D562">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336971DD">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72AC510E">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7863850D">
      <w:pPr>
        <w:spacing w:line="540" w:lineRule="exact"/>
        <w:ind w:firstLine="361" w:firstLineChars="100"/>
        <w:jc w:val="center"/>
        <w:rPr>
          <w:rFonts w:hint="eastAsia" w:cs="方正小标宋简体" w:asciiTheme="majorEastAsia" w:hAnsiTheme="majorEastAsia" w:eastAsiaTheme="majorEastAsia"/>
          <w:b/>
          <w:sz w:val="36"/>
          <w:szCs w:val="36"/>
          <w:lang w:val="en-US" w:eastAsia="zh-CN"/>
        </w:rPr>
      </w:pPr>
      <w:r>
        <w:rPr>
          <w:rFonts w:hint="eastAsia" w:cs="方正小标宋简体" w:asciiTheme="majorEastAsia" w:hAnsiTheme="majorEastAsia" w:eastAsiaTheme="majorEastAsia"/>
          <w:b/>
          <w:sz w:val="36"/>
          <w:szCs w:val="36"/>
        </w:rPr>
        <w:t>第一部分 项目基本要求</w:t>
      </w:r>
    </w:p>
    <w:p w14:paraId="3177A223">
      <w:pPr>
        <w:spacing w:before="100" w:beforeAutospacing="1"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413477CE">
      <w:pPr>
        <w:spacing w:before="100" w:beforeAutospacing="1" w:line="276" w:lineRule="auto"/>
        <w:ind w:firstLine="482" w:firstLineChars="200"/>
        <w:rPr>
          <w:rFonts w:cs="方正小标宋简体"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 xml:space="preserve">申请科室：泌尿外科           </w:t>
      </w:r>
      <w:r>
        <w:rPr>
          <w:rFonts w:hint="eastAsia" w:cs="宋体" w:asciiTheme="majorEastAsia" w:hAnsiTheme="majorEastAsia" w:eastAsiaTheme="majorEastAsia"/>
          <w:b/>
          <w:color w:val="000000"/>
          <w:sz w:val="24"/>
          <w:szCs w:val="21"/>
        </w:rPr>
        <w:t>负责人姓名：</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r>
        <w:rPr>
          <w:rFonts w:hint="eastAsia" w:cs="宋体" w:asciiTheme="majorEastAsia" w:hAnsiTheme="majorEastAsia" w:eastAsiaTheme="majorEastAsia"/>
          <w:b/>
          <w:color w:val="000000"/>
          <w:sz w:val="24"/>
          <w:szCs w:val="21"/>
          <w:lang w:val="en-US" w:eastAsia="zh-CN"/>
        </w:rPr>
        <w:t xml:space="preserve"> </w:t>
      </w:r>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1496"/>
        <w:gridCol w:w="772"/>
        <w:gridCol w:w="645"/>
        <w:gridCol w:w="206"/>
        <w:gridCol w:w="567"/>
        <w:gridCol w:w="567"/>
        <w:gridCol w:w="219"/>
        <w:gridCol w:w="1057"/>
        <w:gridCol w:w="77"/>
        <w:gridCol w:w="915"/>
        <w:gridCol w:w="283"/>
        <w:gridCol w:w="1418"/>
        <w:gridCol w:w="1276"/>
        <w:gridCol w:w="1062"/>
      </w:tblGrid>
      <w:tr w14:paraId="23FB0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4"/>
          </w:tcPr>
          <w:p w14:paraId="60FEF55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4"/>
          </w:tcPr>
          <w:p w14:paraId="45F6AA3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2"/>
          </w:tcPr>
          <w:p w14:paraId="36B538E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tcPr>
          <w:p w14:paraId="574C433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701" w:type="dxa"/>
            <w:gridSpan w:val="2"/>
          </w:tcPr>
          <w:p w14:paraId="170DC4B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338" w:type="dxa"/>
            <w:gridSpan w:val="2"/>
          </w:tcPr>
          <w:p w14:paraId="757C4BE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19923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4"/>
            <w:vAlign w:val="center"/>
          </w:tcPr>
          <w:p w14:paraId="3066DA71">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医用灌注吸引平台</w:t>
            </w:r>
          </w:p>
        </w:tc>
        <w:tc>
          <w:tcPr>
            <w:tcW w:w="1559" w:type="dxa"/>
            <w:gridSpan w:val="4"/>
            <w:vAlign w:val="center"/>
          </w:tcPr>
          <w:p w14:paraId="4A308B27">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1134" w:type="dxa"/>
            <w:gridSpan w:val="2"/>
            <w:vAlign w:val="center"/>
          </w:tcPr>
          <w:p w14:paraId="1C5BB394">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1</w:t>
            </w:r>
          </w:p>
        </w:tc>
        <w:tc>
          <w:tcPr>
            <w:tcW w:w="915" w:type="dxa"/>
            <w:vAlign w:val="center"/>
          </w:tcPr>
          <w:p w14:paraId="3659388F">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台</w:t>
            </w:r>
          </w:p>
        </w:tc>
        <w:tc>
          <w:tcPr>
            <w:tcW w:w="1701" w:type="dxa"/>
            <w:gridSpan w:val="2"/>
          </w:tcPr>
          <w:p w14:paraId="211BEC1D">
            <w:pPr>
              <w:jc w:val="center"/>
              <w:rPr>
                <w:rFonts w:asciiTheme="majorEastAsia" w:hAnsiTheme="majorEastAsia" w:eastAsiaTheme="majorEastAsia"/>
                <w:sz w:val="24"/>
                <w:szCs w:val="21"/>
                <w:highlight w:val="yellow"/>
              </w:rPr>
            </w:pPr>
            <w:r>
              <w:rPr>
                <w:rFonts w:hint="eastAsia" w:asciiTheme="majorEastAsia" w:hAnsiTheme="majorEastAsia" w:eastAsiaTheme="majorEastAsia"/>
                <w:sz w:val="24"/>
                <w:szCs w:val="21"/>
                <w:highlight w:val="yellow"/>
              </w:rPr>
              <w:t>15</w:t>
            </w:r>
          </w:p>
        </w:tc>
        <w:tc>
          <w:tcPr>
            <w:tcW w:w="2338" w:type="dxa"/>
            <w:gridSpan w:val="2"/>
            <w:vAlign w:val="center"/>
          </w:tcPr>
          <w:p w14:paraId="21EFAE0F">
            <w:pPr>
              <w:jc w:val="center"/>
              <w:rPr>
                <w:rFonts w:asciiTheme="majorEastAsia" w:hAnsiTheme="majorEastAsia" w:eastAsiaTheme="majorEastAsia"/>
                <w:sz w:val="24"/>
                <w:szCs w:val="21"/>
                <w:highlight w:val="yellow"/>
              </w:rPr>
            </w:pPr>
            <w:r>
              <w:rPr>
                <w:rFonts w:hint="eastAsia" w:asciiTheme="majorEastAsia" w:hAnsiTheme="majorEastAsia" w:eastAsiaTheme="majorEastAsia"/>
                <w:sz w:val="24"/>
                <w:szCs w:val="21"/>
                <w:highlight w:val="yellow"/>
              </w:rPr>
              <w:t>15</w:t>
            </w:r>
          </w:p>
        </w:tc>
      </w:tr>
      <w:tr w14:paraId="1B5E4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2C02EF1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496EC852">
            <w:pPr>
              <w:rPr>
                <w:rFonts w:asciiTheme="majorEastAsia" w:hAnsiTheme="majorEastAsia" w:eastAsiaTheme="majorEastAsia"/>
                <w:sz w:val="24"/>
                <w:szCs w:val="21"/>
              </w:rPr>
            </w:pPr>
          </w:p>
          <w:p w14:paraId="7F22CE27">
            <w:pPr>
              <w:rPr>
                <w:rFonts w:asciiTheme="majorEastAsia" w:hAnsiTheme="majorEastAsia" w:eastAsiaTheme="majorEastAsia"/>
                <w:sz w:val="24"/>
                <w:szCs w:val="21"/>
              </w:rPr>
            </w:pPr>
            <w:r>
              <w:rPr>
                <w:rFonts w:hint="eastAsia" w:asciiTheme="majorEastAsia" w:hAnsiTheme="majorEastAsia" w:eastAsiaTheme="majorEastAsia"/>
                <w:sz w:val="24"/>
                <w:szCs w:val="21"/>
              </w:rPr>
              <w:t>我国新近的流行病学调查结果显示，肾结石的患病率已高达5.8%，我国南方地区肾结石的患病率已突破10.0%，目前，治疗肾结石的方法有经皮肾镜取石术、输尿管软镜取石术、体外冲击波碎石，虽然经皮肾镜取石术技术已经非常成熟，但仍然存在学习曲线长和并发症多（出血、术后感染）等问题。通过复用一体镜输尿管取石术，虽然创伤小，由于自然通道的独立性因素，术中灌注过程中，传统的灌注方法无法解决肾盂内高压的问题，在一定程度上限制了软镜取石术的开展。</w:t>
            </w:r>
          </w:p>
          <w:p w14:paraId="2B4439D3">
            <w:pPr>
              <w:rPr>
                <w:rFonts w:asciiTheme="majorEastAsia" w:hAnsiTheme="majorEastAsia" w:eastAsiaTheme="majorEastAsia"/>
                <w:sz w:val="24"/>
                <w:szCs w:val="21"/>
              </w:rPr>
            </w:pPr>
          </w:p>
        </w:tc>
      </w:tr>
      <w:tr w14:paraId="781BC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5498879E">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62BDB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7" w:type="dxa"/>
            <w:vAlign w:val="center"/>
          </w:tcPr>
          <w:p w14:paraId="1EE11F6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268" w:type="dxa"/>
            <w:gridSpan w:val="2"/>
            <w:vAlign w:val="center"/>
          </w:tcPr>
          <w:p w14:paraId="6AEA2F7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1" w:type="dxa"/>
            <w:gridSpan w:val="2"/>
            <w:vAlign w:val="center"/>
          </w:tcPr>
          <w:p w14:paraId="171DA4A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567" w:type="dxa"/>
            <w:vAlign w:val="center"/>
          </w:tcPr>
          <w:p w14:paraId="3A01F29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67" w:type="dxa"/>
            <w:vAlign w:val="center"/>
          </w:tcPr>
          <w:p w14:paraId="660C2EE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276" w:type="dxa"/>
            <w:gridSpan w:val="2"/>
            <w:vAlign w:val="center"/>
          </w:tcPr>
          <w:p w14:paraId="148EC7E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275" w:type="dxa"/>
            <w:gridSpan w:val="3"/>
            <w:vAlign w:val="center"/>
          </w:tcPr>
          <w:p w14:paraId="7EDBDFC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1418" w:type="dxa"/>
            <w:vAlign w:val="center"/>
          </w:tcPr>
          <w:p w14:paraId="1215ED7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1276" w:type="dxa"/>
            <w:vAlign w:val="center"/>
          </w:tcPr>
          <w:p w14:paraId="798524A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3AC7358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14E23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7" w:type="dxa"/>
            <w:vAlign w:val="center"/>
          </w:tcPr>
          <w:p w14:paraId="49BFF86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2268" w:type="dxa"/>
            <w:gridSpan w:val="2"/>
            <w:vAlign w:val="center"/>
          </w:tcPr>
          <w:p w14:paraId="0879118E">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医用灌注吸引平台</w:t>
            </w:r>
          </w:p>
        </w:tc>
        <w:tc>
          <w:tcPr>
            <w:tcW w:w="851" w:type="dxa"/>
            <w:gridSpan w:val="2"/>
            <w:vAlign w:val="center"/>
          </w:tcPr>
          <w:p w14:paraId="467F268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567" w:type="dxa"/>
            <w:vAlign w:val="center"/>
          </w:tcPr>
          <w:p w14:paraId="614FD1B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567" w:type="dxa"/>
            <w:vAlign w:val="center"/>
          </w:tcPr>
          <w:p w14:paraId="1D4635D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台</w:t>
            </w:r>
          </w:p>
        </w:tc>
        <w:tc>
          <w:tcPr>
            <w:tcW w:w="1276" w:type="dxa"/>
            <w:gridSpan w:val="2"/>
          </w:tcPr>
          <w:p w14:paraId="05FE1997">
            <w:pPr>
              <w:jc w:val="center"/>
              <w:rPr>
                <w:rFonts w:asciiTheme="majorEastAsia" w:hAnsiTheme="majorEastAsia" w:eastAsiaTheme="majorEastAsia"/>
                <w:sz w:val="24"/>
                <w:szCs w:val="21"/>
                <w:highlight w:val="yellow"/>
              </w:rPr>
            </w:pPr>
            <w:r>
              <w:rPr>
                <w:rFonts w:hint="eastAsia" w:asciiTheme="majorEastAsia" w:hAnsiTheme="majorEastAsia" w:eastAsiaTheme="majorEastAsia"/>
                <w:sz w:val="24"/>
                <w:szCs w:val="21"/>
                <w:highlight w:val="yellow"/>
              </w:rPr>
              <w:t>15</w:t>
            </w:r>
          </w:p>
        </w:tc>
        <w:tc>
          <w:tcPr>
            <w:tcW w:w="1275" w:type="dxa"/>
            <w:gridSpan w:val="3"/>
            <w:vAlign w:val="center"/>
          </w:tcPr>
          <w:p w14:paraId="4978D740">
            <w:pPr>
              <w:jc w:val="center"/>
              <w:rPr>
                <w:rFonts w:asciiTheme="majorEastAsia" w:hAnsiTheme="majorEastAsia" w:eastAsiaTheme="majorEastAsia"/>
                <w:sz w:val="24"/>
                <w:szCs w:val="21"/>
                <w:highlight w:val="yellow"/>
              </w:rPr>
            </w:pPr>
            <w:r>
              <w:rPr>
                <w:rFonts w:hint="eastAsia" w:asciiTheme="majorEastAsia" w:hAnsiTheme="majorEastAsia" w:eastAsiaTheme="majorEastAsia"/>
                <w:sz w:val="24"/>
                <w:szCs w:val="21"/>
                <w:highlight w:val="yellow"/>
              </w:rPr>
              <w:t>15</w:t>
            </w:r>
          </w:p>
        </w:tc>
        <w:tc>
          <w:tcPr>
            <w:tcW w:w="1418" w:type="dxa"/>
            <w:vAlign w:val="center"/>
          </w:tcPr>
          <w:p w14:paraId="7BD3F0A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w:t>
            </w:r>
          </w:p>
        </w:tc>
        <w:tc>
          <w:tcPr>
            <w:tcW w:w="1276" w:type="dxa"/>
            <w:vAlign w:val="center"/>
          </w:tcPr>
          <w:p w14:paraId="2557EFF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c>
          <w:tcPr>
            <w:tcW w:w="1062" w:type="dxa"/>
            <w:vAlign w:val="center"/>
          </w:tcPr>
          <w:p w14:paraId="2ADAE100">
            <w:pPr>
              <w:jc w:val="center"/>
              <w:rPr>
                <w:rFonts w:asciiTheme="majorEastAsia" w:hAnsiTheme="majorEastAsia" w:eastAsiaTheme="majorEastAsia"/>
                <w:b/>
                <w:sz w:val="24"/>
                <w:szCs w:val="21"/>
              </w:rPr>
            </w:pPr>
          </w:p>
        </w:tc>
      </w:tr>
    </w:tbl>
    <w:p w14:paraId="665668E2">
      <w:pPr>
        <w:spacing w:before="100" w:beforeAutospacing="1" w:after="240"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3DDD928B">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6B939932">
      <w:pPr>
        <w:pStyle w:val="16"/>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667CF87A">
      <w:pPr>
        <w:numPr>
          <w:ilvl w:val="0"/>
          <w:numId w:val="1"/>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6380FA70">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1C827DC4">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7EC2A6A3">
      <w:pPr>
        <w:ind w:firstLine="201" w:firstLineChars="100"/>
        <w:rPr>
          <w:rFonts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tbl>
      <w:tblPr>
        <w:tblStyle w:val="9"/>
        <w:tblW w:w="102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8"/>
        <w:gridCol w:w="910"/>
        <w:gridCol w:w="307"/>
        <w:gridCol w:w="8028"/>
        <w:gridCol w:w="434"/>
      </w:tblGrid>
      <w:tr w14:paraId="17EBA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793" w:type="dxa"/>
            <w:gridSpan w:val="4"/>
            <w:vAlign w:val="center"/>
          </w:tcPr>
          <w:p w14:paraId="74D3C2EC">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434" w:type="dxa"/>
            <w:vAlign w:val="center"/>
          </w:tcPr>
          <w:p w14:paraId="04DED4B7">
            <w:pPr>
              <w:adjustRightInd w:val="0"/>
              <w:snapToGrid w:val="0"/>
              <w:jc w:val="center"/>
              <w:rPr>
                <w:rFonts w:asciiTheme="majorEastAsia" w:hAnsiTheme="majorEastAsia" w:eastAsiaTheme="majorEastAsia"/>
                <w:b/>
                <w:sz w:val="24"/>
                <w:szCs w:val="21"/>
              </w:rPr>
            </w:pPr>
          </w:p>
        </w:tc>
      </w:tr>
      <w:tr w14:paraId="65877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Align w:val="center"/>
          </w:tcPr>
          <w:p w14:paraId="2AF5554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10" w:type="dxa"/>
            <w:vAlign w:val="center"/>
          </w:tcPr>
          <w:p w14:paraId="2AA9FE40">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335" w:type="dxa"/>
            <w:gridSpan w:val="2"/>
            <w:vAlign w:val="center"/>
          </w:tcPr>
          <w:p w14:paraId="70E25BAC">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434" w:type="dxa"/>
            <w:vAlign w:val="center"/>
          </w:tcPr>
          <w:p w14:paraId="769E2057">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73D0E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restart"/>
          </w:tcPr>
          <w:p w14:paraId="6B3CA7C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910" w:type="dxa"/>
            <w:vMerge w:val="restart"/>
          </w:tcPr>
          <w:p w14:paraId="7E1EDBA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Cs/>
                <w:sz w:val="24"/>
                <w:szCs w:val="21"/>
              </w:rPr>
              <w:t>医用灌注吸引平台</w:t>
            </w:r>
          </w:p>
        </w:tc>
        <w:tc>
          <w:tcPr>
            <w:tcW w:w="8335" w:type="dxa"/>
            <w:gridSpan w:val="2"/>
          </w:tcPr>
          <w:p w14:paraId="09FA1F0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rPr>
              <w:t>1、基本要求：适用于在临床中对适合经皮肾镜术和经尿道输尿管硬/软镜术患者，建立镜检术及碎石取石术液体环境并进行智能控压清石。</w:t>
            </w:r>
          </w:p>
        </w:tc>
        <w:tc>
          <w:tcPr>
            <w:tcW w:w="434" w:type="dxa"/>
          </w:tcPr>
          <w:p w14:paraId="2D29522B">
            <w:pPr>
              <w:adjustRightInd w:val="0"/>
              <w:snapToGrid w:val="0"/>
              <w:rPr>
                <w:rFonts w:asciiTheme="majorEastAsia" w:hAnsiTheme="majorEastAsia" w:eastAsiaTheme="majorEastAsia"/>
                <w:b/>
                <w:sz w:val="24"/>
                <w:szCs w:val="21"/>
              </w:rPr>
            </w:pPr>
          </w:p>
        </w:tc>
      </w:tr>
      <w:tr w14:paraId="72A0D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5A4A4556">
            <w:pPr>
              <w:adjustRightInd w:val="0"/>
              <w:snapToGrid w:val="0"/>
              <w:rPr>
                <w:rFonts w:asciiTheme="majorEastAsia" w:hAnsiTheme="majorEastAsia" w:eastAsiaTheme="majorEastAsia"/>
                <w:b/>
                <w:sz w:val="24"/>
                <w:szCs w:val="21"/>
              </w:rPr>
            </w:pPr>
          </w:p>
        </w:tc>
        <w:tc>
          <w:tcPr>
            <w:tcW w:w="910" w:type="dxa"/>
            <w:vMerge w:val="continue"/>
          </w:tcPr>
          <w:p w14:paraId="4F60A173">
            <w:pPr>
              <w:adjustRightInd w:val="0"/>
              <w:snapToGrid w:val="0"/>
              <w:rPr>
                <w:rFonts w:asciiTheme="majorEastAsia" w:hAnsiTheme="majorEastAsia" w:eastAsiaTheme="majorEastAsia"/>
                <w:b/>
                <w:sz w:val="24"/>
                <w:szCs w:val="21"/>
              </w:rPr>
            </w:pPr>
          </w:p>
        </w:tc>
        <w:tc>
          <w:tcPr>
            <w:tcW w:w="8335" w:type="dxa"/>
            <w:gridSpan w:val="2"/>
            <w:vAlign w:val="center"/>
          </w:tcPr>
          <w:p w14:paraId="5AD8EA99">
            <w:pPr>
              <w:widowControl/>
              <w:adjustRightInd w:val="0"/>
              <w:snapToGrid w:val="0"/>
              <w:jc w:val="left"/>
              <w:textAlignment w:val="center"/>
              <w:rPr>
                <w:rFonts w:ascii="宋体" w:hAnsi="宋体" w:cs="宋体"/>
                <w:color w:val="000000" w:themeColor="text1"/>
                <w:szCs w:val="21"/>
                <w14:textFill>
                  <w14:solidFill>
                    <w14:schemeClr w14:val="tx1"/>
                  </w14:solidFill>
                </w14:textFill>
              </w:rPr>
            </w:pPr>
            <w:r>
              <w:rPr>
                <w:rFonts w:hint="eastAsia" w:asciiTheme="majorEastAsia" w:hAnsiTheme="majorEastAsia" w:eastAsiaTheme="majorEastAsia"/>
                <w:lang w:val="en-US" w:eastAsia="zh-CN"/>
              </w:rPr>
              <w:t>2、</w:t>
            </w:r>
            <w:r>
              <w:rPr>
                <w:rFonts w:hint="eastAsia" w:asciiTheme="majorEastAsia" w:hAnsiTheme="majorEastAsia" w:eastAsiaTheme="majorEastAsia"/>
              </w:rPr>
              <w:t>灌注流量：灌注流量范围：流量应在（50～400）ml/min范围内</w:t>
            </w:r>
            <w:r>
              <w:rPr>
                <w:rFonts w:hint="eastAsia" w:asciiTheme="majorEastAsia" w:hAnsiTheme="majorEastAsia" w:eastAsiaTheme="majorEastAsia"/>
                <w:lang w:eastAsia="zh-CN"/>
              </w:rPr>
              <w:t>（</w:t>
            </w:r>
            <w:r>
              <w:rPr>
                <w:rFonts w:hint="eastAsia" w:asciiTheme="majorEastAsia" w:hAnsiTheme="majorEastAsia" w:eastAsiaTheme="majorEastAsia"/>
                <w:lang w:val="en-US" w:eastAsia="zh-CN"/>
              </w:rPr>
              <w:t>包含此范围）</w:t>
            </w:r>
          </w:p>
        </w:tc>
        <w:tc>
          <w:tcPr>
            <w:tcW w:w="434" w:type="dxa"/>
          </w:tcPr>
          <w:p w14:paraId="56AF3F1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rPr>
              <w:t>▲</w:t>
            </w:r>
          </w:p>
        </w:tc>
      </w:tr>
      <w:tr w14:paraId="103EC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05615A84">
            <w:pPr>
              <w:adjustRightInd w:val="0"/>
              <w:snapToGrid w:val="0"/>
              <w:rPr>
                <w:rFonts w:asciiTheme="majorEastAsia" w:hAnsiTheme="majorEastAsia" w:eastAsiaTheme="majorEastAsia"/>
                <w:b/>
                <w:sz w:val="24"/>
                <w:szCs w:val="21"/>
              </w:rPr>
            </w:pPr>
          </w:p>
        </w:tc>
        <w:tc>
          <w:tcPr>
            <w:tcW w:w="910" w:type="dxa"/>
            <w:vMerge w:val="continue"/>
          </w:tcPr>
          <w:p w14:paraId="78D62AB3">
            <w:pPr>
              <w:adjustRightInd w:val="0"/>
              <w:snapToGrid w:val="0"/>
              <w:rPr>
                <w:rFonts w:asciiTheme="majorEastAsia" w:hAnsiTheme="majorEastAsia" w:eastAsiaTheme="majorEastAsia"/>
                <w:b/>
                <w:sz w:val="24"/>
                <w:szCs w:val="21"/>
              </w:rPr>
            </w:pPr>
          </w:p>
        </w:tc>
        <w:tc>
          <w:tcPr>
            <w:tcW w:w="8335" w:type="dxa"/>
            <w:gridSpan w:val="2"/>
            <w:vAlign w:val="center"/>
          </w:tcPr>
          <w:p w14:paraId="123129B2">
            <w:pPr>
              <w:widowControl/>
              <w:adjustRightInd w:val="0"/>
              <w:snapToGrid w:val="0"/>
              <w:jc w:val="left"/>
              <w:textAlignment w:val="center"/>
              <w:rPr>
                <w:rFonts w:ascii="宋体" w:hAnsi="宋体" w:cs="宋体"/>
                <w:color w:val="000000" w:themeColor="text1"/>
                <w:szCs w:val="21"/>
                <w14:textFill>
                  <w14:solidFill>
                    <w14:schemeClr w14:val="tx1"/>
                  </w14:solidFill>
                </w14:textFill>
              </w:rPr>
            </w:pPr>
            <w:r>
              <w:rPr>
                <w:rFonts w:hint="eastAsia" w:asciiTheme="majorEastAsia" w:hAnsiTheme="majorEastAsia" w:eastAsiaTheme="majorEastAsia"/>
              </w:rPr>
              <w:t>3</w:t>
            </w:r>
            <w:r>
              <w:rPr>
                <w:rFonts w:hint="eastAsia" w:asciiTheme="majorEastAsia" w:hAnsiTheme="majorEastAsia" w:eastAsiaTheme="majorEastAsia"/>
                <w:lang w:eastAsia="zh-CN"/>
              </w:rPr>
              <w:t>、</w:t>
            </w:r>
            <w:r>
              <w:rPr>
                <w:rFonts w:hint="eastAsia" w:asciiTheme="majorEastAsia" w:hAnsiTheme="majorEastAsia" w:eastAsiaTheme="majorEastAsia"/>
              </w:rPr>
              <w:t>负压安全功能：负压模式下，当实时吸引负压值大于吸引负压设定值时，将停止负压吸引。</w:t>
            </w:r>
          </w:p>
        </w:tc>
        <w:tc>
          <w:tcPr>
            <w:tcW w:w="434" w:type="dxa"/>
          </w:tcPr>
          <w:p w14:paraId="65822DF0">
            <w:pPr>
              <w:adjustRightInd w:val="0"/>
              <w:snapToGrid w:val="0"/>
              <w:rPr>
                <w:rFonts w:asciiTheme="majorEastAsia" w:hAnsiTheme="majorEastAsia" w:eastAsiaTheme="majorEastAsia"/>
                <w:b/>
                <w:sz w:val="24"/>
                <w:szCs w:val="21"/>
              </w:rPr>
            </w:pPr>
          </w:p>
        </w:tc>
      </w:tr>
      <w:tr w14:paraId="36084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41557A95">
            <w:pPr>
              <w:adjustRightInd w:val="0"/>
              <w:snapToGrid w:val="0"/>
              <w:rPr>
                <w:rFonts w:asciiTheme="majorEastAsia" w:hAnsiTheme="majorEastAsia" w:eastAsiaTheme="majorEastAsia"/>
                <w:b/>
                <w:sz w:val="24"/>
                <w:szCs w:val="21"/>
              </w:rPr>
            </w:pPr>
          </w:p>
        </w:tc>
        <w:tc>
          <w:tcPr>
            <w:tcW w:w="910" w:type="dxa"/>
            <w:vMerge w:val="continue"/>
          </w:tcPr>
          <w:p w14:paraId="4B84459F">
            <w:pPr>
              <w:adjustRightInd w:val="0"/>
              <w:snapToGrid w:val="0"/>
              <w:rPr>
                <w:rFonts w:asciiTheme="majorEastAsia" w:hAnsiTheme="majorEastAsia" w:eastAsiaTheme="majorEastAsia"/>
                <w:b/>
                <w:sz w:val="24"/>
                <w:szCs w:val="21"/>
              </w:rPr>
            </w:pPr>
          </w:p>
        </w:tc>
        <w:tc>
          <w:tcPr>
            <w:tcW w:w="8335" w:type="dxa"/>
            <w:gridSpan w:val="2"/>
            <w:vAlign w:val="center"/>
          </w:tcPr>
          <w:p w14:paraId="45C91CEB">
            <w:pPr>
              <w:widowControl/>
              <w:adjustRightInd w:val="0"/>
              <w:snapToGrid w:val="0"/>
              <w:jc w:val="left"/>
              <w:textAlignment w:val="center"/>
              <w:rPr>
                <w:rFonts w:ascii="宋体" w:hAnsi="宋体" w:cs="宋体"/>
                <w:b/>
                <w:color w:val="000000"/>
                <w:szCs w:val="21"/>
              </w:rPr>
            </w:pPr>
            <w:r>
              <w:rPr>
                <w:rFonts w:hint="eastAsia" w:asciiTheme="majorEastAsia" w:hAnsiTheme="majorEastAsia" w:eastAsiaTheme="majorEastAsia"/>
                <w:lang w:val="en-US" w:eastAsia="zh-CN"/>
              </w:rPr>
              <w:t>4、</w:t>
            </w:r>
            <w:r>
              <w:rPr>
                <w:rFonts w:hint="eastAsia" w:asciiTheme="majorEastAsia" w:hAnsiTheme="majorEastAsia" w:eastAsiaTheme="majorEastAsia"/>
              </w:rPr>
              <w:t>负压自动化（无需手动设置）：设定范围覆盖0至-40kPa，灌注吸引自动模式可以根据腔内实时液体压力值自动调节负压泵，调节吸引压力大小，从而维持腔内液体压力设定的安全范围内。无需手动调节设置。</w:t>
            </w:r>
          </w:p>
        </w:tc>
        <w:tc>
          <w:tcPr>
            <w:tcW w:w="434" w:type="dxa"/>
          </w:tcPr>
          <w:p w14:paraId="106DA120">
            <w:pPr>
              <w:adjustRightInd w:val="0"/>
              <w:snapToGrid w:val="0"/>
              <w:rPr>
                <w:rFonts w:asciiTheme="majorEastAsia" w:hAnsiTheme="majorEastAsia" w:eastAsiaTheme="majorEastAsia"/>
                <w:b/>
                <w:sz w:val="24"/>
                <w:szCs w:val="21"/>
              </w:rPr>
            </w:pPr>
          </w:p>
        </w:tc>
      </w:tr>
      <w:tr w14:paraId="3F124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2885B475">
            <w:pPr>
              <w:adjustRightInd w:val="0"/>
              <w:snapToGrid w:val="0"/>
              <w:rPr>
                <w:rFonts w:asciiTheme="majorEastAsia" w:hAnsiTheme="majorEastAsia" w:eastAsiaTheme="majorEastAsia"/>
                <w:b/>
                <w:sz w:val="24"/>
                <w:szCs w:val="21"/>
              </w:rPr>
            </w:pPr>
          </w:p>
        </w:tc>
        <w:tc>
          <w:tcPr>
            <w:tcW w:w="910" w:type="dxa"/>
            <w:vMerge w:val="continue"/>
          </w:tcPr>
          <w:p w14:paraId="7BEF3EFF">
            <w:pPr>
              <w:adjustRightInd w:val="0"/>
              <w:snapToGrid w:val="0"/>
              <w:rPr>
                <w:rFonts w:asciiTheme="majorEastAsia" w:hAnsiTheme="majorEastAsia" w:eastAsiaTheme="majorEastAsia"/>
                <w:b/>
                <w:sz w:val="24"/>
                <w:szCs w:val="21"/>
              </w:rPr>
            </w:pPr>
          </w:p>
        </w:tc>
        <w:tc>
          <w:tcPr>
            <w:tcW w:w="8335" w:type="dxa"/>
            <w:gridSpan w:val="2"/>
            <w:vAlign w:val="center"/>
          </w:tcPr>
          <w:p w14:paraId="2E2ABB7F">
            <w:pPr>
              <w:widowControl/>
              <w:adjustRightInd w:val="0"/>
              <w:snapToGrid w:val="0"/>
              <w:jc w:val="left"/>
              <w:textAlignment w:val="center"/>
              <w:rPr>
                <w:rFonts w:ascii="宋体" w:hAnsi="宋体" w:cs="宋体"/>
                <w:color w:val="000000"/>
                <w:sz w:val="20"/>
                <w:szCs w:val="15"/>
              </w:rPr>
            </w:pPr>
            <w:r>
              <w:rPr>
                <w:rFonts w:hint="eastAsia" w:asciiTheme="majorEastAsia" w:hAnsiTheme="majorEastAsia" w:eastAsiaTheme="majorEastAsia"/>
                <w:lang w:val="en-US" w:eastAsia="zh-CN"/>
              </w:rPr>
              <w:t>5、</w:t>
            </w:r>
            <w:r>
              <w:rPr>
                <w:rFonts w:hint="eastAsia" w:asciiTheme="majorEastAsia" w:hAnsiTheme="majorEastAsia" w:eastAsiaTheme="majorEastAsia"/>
              </w:rPr>
              <w:t>腔内液体实时相对压力监测：传感方式为液压传感，液压传感精准无延迟。</w:t>
            </w:r>
          </w:p>
        </w:tc>
        <w:tc>
          <w:tcPr>
            <w:tcW w:w="434" w:type="dxa"/>
          </w:tcPr>
          <w:p w14:paraId="20120A4F">
            <w:pPr>
              <w:adjustRightInd w:val="0"/>
              <w:snapToGrid w:val="0"/>
              <w:rPr>
                <w:rFonts w:asciiTheme="majorEastAsia" w:hAnsiTheme="majorEastAsia" w:eastAsiaTheme="majorEastAsia"/>
                <w:b/>
                <w:sz w:val="24"/>
                <w:szCs w:val="21"/>
              </w:rPr>
            </w:pPr>
          </w:p>
        </w:tc>
      </w:tr>
      <w:tr w14:paraId="18058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644BDD7B">
            <w:pPr>
              <w:adjustRightInd w:val="0"/>
              <w:snapToGrid w:val="0"/>
              <w:rPr>
                <w:rFonts w:asciiTheme="majorEastAsia" w:hAnsiTheme="majorEastAsia" w:eastAsiaTheme="majorEastAsia"/>
                <w:b/>
                <w:sz w:val="24"/>
                <w:szCs w:val="21"/>
              </w:rPr>
            </w:pPr>
          </w:p>
        </w:tc>
        <w:tc>
          <w:tcPr>
            <w:tcW w:w="910" w:type="dxa"/>
            <w:vMerge w:val="continue"/>
          </w:tcPr>
          <w:p w14:paraId="24589531">
            <w:pPr>
              <w:adjustRightInd w:val="0"/>
              <w:snapToGrid w:val="0"/>
              <w:rPr>
                <w:rFonts w:asciiTheme="majorEastAsia" w:hAnsiTheme="majorEastAsia" w:eastAsiaTheme="majorEastAsia"/>
                <w:b/>
                <w:sz w:val="24"/>
                <w:szCs w:val="21"/>
              </w:rPr>
            </w:pPr>
          </w:p>
        </w:tc>
        <w:tc>
          <w:tcPr>
            <w:tcW w:w="8335" w:type="dxa"/>
            <w:gridSpan w:val="2"/>
          </w:tcPr>
          <w:p w14:paraId="0EF9600A">
            <w:pPr>
              <w:adjustRightInd w:val="0"/>
              <w:snapToGrid w:val="0"/>
              <w:rPr>
                <w:rFonts w:asciiTheme="majorEastAsia" w:hAnsiTheme="majorEastAsia" w:eastAsiaTheme="majorEastAsia"/>
                <w:b/>
                <w:sz w:val="18"/>
                <w:szCs w:val="15"/>
              </w:rPr>
            </w:pPr>
            <w:r>
              <w:rPr>
                <w:rFonts w:hint="eastAsia" w:asciiTheme="majorEastAsia" w:hAnsiTheme="majorEastAsia" w:eastAsiaTheme="majorEastAsia"/>
                <w:lang w:val="en-US" w:eastAsia="zh-CN"/>
              </w:rPr>
              <w:t>6</w:t>
            </w:r>
            <w:r>
              <w:rPr>
                <w:rFonts w:hint="eastAsia" w:asciiTheme="majorEastAsia" w:hAnsiTheme="majorEastAsia" w:eastAsiaTheme="majorEastAsia"/>
              </w:rPr>
              <w:t>、设备系统拥有自检功能：为保证术中安全每次开机，平台进入灌注吸引自动模式或负压吸引模式工作之前，均进行自检。进入灌注吸引自动模式前可检测液压传感器是否正确连接，以确保系统安全性。</w:t>
            </w:r>
          </w:p>
        </w:tc>
        <w:tc>
          <w:tcPr>
            <w:tcW w:w="434" w:type="dxa"/>
          </w:tcPr>
          <w:p w14:paraId="2F298A49">
            <w:pPr>
              <w:adjustRightInd w:val="0"/>
              <w:snapToGrid w:val="0"/>
              <w:rPr>
                <w:rFonts w:asciiTheme="majorEastAsia" w:hAnsiTheme="majorEastAsia" w:eastAsiaTheme="majorEastAsia"/>
                <w:b/>
                <w:sz w:val="24"/>
                <w:szCs w:val="21"/>
              </w:rPr>
            </w:pPr>
          </w:p>
        </w:tc>
      </w:tr>
      <w:tr w14:paraId="62C13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1A8E16DA">
            <w:pPr>
              <w:adjustRightInd w:val="0"/>
              <w:snapToGrid w:val="0"/>
              <w:rPr>
                <w:rFonts w:asciiTheme="majorEastAsia" w:hAnsiTheme="majorEastAsia" w:eastAsiaTheme="majorEastAsia"/>
                <w:b/>
                <w:sz w:val="24"/>
                <w:szCs w:val="21"/>
              </w:rPr>
            </w:pPr>
          </w:p>
        </w:tc>
        <w:tc>
          <w:tcPr>
            <w:tcW w:w="910" w:type="dxa"/>
            <w:vMerge w:val="continue"/>
          </w:tcPr>
          <w:p w14:paraId="6C95BEAD">
            <w:pPr>
              <w:adjustRightInd w:val="0"/>
              <w:snapToGrid w:val="0"/>
              <w:rPr>
                <w:rFonts w:asciiTheme="majorEastAsia" w:hAnsiTheme="majorEastAsia" w:eastAsiaTheme="majorEastAsia"/>
                <w:b/>
                <w:sz w:val="24"/>
                <w:szCs w:val="21"/>
              </w:rPr>
            </w:pPr>
          </w:p>
        </w:tc>
        <w:tc>
          <w:tcPr>
            <w:tcW w:w="8335" w:type="dxa"/>
            <w:gridSpan w:val="2"/>
          </w:tcPr>
          <w:p w14:paraId="461CDB74">
            <w:pPr>
              <w:adjustRightInd w:val="0"/>
              <w:snapToGrid w:val="0"/>
              <w:rPr>
                <w:rFonts w:asciiTheme="majorEastAsia" w:hAnsiTheme="majorEastAsia" w:eastAsiaTheme="majorEastAsia"/>
                <w:b/>
                <w:sz w:val="18"/>
                <w:szCs w:val="15"/>
              </w:rPr>
            </w:pPr>
            <w:r>
              <w:rPr>
                <w:rFonts w:hint="eastAsia" w:asciiTheme="majorEastAsia" w:hAnsiTheme="majorEastAsia" w:eastAsiaTheme="majorEastAsia"/>
                <w:lang w:val="en-US" w:eastAsia="zh-CN"/>
              </w:rPr>
              <w:t>7、</w:t>
            </w:r>
            <w:r>
              <w:rPr>
                <w:rFonts w:hint="eastAsia" w:asciiTheme="majorEastAsia" w:hAnsiTheme="majorEastAsia" w:eastAsiaTheme="majorEastAsia"/>
              </w:rPr>
              <w:t>灌注流量稳定性：流量稳定性：连续工作≥4小时，灌注流量误差应不超过设置值的±10%。</w:t>
            </w:r>
          </w:p>
        </w:tc>
        <w:tc>
          <w:tcPr>
            <w:tcW w:w="434" w:type="dxa"/>
          </w:tcPr>
          <w:p w14:paraId="7D75EE83">
            <w:pPr>
              <w:adjustRightInd w:val="0"/>
              <w:snapToGrid w:val="0"/>
              <w:rPr>
                <w:rFonts w:asciiTheme="majorEastAsia" w:hAnsiTheme="majorEastAsia" w:eastAsiaTheme="majorEastAsia"/>
                <w:b/>
                <w:sz w:val="24"/>
                <w:szCs w:val="21"/>
              </w:rPr>
            </w:pPr>
          </w:p>
        </w:tc>
      </w:tr>
      <w:tr w14:paraId="3BA02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2D388B02">
            <w:pPr>
              <w:adjustRightInd w:val="0"/>
              <w:snapToGrid w:val="0"/>
              <w:rPr>
                <w:rFonts w:asciiTheme="majorEastAsia" w:hAnsiTheme="majorEastAsia" w:eastAsiaTheme="majorEastAsia"/>
                <w:b/>
                <w:sz w:val="24"/>
                <w:szCs w:val="21"/>
              </w:rPr>
            </w:pPr>
          </w:p>
        </w:tc>
        <w:tc>
          <w:tcPr>
            <w:tcW w:w="910" w:type="dxa"/>
            <w:vMerge w:val="continue"/>
          </w:tcPr>
          <w:p w14:paraId="3BC62137">
            <w:pPr>
              <w:adjustRightInd w:val="0"/>
              <w:snapToGrid w:val="0"/>
              <w:rPr>
                <w:rFonts w:asciiTheme="majorEastAsia" w:hAnsiTheme="majorEastAsia" w:eastAsiaTheme="majorEastAsia"/>
                <w:b/>
                <w:sz w:val="24"/>
                <w:szCs w:val="21"/>
              </w:rPr>
            </w:pPr>
          </w:p>
        </w:tc>
        <w:tc>
          <w:tcPr>
            <w:tcW w:w="8335" w:type="dxa"/>
            <w:gridSpan w:val="2"/>
          </w:tcPr>
          <w:p w14:paraId="52C1556A">
            <w:pPr>
              <w:pStyle w:val="3"/>
              <w:spacing w:line="240" w:lineRule="auto"/>
              <w:rPr>
                <w:rFonts w:asciiTheme="majorEastAsia" w:hAnsiTheme="majorEastAsia" w:eastAsiaTheme="majorEastAsia"/>
                <w:b/>
                <w:sz w:val="18"/>
                <w:szCs w:val="15"/>
              </w:rPr>
            </w:pPr>
            <w:r>
              <w:rPr>
                <w:rFonts w:hint="eastAsia" w:asciiTheme="majorEastAsia" w:hAnsiTheme="majorEastAsia" w:eastAsiaTheme="majorEastAsia"/>
                <w:bCs w:val="0"/>
                <w:sz w:val="20"/>
                <w:szCs w:val="16"/>
                <w:lang w:val="en-US" w:eastAsia="zh-CN"/>
              </w:rPr>
              <w:t>8、</w:t>
            </w:r>
            <w:r>
              <w:rPr>
                <w:rFonts w:hint="eastAsia" w:asciiTheme="majorEastAsia" w:hAnsiTheme="majorEastAsia" w:eastAsiaTheme="majorEastAsia"/>
                <w:bCs w:val="0"/>
                <w:sz w:val="20"/>
                <w:szCs w:val="16"/>
              </w:rPr>
              <w:t>压力监测宽度：压力监控宽度应不小于300mmHg。</w:t>
            </w:r>
          </w:p>
        </w:tc>
        <w:tc>
          <w:tcPr>
            <w:tcW w:w="434" w:type="dxa"/>
          </w:tcPr>
          <w:p w14:paraId="65A9825E">
            <w:pPr>
              <w:adjustRightInd w:val="0"/>
              <w:snapToGrid w:val="0"/>
              <w:rPr>
                <w:rFonts w:asciiTheme="majorEastAsia" w:hAnsiTheme="majorEastAsia" w:eastAsiaTheme="majorEastAsia"/>
                <w:b/>
                <w:sz w:val="24"/>
                <w:szCs w:val="21"/>
              </w:rPr>
            </w:pPr>
          </w:p>
        </w:tc>
      </w:tr>
      <w:tr w14:paraId="5B761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18EE0A14">
            <w:pPr>
              <w:adjustRightInd w:val="0"/>
              <w:snapToGrid w:val="0"/>
              <w:rPr>
                <w:rFonts w:asciiTheme="majorEastAsia" w:hAnsiTheme="majorEastAsia" w:eastAsiaTheme="majorEastAsia"/>
                <w:b/>
                <w:sz w:val="24"/>
                <w:szCs w:val="21"/>
              </w:rPr>
            </w:pPr>
          </w:p>
        </w:tc>
        <w:tc>
          <w:tcPr>
            <w:tcW w:w="910" w:type="dxa"/>
            <w:vMerge w:val="continue"/>
          </w:tcPr>
          <w:p w14:paraId="0E6B1048">
            <w:pPr>
              <w:adjustRightInd w:val="0"/>
              <w:snapToGrid w:val="0"/>
              <w:rPr>
                <w:rFonts w:asciiTheme="majorEastAsia" w:hAnsiTheme="majorEastAsia" w:eastAsiaTheme="majorEastAsia"/>
                <w:b/>
                <w:sz w:val="24"/>
                <w:szCs w:val="21"/>
              </w:rPr>
            </w:pPr>
          </w:p>
        </w:tc>
        <w:tc>
          <w:tcPr>
            <w:tcW w:w="8335" w:type="dxa"/>
            <w:gridSpan w:val="2"/>
          </w:tcPr>
          <w:p w14:paraId="190F4BB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lang w:val="en-US" w:eastAsia="zh-CN"/>
              </w:rPr>
              <w:t>9、</w:t>
            </w:r>
            <w:r>
              <w:rPr>
                <w:rFonts w:hint="eastAsia" w:asciiTheme="majorEastAsia" w:hAnsiTheme="majorEastAsia" w:eastAsiaTheme="majorEastAsia"/>
              </w:rPr>
              <w:t>压力测量分辨率：压力测量的分辨率值应不大于±2mmHg(±0.26kPa)。</w:t>
            </w:r>
          </w:p>
        </w:tc>
        <w:tc>
          <w:tcPr>
            <w:tcW w:w="434" w:type="dxa"/>
          </w:tcPr>
          <w:p w14:paraId="7D366B69">
            <w:pPr>
              <w:adjustRightInd w:val="0"/>
              <w:snapToGrid w:val="0"/>
              <w:rPr>
                <w:rFonts w:asciiTheme="majorEastAsia" w:hAnsiTheme="majorEastAsia" w:eastAsiaTheme="majorEastAsia"/>
                <w:b/>
                <w:sz w:val="24"/>
                <w:szCs w:val="21"/>
              </w:rPr>
            </w:pPr>
          </w:p>
        </w:tc>
      </w:tr>
      <w:tr w14:paraId="38628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159EEA06">
            <w:pPr>
              <w:adjustRightInd w:val="0"/>
              <w:snapToGrid w:val="0"/>
              <w:rPr>
                <w:rFonts w:asciiTheme="majorEastAsia" w:hAnsiTheme="majorEastAsia" w:eastAsiaTheme="majorEastAsia"/>
                <w:b/>
                <w:sz w:val="24"/>
                <w:szCs w:val="21"/>
              </w:rPr>
            </w:pPr>
          </w:p>
        </w:tc>
        <w:tc>
          <w:tcPr>
            <w:tcW w:w="910" w:type="dxa"/>
            <w:vMerge w:val="continue"/>
          </w:tcPr>
          <w:p w14:paraId="5A16AA47">
            <w:pPr>
              <w:adjustRightInd w:val="0"/>
              <w:snapToGrid w:val="0"/>
              <w:rPr>
                <w:rFonts w:asciiTheme="majorEastAsia" w:hAnsiTheme="majorEastAsia" w:eastAsiaTheme="majorEastAsia"/>
                <w:b/>
                <w:sz w:val="24"/>
                <w:szCs w:val="21"/>
              </w:rPr>
            </w:pPr>
          </w:p>
        </w:tc>
        <w:tc>
          <w:tcPr>
            <w:tcW w:w="8335" w:type="dxa"/>
            <w:gridSpan w:val="2"/>
          </w:tcPr>
          <w:p w14:paraId="6E1B4126">
            <w:pPr>
              <w:adjustRightInd w:val="0"/>
              <w:snapToGrid w:val="0"/>
              <w:rPr>
                <w:rFonts w:ascii="宋体" w:hAnsi="宋体" w:cs="宋体"/>
                <w:b/>
                <w:sz w:val="20"/>
                <w:szCs w:val="20"/>
              </w:rPr>
            </w:pPr>
            <w:r>
              <w:rPr>
                <w:rFonts w:hint="eastAsia" w:asciiTheme="majorEastAsia" w:hAnsiTheme="majorEastAsia" w:eastAsiaTheme="majorEastAsia"/>
                <w:lang w:val="en-US" w:eastAsia="zh-CN"/>
              </w:rPr>
              <w:t>10、</w:t>
            </w:r>
            <w:r>
              <w:rPr>
                <w:rFonts w:hint="eastAsia" w:asciiTheme="majorEastAsia" w:hAnsiTheme="majorEastAsia" w:eastAsiaTheme="majorEastAsia"/>
              </w:rPr>
              <w:t>压力测量误差：压力测量误差应不超过±2mmHg(±0.26kPa)。</w:t>
            </w:r>
          </w:p>
        </w:tc>
        <w:tc>
          <w:tcPr>
            <w:tcW w:w="434" w:type="dxa"/>
          </w:tcPr>
          <w:p w14:paraId="2E6F9D0B">
            <w:pPr>
              <w:adjustRightInd w:val="0"/>
              <w:snapToGrid w:val="0"/>
              <w:rPr>
                <w:rFonts w:asciiTheme="majorEastAsia" w:hAnsiTheme="majorEastAsia" w:eastAsiaTheme="majorEastAsia"/>
                <w:b/>
                <w:sz w:val="24"/>
                <w:szCs w:val="21"/>
              </w:rPr>
            </w:pPr>
          </w:p>
        </w:tc>
      </w:tr>
      <w:tr w14:paraId="56887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4A6F9A35">
            <w:pPr>
              <w:adjustRightInd w:val="0"/>
              <w:snapToGrid w:val="0"/>
              <w:rPr>
                <w:rFonts w:asciiTheme="majorEastAsia" w:hAnsiTheme="majorEastAsia" w:eastAsiaTheme="majorEastAsia"/>
                <w:b/>
                <w:sz w:val="24"/>
                <w:szCs w:val="21"/>
              </w:rPr>
            </w:pPr>
          </w:p>
        </w:tc>
        <w:tc>
          <w:tcPr>
            <w:tcW w:w="910" w:type="dxa"/>
            <w:vMerge w:val="continue"/>
          </w:tcPr>
          <w:p w14:paraId="1DB5666B">
            <w:pPr>
              <w:adjustRightInd w:val="0"/>
              <w:snapToGrid w:val="0"/>
              <w:rPr>
                <w:rFonts w:asciiTheme="majorEastAsia" w:hAnsiTheme="majorEastAsia" w:eastAsiaTheme="majorEastAsia"/>
                <w:b/>
                <w:sz w:val="24"/>
                <w:szCs w:val="21"/>
              </w:rPr>
            </w:pPr>
          </w:p>
        </w:tc>
        <w:tc>
          <w:tcPr>
            <w:tcW w:w="8335" w:type="dxa"/>
            <w:gridSpan w:val="2"/>
          </w:tcPr>
          <w:p w14:paraId="26AF0074">
            <w:pPr>
              <w:adjustRightInd w:val="0"/>
              <w:snapToGrid w:val="0"/>
              <w:rPr>
                <w:rFonts w:ascii="宋体" w:hAnsi="宋体" w:cs="宋体"/>
                <w:b/>
                <w:sz w:val="20"/>
                <w:szCs w:val="20"/>
              </w:rPr>
            </w:pPr>
            <w:r>
              <w:rPr>
                <w:rFonts w:hint="eastAsia" w:asciiTheme="majorEastAsia" w:hAnsiTheme="majorEastAsia" w:eastAsiaTheme="majorEastAsia"/>
                <w:lang w:val="en-US" w:eastAsia="zh-CN"/>
              </w:rPr>
              <w:t>11、</w:t>
            </w:r>
            <w:r>
              <w:rPr>
                <w:rFonts w:hint="eastAsia" w:asciiTheme="majorEastAsia" w:hAnsiTheme="majorEastAsia" w:eastAsiaTheme="majorEastAsia"/>
              </w:rPr>
              <w:t>报警误差：报警误差应不超过±2mmHg(±0.26kPa)。</w:t>
            </w:r>
          </w:p>
        </w:tc>
        <w:tc>
          <w:tcPr>
            <w:tcW w:w="434" w:type="dxa"/>
          </w:tcPr>
          <w:p w14:paraId="687F423F">
            <w:pPr>
              <w:adjustRightInd w:val="0"/>
              <w:snapToGrid w:val="0"/>
              <w:rPr>
                <w:rFonts w:asciiTheme="majorEastAsia" w:hAnsiTheme="majorEastAsia" w:eastAsiaTheme="majorEastAsia"/>
                <w:b/>
                <w:sz w:val="24"/>
                <w:szCs w:val="21"/>
              </w:rPr>
            </w:pPr>
          </w:p>
        </w:tc>
      </w:tr>
      <w:tr w14:paraId="1B7B8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28AEE050">
            <w:pPr>
              <w:adjustRightInd w:val="0"/>
              <w:snapToGrid w:val="0"/>
              <w:rPr>
                <w:rFonts w:asciiTheme="majorEastAsia" w:hAnsiTheme="majorEastAsia" w:eastAsiaTheme="majorEastAsia"/>
                <w:b/>
                <w:sz w:val="24"/>
                <w:szCs w:val="21"/>
              </w:rPr>
            </w:pPr>
          </w:p>
        </w:tc>
        <w:tc>
          <w:tcPr>
            <w:tcW w:w="910" w:type="dxa"/>
            <w:vMerge w:val="continue"/>
          </w:tcPr>
          <w:p w14:paraId="64EC9362">
            <w:pPr>
              <w:adjustRightInd w:val="0"/>
              <w:snapToGrid w:val="0"/>
              <w:rPr>
                <w:rFonts w:asciiTheme="majorEastAsia" w:hAnsiTheme="majorEastAsia" w:eastAsiaTheme="majorEastAsia"/>
                <w:b/>
                <w:sz w:val="24"/>
                <w:szCs w:val="21"/>
              </w:rPr>
            </w:pPr>
          </w:p>
        </w:tc>
        <w:tc>
          <w:tcPr>
            <w:tcW w:w="8335" w:type="dxa"/>
            <w:gridSpan w:val="2"/>
          </w:tcPr>
          <w:p w14:paraId="525F5167">
            <w:pPr>
              <w:adjustRightInd w:val="0"/>
              <w:snapToGrid w:val="0"/>
              <w:rPr>
                <w:rFonts w:asciiTheme="majorEastAsia" w:hAnsiTheme="majorEastAsia" w:eastAsiaTheme="majorEastAsia"/>
              </w:rPr>
            </w:pPr>
            <w:r>
              <w:rPr>
                <w:rFonts w:hint="eastAsia" w:asciiTheme="majorEastAsia" w:hAnsiTheme="majorEastAsia" w:eastAsiaTheme="majorEastAsia"/>
                <w:lang w:val="en-US" w:eastAsia="zh-CN"/>
              </w:rPr>
              <w:t>12、</w:t>
            </w:r>
            <w:r>
              <w:rPr>
                <w:rFonts w:hint="eastAsia" w:asciiTheme="majorEastAsia" w:hAnsiTheme="majorEastAsia" w:eastAsiaTheme="majorEastAsia"/>
              </w:rPr>
              <w:t>腔内压力过压保护报警系统：</w:t>
            </w:r>
          </w:p>
          <w:p w14:paraId="1E73F3F1">
            <w:pPr>
              <w:adjustRightInd w:val="0"/>
              <w:snapToGrid w:val="0"/>
              <w:ind w:firstLine="420" w:firstLineChars="200"/>
              <w:rPr>
                <w:rFonts w:asciiTheme="majorEastAsia" w:hAnsiTheme="majorEastAsia" w:eastAsiaTheme="majorEastAsia"/>
              </w:rPr>
            </w:pPr>
            <w:r>
              <w:rPr>
                <w:rFonts w:hint="eastAsia" w:asciiTheme="majorEastAsia" w:hAnsiTheme="majorEastAsia" w:eastAsiaTheme="majorEastAsia"/>
              </w:rPr>
              <w:t>12.1低优先级报警：报警条件：腔内警戒设定值高于30mmHg。</w:t>
            </w:r>
          </w:p>
          <w:p w14:paraId="62A34805">
            <w:pPr>
              <w:adjustRightInd w:val="0"/>
              <w:snapToGrid w:val="0"/>
              <w:ind w:firstLine="420" w:firstLineChars="200"/>
              <w:rPr>
                <w:rFonts w:asciiTheme="majorEastAsia" w:hAnsiTheme="majorEastAsia" w:eastAsiaTheme="majorEastAsia"/>
              </w:rPr>
            </w:pPr>
            <w:r>
              <w:rPr>
                <w:rFonts w:hint="eastAsia" w:asciiTheme="majorEastAsia" w:hAnsiTheme="majorEastAsia" w:eastAsiaTheme="majorEastAsia"/>
              </w:rPr>
              <w:t>12.2优先级报警：报警条件：腔内实时相对压力值和设定的腔内警戒值相差5mmHg。</w:t>
            </w:r>
          </w:p>
          <w:p w14:paraId="602668CE">
            <w:pPr>
              <w:adjustRightInd w:val="0"/>
              <w:snapToGrid w:val="0"/>
              <w:ind w:firstLine="420" w:firstLineChars="200"/>
              <w:rPr>
                <w:rFonts w:asciiTheme="majorEastAsia" w:hAnsiTheme="majorEastAsia" w:eastAsiaTheme="majorEastAsia"/>
              </w:rPr>
            </w:pPr>
            <w:r>
              <w:rPr>
                <w:rFonts w:hint="eastAsia" w:asciiTheme="majorEastAsia" w:hAnsiTheme="majorEastAsia" w:eastAsiaTheme="majorEastAsia"/>
              </w:rPr>
              <w:t>12.3高优先级报警：报警条件：腔内实时相对压力值超过设定的腔内警戒值。</w:t>
            </w:r>
          </w:p>
        </w:tc>
        <w:tc>
          <w:tcPr>
            <w:tcW w:w="434" w:type="dxa"/>
          </w:tcPr>
          <w:p w14:paraId="5FC94922">
            <w:pPr>
              <w:adjustRightInd w:val="0"/>
              <w:snapToGrid w:val="0"/>
              <w:rPr>
                <w:rFonts w:asciiTheme="majorEastAsia" w:hAnsiTheme="majorEastAsia" w:eastAsiaTheme="majorEastAsia"/>
                <w:b/>
                <w:sz w:val="24"/>
                <w:szCs w:val="21"/>
              </w:rPr>
            </w:pPr>
          </w:p>
        </w:tc>
      </w:tr>
      <w:tr w14:paraId="2A21B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6CAB8E0F">
            <w:pPr>
              <w:adjustRightInd w:val="0"/>
              <w:snapToGrid w:val="0"/>
              <w:rPr>
                <w:rFonts w:asciiTheme="majorEastAsia" w:hAnsiTheme="majorEastAsia" w:eastAsiaTheme="majorEastAsia"/>
                <w:b/>
                <w:sz w:val="24"/>
                <w:szCs w:val="21"/>
              </w:rPr>
            </w:pPr>
          </w:p>
        </w:tc>
        <w:tc>
          <w:tcPr>
            <w:tcW w:w="910" w:type="dxa"/>
            <w:vMerge w:val="continue"/>
          </w:tcPr>
          <w:p w14:paraId="72C7606F">
            <w:pPr>
              <w:adjustRightInd w:val="0"/>
              <w:snapToGrid w:val="0"/>
              <w:rPr>
                <w:rFonts w:asciiTheme="majorEastAsia" w:hAnsiTheme="majorEastAsia" w:eastAsiaTheme="majorEastAsia"/>
                <w:b/>
                <w:sz w:val="24"/>
                <w:szCs w:val="21"/>
              </w:rPr>
            </w:pPr>
          </w:p>
        </w:tc>
        <w:tc>
          <w:tcPr>
            <w:tcW w:w="8335" w:type="dxa"/>
            <w:gridSpan w:val="2"/>
          </w:tcPr>
          <w:p w14:paraId="59D7CC2D">
            <w:pPr>
              <w:adjustRightInd w:val="0"/>
              <w:snapToGrid w:val="0"/>
              <w:rPr>
                <w:rFonts w:ascii="宋体" w:hAnsi="宋体" w:cs="宋体"/>
                <w:b/>
                <w:sz w:val="20"/>
                <w:szCs w:val="20"/>
              </w:rPr>
            </w:pPr>
            <w:r>
              <w:rPr>
                <w:rFonts w:hint="eastAsia" w:asciiTheme="majorEastAsia" w:hAnsiTheme="majorEastAsia" w:eastAsiaTheme="majorEastAsia"/>
              </w:rPr>
              <w:t>14</w:t>
            </w:r>
            <w:r>
              <w:rPr>
                <w:rFonts w:hint="eastAsia" w:asciiTheme="majorEastAsia" w:hAnsiTheme="majorEastAsia" w:eastAsiaTheme="majorEastAsia"/>
                <w:lang w:eastAsia="zh-CN"/>
              </w:rPr>
              <w:t>、</w:t>
            </w:r>
            <w:r>
              <w:rPr>
                <w:rFonts w:hint="eastAsia" w:asciiTheme="majorEastAsia" w:hAnsiTheme="majorEastAsia" w:eastAsiaTheme="majorEastAsia"/>
              </w:rPr>
              <w:t>腔内压力小于-50mmHg，具备声光报警，平台停止工作。</w:t>
            </w:r>
          </w:p>
        </w:tc>
        <w:tc>
          <w:tcPr>
            <w:tcW w:w="434" w:type="dxa"/>
          </w:tcPr>
          <w:p w14:paraId="489B0314">
            <w:pPr>
              <w:adjustRightInd w:val="0"/>
              <w:snapToGrid w:val="0"/>
              <w:rPr>
                <w:rFonts w:asciiTheme="majorEastAsia" w:hAnsiTheme="majorEastAsia" w:eastAsiaTheme="majorEastAsia"/>
                <w:b/>
                <w:sz w:val="24"/>
                <w:szCs w:val="21"/>
              </w:rPr>
            </w:pPr>
          </w:p>
        </w:tc>
      </w:tr>
      <w:tr w14:paraId="601F4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6432FD62">
            <w:pPr>
              <w:adjustRightInd w:val="0"/>
              <w:snapToGrid w:val="0"/>
              <w:rPr>
                <w:rFonts w:asciiTheme="majorEastAsia" w:hAnsiTheme="majorEastAsia" w:eastAsiaTheme="majorEastAsia"/>
                <w:b/>
                <w:sz w:val="24"/>
                <w:szCs w:val="21"/>
              </w:rPr>
            </w:pPr>
          </w:p>
        </w:tc>
        <w:tc>
          <w:tcPr>
            <w:tcW w:w="910" w:type="dxa"/>
            <w:vMerge w:val="continue"/>
          </w:tcPr>
          <w:p w14:paraId="5073A697">
            <w:pPr>
              <w:adjustRightInd w:val="0"/>
              <w:snapToGrid w:val="0"/>
              <w:rPr>
                <w:rFonts w:asciiTheme="majorEastAsia" w:hAnsiTheme="majorEastAsia" w:eastAsiaTheme="majorEastAsia"/>
                <w:b/>
                <w:sz w:val="24"/>
                <w:szCs w:val="21"/>
              </w:rPr>
            </w:pPr>
          </w:p>
        </w:tc>
        <w:tc>
          <w:tcPr>
            <w:tcW w:w="8335" w:type="dxa"/>
            <w:gridSpan w:val="2"/>
          </w:tcPr>
          <w:p w14:paraId="371FC4B7">
            <w:pPr>
              <w:adjustRightInd w:val="0"/>
              <w:snapToGrid w:val="0"/>
              <w:rPr>
                <w:rFonts w:ascii="宋体" w:hAnsi="宋体" w:cs="宋体"/>
                <w:b/>
                <w:sz w:val="20"/>
                <w:szCs w:val="20"/>
              </w:rPr>
            </w:pPr>
            <w:r>
              <w:rPr>
                <w:rFonts w:hint="eastAsia" w:asciiTheme="majorEastAsia" w:hAnsiTheme="majorEastAsia" w:eastAsiaTheme="majorEastAsia"/>
              </w:rPr>
              <w:t>15</w:t>
            </w:r>
            <w:r>
              <w:rPr>
                <w:rFonts w:hint="eastAsia" w:asciiTheme="majorEastAsia" w:hAnsiTheme="majorEastAsia" w:eastAsiaTheme="majorEastAsia"/>
                <w:lang w:eastAsia="zh-CN"/>
              </w:rPr>
              <w:t>、</w:t>
            </w:r>
            <w:r>
              <w:rPr>
                <w:rFonts w:hint="eastAsia" w:asciiTheme="majorEastAsia" w:hAnsiTheme="majorEastAsia" w:eastAsiaTheme="majorEastAsia"/>
              </w:rPr>
              <w:t>报警预设值默认设定，可智能化恢复：设定值默认应为 30mmHg，设定值更改后应可一键恢复；</w:t>
            </w:r>
          </w:p>
        </w:tc>
        <w:tc>
          <w:tcPr>
            <w:tcW w:w="434" w:type="dxa"/>
          </w:tcPr>
          <w:p w14:paraId="3DDBB7B4">
            <w:pPr>
              <w:adjustRightInd w:val="0"/>
              <w:snapToGrid w:val="0"/>
              <w:rPr>
                <w:rFonts w:asciiTheme="majorEastAsia" w:hAnsiTheme="majorEastAsia" w:eastAsiaTheme="majorEastAsia"/>
                <w:b/>
                <w:sz w:val="24"/>
                <w:szCs w:val="21"/>
              </w:rPr>
            </w:pPr>
          </w:p>
        </w:tc>
      </w:tr>
      <w:tr w14:paraId="2EE4D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046A20FA">
            <w:pPr>
              <w:adjustRightInd w:val="0"/>
              <w:snapToGrid w:val="0"/>
              <w:rPr>
                <w:rFonts w:asciiTheme="majorEastAsia" w:hAnsiTheme="majorEastAsia" w:eastAsiaTheme="majorEastAsia"/>
                <w:b/>
                <w:sz w:val="24"/>
                <w:szCs w:val="21"/>
              </w:rPr>
            </w:pPr>
          </w:p>
        </w:tc>
        <w:tc>
          <w:tcPr>
            <w:tcW w:w="910" w:type="dxa"/>
            <w:vMerge w:val="continue"/>
          </w:tcPr>
          <w:p w14:paraId="6254104B">
            <w:pPr>
              <w:adjustRightInd w:val="0"/>
              <w:snapToGrid w:val="0"/>
              <w:rPr>
                <w:rFonts w:asciiTheme="majorEastAsia" w:hAnsiTheme="majorEastAsia" w:eastAsiaTheme="majorEastAsia"/>
                <w:b/>
                <w:sz w:val="24"/>
                <w:szCs w:val="21"/>
              </w:rPr>
            </w:pPr>
          </w:p>
        </w:tc>
        <w:tc>
          <w:tcPr>
            <w:tcW w:w="8335" w:type="dxa"/>
            <w:gridSpan w:val="2"/>
          </w:tcPr>
          <w:p w14:paraId="2FC08F55">
            <w:pPr>
              <w:adjustRightInd w:val="0"/>
              <w:snapToGrid w:val="0"/>
              <w:rPr>
                <w:rFonts w:ascii="宋体" w:hAnsi="宋体" w:cs="宋体"/>
                <w:b/>
                <w:sz w:val="20"/>
                <w:szCs w:val="20"/>
              </w:rPr>
            </w:pPr>
            <w:r>
              <w:rPr>
                <w:rFonts w:hint="eastAsia" w:asciiTheme="majorEastAsia" w:hAnsiTheme="majorEastAsia" w:eastAsiaTheme="majorEastAsia"/>
              </w:rPr>
              <w:t>16</w:t>
            </w:r>
            <w:r>
              <w:rPr>
                <w:rFonts w:hint="eastAsia" w:asciiTheme="majorEastAsia" w:hAnsiTheme="majorEastAsia" w:eastAsiaTheme="majorEastAsia"/>
                <w:lang w:eastAsia="zh-CN"/>
              </w:rPr>
              <w:t>、</w:t>
            </w:r>
            <w:r>
              <w:rPr>
                <w:rFonts w:hint="eastAsia" w:asciiTheme="majorEastAsia" w:hAnsiTheme="majorEastAsia" w:eastAsiaTheme="majorEastAsia"/>
              </w:rPr>
              <w:t>警戒压力设定范围5mmHg-30mmHg；报警误差应不超过±2mmHg。</w:t>
            </w:r>
          </w:p>
        </w:tc>
        <w:tc>
          <w:tcPr>
            <w:tcW w:w="434" w:type="dxa"/>
          </w:tcPr>
          <w:p w14:paraId="3B631C21">
            <w:pPr>
              <w:adjustRightInd w:val="0"/>
              <w:snapToGrid w:val="0"/>
              <w:rPr>
                <w:rFonts w:asciiTheme="majorEastAsia" w:hAnsiTheme="majorEastAsia" w:eastAsiaTheme="majorEastAsia"/>
                <w:b/>
                <w:sz w:val="24"/>
                <w:szCs w:val="21"/>
              </w:rPr>
            </w:pPr>
          </w:p>
        </w:tc>
      </w:tr>
      <w:tr w14:paraId="2319A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1D502D93">
            <w:pPr>
              <w:adjustRightInd w:val="0"/>
              <w:snapToGrid w:val="0"/>
              <w:rPr>
                <w:rFonts w:asciiTheme="majorEastAsia" w:hAnsiTheme="majorEastAsia" w:eastAsiaTheme="majorEastAsia"/>
                <w:b/>
                <w:sz w:val="24"/>
                <w:szCs w:val="21"/>
              </w:rPr>
            </w:pPr>
          </w:p>
        </w:tc>
        <w:tc>
          <w:tcPr>
            <w:tcW w:w="910" w:type="dxa"/>
            <w:vMerge w:val="continue"/>
          </w:tcPr>
          <w:p w14:paraId="0566D402">
            <w:pPr>
              <w:adjustRightInd w:val="0"/>
              <w:snapToGrid w:val="0"/>
              <w:rPr>
                <w:rFonts w:asciiTheme="majorEastAsia" w:hAnsiTheme="majorEastAsia" w:eastAsiaTheme="majorEastAsia"/>
                <w:b/>
                <w:sz w:val="24"/>
                <w:szCs w:val="21"/>
              </w:rPr>
            </w:pPr>
          </w:p>
        </w:tc>
        <w:tc>
          <w:tcPr>
            <w:tcW w:w="8335" w:type="dxa"/>
            <w:gridSpan w:val="2"/>
          </w:tcPr>
          <w:p w14:paraId="3A2EA823">
            <w:pPr>
              <w:adjustRightInd w:val="0"/>
              <w:snapToGrid w:val="0"/>
              <w:rPr>
                <w:rFonts w:ascii="宋体" w:hAnsi="宋体" w:cs="宋体"/>
                <w:b/>
                <w:sz w:val="20"/>
                <w:szCs w:val="20"/>
              </w:rPr>
            </w:pPr>
            <w:r>
              <w:rPr>
                <w:rFonts w:hint="eastAsia" w:asciiTheme="majorEastAsia" w:hAnsiTheme="majorEastAsia" w:eastAsiaTheme="majorEastAsia"/>
              </w:rPr>
              <w:t>17</w:t>
            </w:r>
            <w:r>
              <w:rPr>
                <w:rFonts w:hint="eastAsia" w:asciiTheme="majorEastAsia" w:hAnsiTheme="majorEastAsia" w:eastAsiaTheme="majorEastAsia"/>
                <w:lang w:eastAsia="zh-CN"/>
              </w:rPr>
              <w:t>、</w:t>
            </w:r>
            <w:r>
              <w:rPr>
                <w:rFonts w:hint="eastAsia" w:asciiTheme="majorEastAsia" w:hAnsiTheme="majorEastAsia" w:eastAsiaTheme="majorEastAsia"/>
              </w:rPr>
              <w:t>平台拥有不少于4个工作模式。</w:t>
            </w:r>
          </w:p>
        </w:tc>
        <w:tc>
          <w:tcPr>
            <w:tcW w:w="434" w:type="dxa"/>
          </w:tcPr>
          <w:p w14:paraId="2DF476F2">
            <w:pPr>
              <w:adjustRightInd w:val="0"/>
              <w:snapToGrid w:val="0"/>
              <w:rPr>
                <w:rFonts w:asciiTheme="majorEastAsia" w:hAnsiTheme="majorEastAsia" w:eastAsiaTheme="majorEastAsia"/>
                <w:b/>
                <w:sz w:val="24"/>
                <w:szCs w:val="21"/>
              </w:rPr>
            </w:pPr>
          </w:p>
        </w:tc>
      </w:tr>
      <w:tr w14:paraId="7E0AA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42663B3B">
            <w:pPr>
              <w:adjustRightInd w:val="0"/>
              <w:snapToGrid w:val="0"/>
              <w:rPr>
                <w:rFonts w:asciiTheme="majorEastAsia" w:hAnsiTheme="majorEastAsia" w:eastAsiaTheme="majorEastAsia"/>
                <w:b/>
                <w:sz w:val="24"/>
                <w:szCs w:val="21"/>
              </w:rPr>
            </w:pPr>
          </w:p>
        </w:tc>
        <w:tc>
          <w:tcPr>
            <w:tcW w:w="910" w:type="dxa"/>
            <w:vMerge w:val="continue"/>
          </w:tcPr>
          <w:p w14:paraId="698BEC21">
            <w:pPr>
              <w:adjustRightInd w:val="0"/>
              <w:snapToGrid w:val="0"/>
              <w:rPr>
                <w:rFonts w:asciiTheme="majorEastAsia" w:hAnsiTheme="majorEastAsia" w:eastAsiaTheme="majorEastAsia"/>
                <w:b/>
                <w:sz w:val="24"/>
                <w:szCs w:val="21"/>
              </w:rPr>
            </w:pPr>
          </w:p>
        </w:tc>
        <w:tc>
          <w:tcPr>
            <w:tcW w:w="8335" w:type="dxa"/>
            <w:gridSpan w:val="2"/>
          </w:tcPr>
          <w:p w14:paraId="04EDE0D6">
            <w:pPr>
              <w:adjustRightInd w:val="0"/>
              <w:snapToGrid w:val="0"/>
              <w:rPr>
                <w:rFonts w:ascii="宋体" w:hAnsi="宋体" w:cs="宋体"/>
                <w:b/>
                <w:sz w:val="20"/>
                <w:szCs w:val="20"/>
              </w:rPr>
            </w:pPr>
            <w:r>
              <w:rPr>
                <w:rFonts w:hint="eastAsia" w:asciiTheme="majorEastAsia" w:hAnsiTheme="majorEastAsia" w:eastAsiaTheme="majorEastAsia"/>
              </w:rPr>
              <w:t>18</w:t>
            </w:r>
            <w:r>
              <w:rPr>
                <w:rFonts w:hint="eastAsia" w:asciiTheme="majorEastAsia" w:hAnsiTheme="majorEastAsia" w:eastAsiaTheme="majorEastAsia"/>
                <w:lang w:eastAsia="zh-CN"/>
              </w:rPr>
              <w:t>、</w:t>
            </w:r>
            <w:r>
              <w:rPr>
                <w:rFonts w:hint="eastAsia" w:asciiTheme="majorEastAsia" w:hAnsiTheme="majorEastAsia" w:eastAsiaTheme="majorEastAsia"/>
              </w:rPr>
              <w:t>设备稳定性：设备可连续工作≥24h。</w:t>
            </w:r>
          </w:p>
        </w:tc>
        <w:tc>
          <w:tcPr>
            <w:tcW w:w="434" w:type="dxa"/>
          </w:tcPr>
          <w:p w14:paraId="70E8075C">
            <w:pPr>
              <w:adjustRightInd w:val="0"/>
              <w:snapToGrid w:val="0"/>
              <w:rPr>
                <w:rFonts w:asciiTheme="majorEastAsia" w:hAnsiTheme="majorEastAsia" w:eastAsiaTheme="majorEastAsia"/>
                <w:b/>
                <w:sz w:val="24"/>
                <w:szCs w:val="21"/>
              </w:rPr>
            </w:pPr>
          </w:p>
        </w:tc>
      </w:tr>
      <w:tr w14:paraId="5FA3B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3D4C72C7">
            <w:pPr>
              <w:adjustRightInd w:val="0"/>
              <w:snapToGrid w:val="0"/>
              <w:rPr>
                <w:rFonts w:asciiTheme="majorEastAsia" w:hAnsiTheme="majorEastAsia" w:eastAsiaTheme="majorEastAsia"/>
                <w:b/>
                <w:sz w:val="24"/>
                <w:szCs w:val="21"/>
              </w:rPr>
            </w:pPr>
          </w:p>
        </w:tc>
        <w:tc>
          <w:tcPr>
            <w:tcW w:w="910" w:type="dxa"/>
            <w:vMerge w:val="continue"/>
          </w:tcPr>
          <w:p w14:paraId="5EC84643">
            <w:pPr>
              <w:adjustRightInd w:val="0"/>
              <w:snapToGrid w:val="0"/>
              <w:rPr>
                <w:rFonts w:asciiTheme="majorEastAsia" w:hAnsiTheme="majorEastAsia" w:eastAsiaTheme="majorEastAsia"/>
                <w:b/>
                <w:sz w:val="24"/>
                <w:szCs w:val="21"/>
              </w:rPr>
            </w:pPr>
          </w:p>
        </w:tc>
        <w:tc>
          <w:tcPr>
            <w:tcW w:w="8335" w:type="dxa"/>
            <w:gridSpan w:val="2"/>
          </w:tcPr>
          <w:p w14:paraId="7CD2A79F">
            <w:pPr>
              <w:adjustRightInd w:val="0"/>
              <w:snapToGrid w:val="0"/>
              <w:rPr>
                <w:rFonts w:ascii="宋体" w:hAnsi="宋体" w:cs="宋体"/>
                <w:b/>
                <w:sz w:val="20"/>
                <w:szCs w:val="20"/>
              </w:rPr>
            </w:pPr>
            <w:r>
              <w:rPr>
                <w:rFonts w:hint="eastAsia" w:asciiTheme="majorEastAsia" w:hAnsiTheme="majorEastAsia" w:eastAsiaTheme="majorEastAsia"/>
              </w:rPr>
              <w:t>19</w:t>
            </w:r>
            <w:r>
              <w:rPr>
                <w:rFonts w:hint="eastAsia" w:asciiTheme="majorEastAsia" w:hAnsiTheme="majorEastAsia" w:eastAsiaTheme="majorEastAsia"/>
                <w:lang w:eastAsia="zh-CN"/>
              </w:rPr>
              <w:t>、</w:t>
            </w:r>
            <w:r>
              <w:rPr>
                <w:rFonts w:hint="eastAsia" w:asciiTheme="majorEastAsia" w:hAnsiTheme="majorEastAsia" w:eastAsiaTheme="majorEastAsia"/>
              </w:rPr>
              <w:t>抗内爆性：对收集容器施加80kPa的负压时，收集容器应能保持完好，不产生永久性变形或内爆。</w:t>
            </w:r>
          </w:p>
        </w:tc>
        <w:tc>
          <w:tcPr>
            <w:tcW w:w="434" w:type="dxa"/>
          </w:tcPr>
          <w:p w14:paraId="00A2A91E">
            <w:pPr>
              <w:adjustRightInd w:val="0"/>
              <w:snapToGrid w:val="0"/>
              <w:rPr>
                <w:rFonts w:asciiTheme="majorEastAsia" w:hAnsiTheme="majorEastAsia" w:eastAsiaTheme="majorEastAsia"/>
                <w:b/>
                <w:sz w:val="24"/>
                <w:szCs w:val="21"/>
              </w:rPr>
            </w:pPr>
          </w:p>
        </w:tc>
      </w:tr>
      <w:tr w14:paraId="2D098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1155D8D3">
            <w:pPr>
              <w:adjustRightInd w:val="0"/>
              <w:snapToGrid w:val="0"/>
              <w:rPr>
                <w:rFonts w:asciiTheme="majorEastAsia" w:hAnsiTheme="majorEastAsia" w:eastAsiaTheme="majorEastAsia"/>
                <w:b/>
                <w:sz w:val="24"/>
                <w:szCs w:val="21"/>
              </w:rPr>
            </w:pPr>
          </w:p>
        </w:tc>
        <w:tc>
          <w:tcPr>
            <w:tcW w:w="910" w:type="dxa"/>
            <w:vMerge w:val="continue"/>
          </w:tcPr>
          <w:p w14:paraId="05028848">
            <w:pPr>
              <w:adjustRightInd w:val="0"/>
              <w:snapToGrid w:val="0"/>
              <w:rPr>
                <w:rFonts w:asciiTheme="majorEastAsia" w:hAnsiTheme="majorEastAsia" w:eastAsiaTheme="majorEastAsia"/>
                <w:b/>
                <w:sz w:val="24"/>
                <w:szCs w:val="21"/>
              </w:rPr>
            </w:pPr>
          </w:p>
        </w:tc>
        <w:tc>
          <w:tcPr>
            <w:tcW w:w="8335" w:type="dxa"/>
            <w:gridSpan w:val="2"/>
          </w:tcPr>
          <w:p w14:paraId="615FAC3D">
            <w:pPr>
              <w:adjustRightInd w:val="0"/>
              <w:snapToGrid w:val="0"/>
              <w:rPr>
                <w:rFonts w:hint="eastAsia" w:asciiTheme="majorEastAsia" w:hAnsiTheme="majorEastAsia" w:eastAsiaTheme="majorEastAsia"/>
                <w:lang w:val="en-US" w:eastAsia="zh-CN"/>
              </w:rPr>
            </w:pPr>
            <w:r>
              <w:rPr>
                <w:rFonts w:hint="eastAsia" w:asciiTheme="majorEastAsia" w:hAnsiTheme="majorEastAsia" w:eastAsiaTheme="majorEastAsia"/>
              </w:rPr>
              <w:t>20</w:t>
            </w:r>
            <w:r>
              <w:rPr>
                <w:rFonts w:hint="eastAsia" w:asciiTheme="majorEastAsia" w:hAnsiTheme="majorEastAsia" w:eastAsiaTheme="majorEastAsia"/>
                <w:lang w:eastAsia="zh-CN"/>
              </w:rPr>
              <w:t>、</w:t>
            </w:r>
            <w:r>
              <w:rPr>
                <w:rFonts w:hint="eastAsia" w:asciiTheme="majorEastAsia" w:hAnsiTheme="majorEastAsia" w:eastAsiaTheme="majorEastAsia"/>
                <w:lang w:val="en-US" w:eastAsia="zh-CN"/>
              </w:rPr>
              <w:t>主机内软件主要功能：生理灌注模式，负压吸引模式，灌注吸引自动模式。</w:t>
            </w:r>
          </w:p>
          <w:p w14:paraId="074B2D97">
            <w:pPr>
              <w:adjustRightInd w:val="0"/>
              <w:snapToGrid w:val="0"/>
              <w:rPr>
                <w:rFonts w:ascii="宋体" w:hAnsi="宋体" w:cs="宋体"/>
                <w:b/>
                <w:sz w:val="20"/>
                <w:szCs w:val="20"/>
              </w:rPr>
            </w:pPr>
            <w:r>
              <w:rPr>
                <w:rFonts w:hint="eastAsia" w:asciiTheme="majorEastAsia" w:hAnsiTheme="majorEastAsia" w:eastAsiaTheme="majorEastAsia"/>
              </w:rPr>
              <w:t>主机内嵌软件：拥有中华人民共和国国家版权局发布的计算机软件著作权登记证书</w:t>
            </w:r>
          </w:p>
        </w:tc>
        <w:tc>
          <w:tcPr>
            <w:tcW w:w="434" w:type="dxa"/>
          </w:tcPr>
          <w:p w14:paraId="5D3EDA44">
            <w:pPr>
              <w:adjustRightInd w:val="0"/>
              <w:snapToGrid w:val="0"/>
              <w:rPr>
                <w:rFonts w:asciiTheme="majorEastAsia" w:hAnsiTheme="majorEastAsia" w:eastAsiaTheme="majorEastAsia"/>
                <w:b/>
                <w:sz w:val="24"/>
                <w:szCs w:val="21"/>
              </w:rPr>
            </w:pPr>
          </w:p>
        </w:tc>
      </w:tr>
      <w:tr w14:paraId="6BC06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227" w:type="dxa"/>
            <w:gridSpan w:val="5"/>
          </w:tcPr>
          <w:p w14:paraId="6A3B4D4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5CE43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FC291A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462" w:type="dxa"/>
            <w:gridSpan w:val="2"/>
          </w:tcPr>
          <w:p w14:paraId="7C1A8B4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合同签订后并接采购人通知_____日历日内</w:t>
            </w:r>
            <w:r>
              <w:rPr>
                <w:rFonts w:hint="eastAsia"/>
                <w:b/>
                <w:bCs/>
                <w:color w:val="FF0000"/>
                <w:sz w:val="22"/>
                <w:szCs w:val="28"/>
                <w:lang w:val="en-US" w:eastAsia="zh-CN"/>
              </w:rPr>
              <w:t>（填写的数值</w:t>
            </w:r>
            <w:r>
              <w:rPr>
                <w:rFonts w:hint="eastAsia"/>
                <w:b/>
                <w:bCs w:val="0"/>
                <w:color w:val="FF0000"/>
                <w:lang w:val="en-US" w:eastAsia="zh-CN"/>
              </w:rPr>
              <w:t>≤</w:t>
            </w:r>
            <w:r>
              <w:rPr>
                <w:rFonts w:hint="eastAsia"/>
                <w:b/>
                <w:bCs/>
                <w:color w:val="FF0000"/>
                <w:sz w:val="22"/>
                <w:szCs w:val="28"/>
                <w:lang w:val="en-US" w:eastAsia="zh-CN"/>
              </w:rPr>
              <w:t>15 日历日内）</w:t>
            </w:r>
            <w:r>
              <w:rPr>
                <w:rFonts w:hint="eastAsia" w:asciiTheme="majorEastAsia" w:hAnsiTheme="majorEastAsia" w:eastAsiaTheme="majorEastAsia"/>
                <w:b/>
                <w:sz w:val="24"/>
                <w:szCs w:val="21"/>
              </w:rPr>
              <w:t>。</w:t>
            </w:r>
          </w:p>
        </w:tc>
      </w:tr>
      <w:tr w14:paraId="62A08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5348DD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462" w:type="dxa"/>
            <w:gridSpan w:val="2"/>
          </w:tcPr>
          <w:p w14:paraId="6EE0B04F">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38FD7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CEEF0F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462" w:type="dxa"/>
            <w:gridSpan w:val="2"/>
          </w:tcPr>
          <w:p w14:paraId="3934299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5317E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8F687A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462" w:type="dxa"/>
            <w:gridSpan w:val="2"/>
          </w:tcPr>
          <w:p w14:paraId="3B15C1C9">
            <w:pPr>
              <w:adjustRightInd w:val="0"/>
              <w:snapToGrid w:val="0"/>
              <w:ind w:firstLine="0" w:firstLineChars="0"/>
              <w:rPr>
                <w:rFonts w:asciiTheme="minorEastAsia" w:hAnsiTheme="minorEastAsia" w:eastAsiaTheme="minorEastAsia"/>
                <w:b w:val="0"/>
                <w:bCs/>
                <w:sz w:val="21"/>
                <w:szCs w:val="21"/>
              </w:rPr>
            </w:pPr>
            <w:r>
              <w:rPr>
                <w:rFonts w:hint="default" w:asciiTheme="minorEastAsia" w:hAnsiTheme="minorEastAsia" w:eastAsiaTheme="minorEastAsia"/>
                <w:b/>
                <w:bCs w:val="0"/>
                <w:sz w:val="21"/>
                <w:szCs w:val="21"/>
              </w:rPr>
              <w:t>合同总价≥3万付款方式：</w:t>
            </w:r>
          </w:p>
          <w:p w14:paraId="05080C24">
            <w:pPr>
              <w:adjustRightInd w:val="0"/>
              <w:snapToGrid w:val="0"/>
              <w:ind w:firstLine="0" w:firstLineChars="0"/>
              <w:rPr>
                <w:rFonts w:asciiTheme="minorEastAsia" w:hAnsiTheme="minorEastAsia" w:eastAsiaTheme="minorEastAsia"/>
                <w:b w:val="0"/>
                <w:bCs/>
                <w:sz w:val="21"/>
                <w:szCs w:val="21"/>
              </w:rPr>
            </w:pPr>
            <w:r>
              <w:rPr>
                <w:rFonts w:hint="default" w:asciiTheme="minorEastAsia" w:hAnsiTheme="minorEastAsia" w:eastAsiaTheme="minorEastAsia"/>
                <w:b w:val="0"/>
                <w:bCs/>
                <w:sz w:val="21"/>
                <w:szCs w:val="21"/>
              </w:rPr>
              <w:t>合同签订后三个工作日内，中标人将采购合同总价5%的履约保证金汇入采购人指定账户。货到清点、安装调试验收合格正常使用后，出具全额发票，采购人凭中标人提供的完整资料，自发票到达采购人财务之日起10个工作日内，支付100%合同货款到中标人指定账户。</w:t>
            </w:r>
          </w:p>
          <w:p w14:paraId="4EBD20A9">
            <w:pPr>
              <w:adjustRightInd w:val="0"/>
              <w:snapToGrid w:val="0"/>
              <w:ind w:firstLine="0" w:firstLineChars="0"/>
              <w:rPr>
                <w:rFonts w:hint="default" w:asciiTheme="minorEastAsia" w:hAnsiTheme="minorEastAsia" w:eastAsiaTheme="minorEastAsia"/>
                <w:b w:val="0"/>
                <w:bCs/>
                <w:sz w:val="21"/>
                <w:szCs w:val="21"/>
              </w:rPr>
            </w:pPr>
            <w:r>
              <w:rPr>
                <w:rFonts w:hint="default" w:asciiTheme="minorEastAsia" w:hAnsiTheme="minorEastAsia" w:eastAsiaTheme="minorEastAsia"/>
                <w:b w:val="0"/>
                <w:bCs/>
                <w:sz w:val="21"/>
                <w:szCs w:val="21"/>
              </w:rPr>
              <w:t>中标人向采购人支付合同总价5%的履约保证金，用于补偿采购人因中标人不履行/不妥善履行合同约定义务而蒙受的损失，如中标人不履行/不妥善履行合同约定义务的，采购人有权直接从履约保证金中扣除相应违约金/损失赔偿款项。如果在合同签订后至中标人履行完毕合同约定义务事项期间未发生中标人不履行或不妥善履行合同约定义务的情况，在中标人履行完毕合同约定义务事项后，中标人向采购人提供完整资料到达采购人财务之日起10个工作日内，采购人将履约保证金无息返还给中标人。</w:t>
            </w:r>
          </w:p>
          <w:p w14:paraId="4298806D">
            <w:pPr>
              <w:adjustRightInd w:val="0"/>
              <w:snapToGrid w:val="0"/>
              <w:ind w:firstLine="0" w:firstLineChars="0"/>
              <w:rPr>
                <w:rFonts w:hint="default" w:asciiTheme="minorEastAsia" w:hAnsiTheme="minorEastAsia" w:eastAsiaTheme="minorEastAsia"/>
                <w:b/>
                <w:bCs w:val="0"/>
                <w:sz w:val="21"/>
                <w:szCs w:val="21"/>
                <w:lang w:val="en-US" w:eastAsia="zh-CN"/>
              </w:rPr>
            </w:pPr>
            <w:r>
              <w:rPr>
                <w:rFonts w:hint="default" w:asciiTheme="minorEastAsia" w:hAnsiTheme="minorEastAsia" w:eastAsiaTheme="minorEastAsia"/>
                <w:b/>
                <w:bCs w:val="0"/>
                <w:sz w:val="21"/>
                <w:szCs w:val="21"/>
                <w:lang w:val="en-US" w:eastAsia="zh-CN"/>
              </w:rPr>
              <w:t>合同总价＜3万付款方式：</w:t>
            </w:r>
          </w:p>
          <w:p w14:paraId="13F4E9BA">
            <w:pPr>
              <w:adjustRightInd w:val="0"/>
              <w:snapToGrid w:val="0"/>
              <w:ind w:firstLine="0" w:firstLineChars="0"/>
              <w:rPr>
                <w:rFonts w:hint="eastAsia" w:asciiTheme="majorEastAsia" w:hAnsiTheme="majorEastAsia" w:eastAsiaTheme="majorEastAsia"/>
                <w:b/>
                <w:sz w:val="24"/>
                <w:szCs w:val="21"/>
              </w:rPr>
            </w:pPr>
            <w:r>
              <w:rPr>
                <w:rFonts w:hint="default" w:asciiTheme="minorEastAsia" w:hAnsiTheme="minorEastAsia" w:eastAsiaTheme="minorEastAsia"/>
                <w:b w:val="0"/>
                <w:bCs/>
                <w:sz w:val="21"/>
                <w:szCs w:val="21"/>
                <w:lang w:val="en-US" w:eastAsia="zh-CN"/>
              </w:rPr>
              <w:t>货到清点、安装调试验收合格正常使用后，出具全额发票，甲方凭乙方提供的完整资料，自发票到达甲方财务之日起10个工作日内，支付100%合同货款到乙方指定帐户。</w:t>
            </w:r>
          </w:p>
        </w:tc>
      </w:tr>
      <w:tr w14:paraId="6FEB7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7F06A4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462" w:type="dxa"/>
            <w:gridSpan w:val="2"/>
          </w:tcPr>
          <w:p w14:paraId="4938CE3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6BA95D1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672E9C3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1C885D9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759E2B5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0F83F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59ABC5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462" w:type="dxa"/>
            <w:gridSpan w:val="2"/>
          </w:tcPr>
          <w:p w14:paraId="3E01A91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6CD46E7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1415AE4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74857D0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439B04D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1F65DFD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526D21D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79C8240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3896E72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646DC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74652BC">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7BEAF74B">
            <w:pPr>
              <w:adjustRightInd w:val="0"/>
              <w:snapToGrid w:val="0"/>
              <w:rPr>
                <w:rFonts w:asciiTheme="majorEastAsia" w:hAnsiTheme="majorEastAsia" w:eastAsiaTheme="majorEastAsia"/>
                <w:sz w:val="24"/>
                <w:szCs w:val="21"/>
              </w:rPr>
            </w:pPr>
          </w:p>
        </w:tc>
        <w:tc>
          <w:tcPr>
            <w:tcW w:w="8462" w:type="dxa"/>
            <w:gridSpan w:val="2"/>
          </w:tcPr>
          <w:p w14:paraId="00D9E62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u w:val="single"/>
                <w:lang w:val="en-US" w:eastAsia="zh-CN"/>
              </w:rPr>
              <w:t xml:space="preserve">   </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rPr>
              <w:t>年（填写的数值≥</w:t>
            </w:r>
            <w:r>
              <w:rPr>
                <w:rFonts w:hint="eastAsia" w:asciiTheme="minorEastAsia" w:hAnsiTheme="minorEastAsia" w:eastAsiaTheme="minorEastAsia"/>
                <w:bCs/>
                <w:color w:val="FF0000"/>
                <w:szCs w:val="21"/>
                <w:lang w:val="en-US" w:eastAsia="zh-CN"/>
              </w:rPr>
              <w:t>5</w:t>
            </w:r>
            <w:r>
              <w:rPr>
                <w:rFonts w:hint="eastAsia" w:asciiTheme="minorEastAsia" w:hAnsiTheme="minorEastAsia" w:eastAsiaTheme="minorEastAsia"/>
                <w:bCs/>
                <w:color w:val="FF0000"/>
                <w:szCs w:val="21"/>
              </w:rPr>
              <w:t>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5870F03A">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5C1DA04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5436C58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393EAF3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4A95488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7EF0638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0C92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C91582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462" w:type="dxa"/>
            <w:gridSpan w:val="2"/>
          </w:tcPr>
          <w:p w14:paraId="127E086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73B4F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90517A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462" w:type="dxa"/>
            <w:gridSpan w:val="2"/>
          </w:tcPr>
          <w:p w14:paraId="14B864A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55502D0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74AF6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436B318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462" w:type="dxa"/>
            <w:gridSpan w:val="2"/>
            <w:tcBorders>
              <w:bottom w:val="single" w:color="auto" w:sz="4" w:space="0"/>
            </w:tcBorders>
          </w:tcPr>
          <w:p w14:paraId="08E4EA7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23A2D63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7C029157">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052063D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6AF3A69E">
      <w:pPr>
        <w:spacing w:line="540" w:lineRule="exact"/>
        <w:ind w:left="400" w:firstLine="0" w:firstLineChars="0"/>
        <w:jc w:val="center"/>
        <w:rPr>
          <w:rFonts w:hint="eastAsia" w:cs="方正小标宋简体" w:asciiTheme="majorEastAsia" w:hAnsiTheme="majorEastAsia" w:eastAsiaTheme="majorEastAsia"/>
          <w:b/>
          <w:sz w:val="36"/>
          <w:szCs w:val="36"/>
        </w:rPr>
      </w:pPr>
    </w:p>
    <w:p w14:paraId="6BEC6A5E">
      <w:pPr>
        <w:spacing w:line="540" w:lineRule="exact"/>
        <w:ind w:left="400" w:firstLine="0" w:firstLineChars="0"/>
        <w:jc w:val="center"/>
        <w:rPr>
          <w:rFonts w:hint="eastAsia"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第三部分 其他说明</w:t>
      </w:r>
    </w:p>
    <w:p w14:paraId="17B5D392">
      <w:pPr>
        <w:pStyle w:val="3"/>
        <w:ind w:left="400"/>
        <w:rPr>
          <w:rFonts w:hint="eastAsia" w:cs="Times New Roman" w:asciiTheme="majorEastAsia" w:hAnsiTheme="majorEastAsia" w:eastAsiaTheme="majorEastAsia"/>
          <w:sz w:val="28"/>
          <w:szCs w:val="24"/>
        </w:rPr>
      </w:pPr>
      <w:r>
        <w:rPr>
          <w:rFonts w:hint="eastAsia" w:cs="Times New Roman" w:asciiTheme="majorEastAsia" w:hAnsiTheme="majorEastAsia" w:eastAsiaTheme="majorEastAsia"/>
          <w:sz w:val="28"/>
          <w:szCs w:val="24"/>
        </w:rPr>
        <w:t>（如有需特殊说明的情况，请列明，包括但不限于设备有专机专用试剂耗材、安装场地要求、信息系统等特殊需求）</w:t>
      </w:r>
    </w:p>
    <w:tbl>
      <w:tblPr>
        <w:tblStyle w:val="9"/>
        <w:tblW w:w="10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7760"/>
      </w:tblGrid>
      <w:tr w14:paraId="1CFD8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60" w:type="dxa"/>
            <w:vAlign w:val="center"/>
          </w:tcPr>
          <w:p w14:paraId="345A6143">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有无配套耗材</w:t>
            </w:r>
          </w:p>
        </w:tc>
        <w:tc>
          <w:tcPr>
            <w:tcW w:w="7760" w:type="dxa"/>
            <w:vAlign w:val="center"/>
          </w:tcPr>
          <w:p w14:paraId="6983E2C2">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☑有配套耗材（是否专机专用：☑是 □否）（具体列明）：_一次性使用输尿管测压导引鞘_____________</w:t>
            </w:r>
          </w:p>
          <w:p w14:paraId="0E8DBB3B">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 xml:space="preserve">  是否有同类在库：□是 ☑否</w:t>
            </w:r>
          </w:p>
          <w:p w14:paraId="3BABACC5">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 xml:space="preserve">□无配套耗材 </w:t>
            </w:r>
          </w:p>
        </w:tc>
      </w:tr>
      <w:tr w14:paraId="277B0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60" w:type="dxa"/>
            <w:vAlign w:val="center"/>
          </w:tcPr>
          <w:p w14:paraId="5D19A551">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有无配套试剂</w:t>
            </w:r>
          </w:p>
        </w:tc>
        <w:tc>
          <w:tcPr>
            <w:tcW w:w="7760" w:type="dxa"/>
            <w:vAlign w:val="center"/>
          </w:tcPr>
          <w:p w14:paraId="2A050DA6">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□有配套试剂（是否专机专用：□是 □否）（具体列明）：___________</w:t>
            </w:r>
          </w:p>
          <w:p w14:paraId="551D17A4">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 xml:space="preserve">  是否有同类在库：□是 □否</w:t>
            </w:r>
          </w:p>
          <w:p w14:paraId="156E0538">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 xml:space="preserve">☑无配套试剂 </w:t>
            </w:r>
          </w:p>
        </w:tc>
      </w:tr>
      <w:tr w14:paraId="7D00B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60" w:type="dxa"/>
            <w:vAlign w:val="center"/>
          </w:tcPr>
          <w:p w14:paraId="4F357EAD">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安装场地特殊条件</w:t>
            </w:r>
          </w:p>
        </w:tc>
        <w:tc>
          <w:tcPr>
            <w:tcW w:w="7760" w:type="dxa"/>
            <w:vAlign w:val="center"/>
          </w:tcPr>
          <w:p w14:paraId="4145DEE9">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 xml:space="preserve">□有（具体列明）：______________________☑无   </w:t>
            </w:r>
          </w:p>
        </w:tc>
      </w:tr>
      <w:tr w14:paraId="325C4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60" w:type="dxa"/>
            <w:vAlign w:val="center"/>
          </w:tcPr>
          <w:p w14:paraId="160DC430">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信息系统配套设施（接口费等）</w:t>
            </w:r>
          </w:p>
        </w:tc>
        <w:tc>
          <w:tcPr>
            <w:tcW w:w="7760" w:type="dxa"/>
            <w:vAlign w:val="center"/>
          </w:tcPr>
          <w:p w14:paraId="7A013320">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□有（具体列明）：______________________</w:t>
            </w:r>
          </w:p>
          <w:p w14:paraId="4F9CF0ED">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 xml:space="preserve">☑无   </w:t>
            </w:r>
          </w:p>
        </w:tc>
      </w:tr>
      <w:tr w14:paraId="033B8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60" w:type="dxa"/>
            <w:vAlign w:val="center"/>
          </w:tcPr>
          <w:p w14:paraId="36A7111D">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是否三家以上生产厂家为中小微企业</w:t>
            </w:r>
          </w:p>
        </w:tc>
        <w:tc>
          <w:tcPr>
            <w:tcW w:w="7760" w:type="dxa"/>
            <w:vAlign w:val="center"/>
          </w:tcPr>
          <w:p w14:paraId="557907AF">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□是（具体列明）：□中型企业；☑小微企业</w:t>
            </w:r>
          </w:p>
          <w:p w14:paraId="7BF2B6E7">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□否</w:t>
            </w:r>
          </w:p>
        </w:tc>
      </w:tr>
      <w:tr w14:paraId="49D55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60" w:type="dxa"/>
            <w:vAlign w:val="center"/>
          </w:tcPr>
          <w:p w14:paraId="3B60F409">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设备使用年限</w:t>
            </w:r>
          </w:p>
        </w:tc>
        <w:tc>
          <w:tcPr>
            <w:tcW w:w="7760" w:type="dxa"/>
            <w:vAlign w:val="center"/>
          </w:tcPr>
          <w:p w14:paraId="3BA2790F">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5年</w:t>
            </w:r>
          </w:p>
        </w:tc>
      </w:tr>
      <w:tr w14:paraId="75822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60" w:type="dxa"/>
            <w:vAlign w:val="center"/>
          </w:tcPr>
          <w:p w14:paraId="27546AE8">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是否纳入医疗器械目录</w:t>
            </w:r>
          </w:p>
        </w:tc>
        <w:tc>
          <w:tcPr>
            <w:tcW w:w="7760" w:type="dxa"/>
            <w:vAlign w:val="center"/>
          </w:tcPr>
          <w:p w14:paraId="21B00ADD">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□有（具体列明）：□一类  ☑二类   □三类   □至少为   类</w:t>
            </w:r>
          </w:p>
          <w:p w14:paraId="2AD4905E">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 xml:space="preserve">□无  </w:t>
            </w:r>
          </w:p>
        </w:tc>
      </w:tr>
      <w:tr w14:paraId="184E7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60" w:type="dxa"/>
            <w:vAlign w:val="center"/>
          </w:tcPr>
          <w:p w14:paraId="3A4F53D6">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其他设备特殊资格要求</w:t>
            </w:r>
          </w:p>
        </w:tc>
        <w:tc>
          <w:tcPr>
            <w:tcW w:w="7760" w:type="dxa"/>
            <w:vAlign w:val="center"/>
          </w:tcPr>
          <w:p w14:paraId="1132700D">
            <w:pPr>
              <w:adjustRightInd w:val="0"/>
              <w:snapToGrid w:val="0"/>
              <w:spacing w:line="240" w:lineRule="auto"/>
              <w:ind w:firstLine="0" w:firstLineChars="0"/>
              <w:rPr>
                <w:rFonts w:hint="eastAsia" w:cs="Times New Roman" w:asciiTheme="majorEastAsia" w:hAnsiTheme="majorEastAsia" w:eastAsiaTheme="majorEastAsia"/>
                <w:b/>
                <w:sz w:val="24"/>
                <w:szCs w:val="21"/>
              </w:rPr>
            </w:pPr>
          </w:p>
        </w:tc>
      </w:tr>
    </w:tbl>
    <w:p w14:paraId="226AA121">
      <w:pPr>
        <w:spacing w:line="360" w:lineRule="auto"/>
        <w:ind w:firstLine="150" w:firstLineChars="100"/>
        <w:rPr>
          <w:rFonts w:cs="方正小标宋简体" w:asciiTheme="majorEastAsia" w:hAnsiTheme="majorEastAsia" w:eastAsiaTheme="majorEastAsia"/>
          <w:sz w:val="15"/>
          <w:szCs w:val="15"/>
        </w:rPr>
      </w:pPr>
    </w:p>
    <w:p w14:paraId="0C87972F">
      <w:pPr>
        <w:adjustRightInd w:val="0"/>
        <w:snapToGrid w:val="0"/>
        <w:spacing w:line="360" w:lineRule="auto"/>
        <w:jc w:val="center"/>
        <w:rPr>
          <w:rFonts w:asciiTheme="majorEastAsia" w:hAnsiTheme="majorEastAsia" w:eastAsiaTheme="majorEastAsia"/>
          <w:bCs/>
          <w:sz w:val="28"/>
        </w:rPr>
      </w:pPr>
      <w:r>
        <w:rPr>
          <w:rFonts w:hint="eastAsia" w:cs="方正小标宋简体" w:asciiTheme="majorEastAsia" w:hAnsiTheme="majorEastAsia" w:eastAsiaTheme="majorEastAsia"/>
          <w:b/>
          <w:sz w:val="36"/>
          <w:szCs w:val="36"/>
        </w:rPr>
        <w:t>第</w:t>
      </w:r>
      <w:r>
        <w:rPr>
          <w:rFonts w:hint="eastAsia" w:cs="方正小标宋简体" w:asciiTheme="majorEastAsia" w:hAnsiTheme="majorEastAsia" w:eastAsiaTheme="majorEastAsia"/>
          <w:b/>
          <w:sz w:val="36"/>
          <w:szCs w:val="36"/>
          <w:lang w:val="en-US" w:eastAsia="zh-CN"/>
        </w:rPr>
        <w:t>四</w:t>
      </w:r>
      <w:r>
        <w:rPr>
          <w:rFonts w:hint="eastAsia" w:cs="方正小标宋简体" w:asciiTheme="majorEastAsia" w:hAnsiTheme="majorEastAsia" w:eastAsiaTheme="majorEastAsia"/>
          <w:b/>
          <w:sz w:val="36"/>
          <w:szCs w:val="36"/>
        </w:rPr>
        <w:t>部分 设备主要维修配件、易损配件</w:t>
      </w:r>
    </w:p>
    <w:tbl>
      <w:tblPr>
        <w:tblStyle w:val="10"/>
        <w:tblW w:w="10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4253"/>
        <w:gridCol w:w="1842"/>
        <w:gridCol w:w="1276"/>
        <w:gridCol w:w="1095"/>
        <w:gridCol w:w="1276"/>
      </w:tblGrid>
      <w:tr w14:paraId="105B8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17" w:type="dxa"/>
            <w:vAlign w:val="center"/>
          </w:tcPr>
          <w:p w14:paraId="2FA5CBC1">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4253" w:type="dxa"/>
            <w:vAlign w:val="center"/>
          </w:tcPr>
          <w:p w14:paraId="10B7E45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1842" w:type="dxa"/>
            <w:vAlign w:val="center"/>
          </w:tcPr>
          <w:p w14:paraId="131FE36B">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1276" w:type="dxa"/>
            <w:vAlign w:val="center"/>
          </w:tcPr>
          <w:p w14:paraId="51F420F0">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1095" w:type="dxa"/>
            <w:vAlign w:val="center"/>
          </w:tcPr>
          <w:p w14:paraId="62CBB11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276" w:type="dxa"/>
            <w:vAlign w:val="center"/>
          </w:tcPr>
          <w:p w14:paraId="297737DC">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19705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17" w:type="dxa"/>
          </w:tcPr>
          <w:p w14:paraId="540E5A26">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1</w:t>
            </w:r>
          </w:p>
        </w:tc>
        <w:tc>
          <w:tcPr>
            <w:tcW w:w="4253" w:type="dxa"/>
            <w:vAlign w:val="center"/>
          </w:tcPr>
          <w:p w14:paraId="5829E334">
            <w:pPr>
              <w:widowControl/>
              <w:jc w:val="center"/>
              <w:textAlignment w:val="center"/>
              <w:rPr>
                <w:rFonts w:cs="方正小标宋简体" w:asciiTheme="majorEastAsia" w:hAnsiTheme="majorEastAsia" w:eastAsiaTheme="majorEastAsia"/>
                <w:sz w:val="24"/>
              </w:rPr>
            </w:pPr>
            <w:r>
              <w:rPr>
                <w:rFonts w:hint="eastAsia" w:ascii="宋体" w:hAnsi="宋体" w:cs="宋体"/>
                <w:color w:val="000000"/>
                <w:kern w:val="0"/>
                <w:sz w:val="20"/>
                <w:szCs w:val="20"/>
              </w:rPr>
              <w:t>①负压调节管道</w:t>
            </w:r>
          </w:p>
        </w:tc>
        <w:tc>
          <w:tcPr>
            <w:tcW w:w="1842" w:type="dxa"/>
            <w:vAlign w:val="center"/>
          </w:tcPr>
          <w:p w14:paraId="31BDE944">
            <w:pPr>
              <w:widowControl/>
              <w:jc w:val="center"/>
              <w:textAlignment w:val="center"/>
              <w:rPr>
                <w:rFonts w:cs="方正小标宋简体" w:asciiTheme="majorEastAsia" w:hAnsiTheme="majorEastAsia" w:eastAsiaTheme="majorEastAsia"/>
                <w:sz w:val="24"/>
              </w:rPr>
            </w:pPr>
          </w:p>
        </w:tc>
        <w:tc>
          <w:tcPr>
            <w:tcW w:w="1276" w:type="dxa"/>
          </w:tcPr>
          <w:p w14:paraId="4D0AE018">
            <w:pPr>
              <w:widowControl/>
              <w:adjustRightInd w:val="0"/>
              <w:snapToGrid w:val="0"/>
              <w:rPr>
                <w:rFonts w:cs="方正小标宋简体" w:asciiTheme="majorEastAsia" w:hAnsiTheme="majorEastAsia" w:eastAsiaTheme="majorEastAsia"/>
                <w:sz w:val="24"/>
              </w:rPr>
            </w:pPr>
          </w:p>
        </w:tc>
        <w:tc>
          <w:tcPr>
            <w:tcW w:w="1095" w:type="dxa"/>
          </w:tcPr>
          <w:p w14:paraId="4EE99ABC">
            <w:pPr>
              <w:widowControl/>
              <w:adjustRightInd w:val="0"/>
              <w:snapToGrid w:val="0"/>
              <w:rPr>
                <w:rFonts w:cs="方正小标宋简体" w:asciiTheme="majorEastAsia" w:hAnsiTheme="majorEastAsia" w:eastAsiaTheme="majorEastAsia"/>
                <w:sz w:val="24"/>
              </w:rPr>
            </w:pPr>
          </w:p>
        </w:tc>
        <w:tc>
          <w:tcPr>
            <w:tcW w:w="1276" w:type="dxa"/>
            <w:vAlign w:val="center"/>
          </w:tcPr>
          <w:p w14:paraId="4D74A07F">
            <w:pPr>
              <w:widowControl/>
              <w:jc w:val="center"/>
              <w:textAlignment w:val="center"/>
              <w:rPr>
                <w:rFonts w:cs="方正小标宋简体" w:asciiTheme="majorEastAsia" w:hAnsiTheme="majorEastAsia" w:eastAsiaTheme="majorEastAsia"/>
                <w:sz w:val="24"/>
              </w:rPr>
            </w:pPr>
          </w:p>
        </w:tc>
      </w:tr>
      <w:tr w14:paraId="369C0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17" w:type="dxa"/>
          </w:tcPr>
          <w:p w14:paraId="2FF3B633">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2</w:t>
            </w:r>
          </w:p>
        </w:tc>
        <w:tc>
          <w:tcPr>
            <w:tcW w:w="4253" w:type="dxa"/>
            <w:vAlign w:val="center"/>
          </w:tcPr>
          <w:p w14:paraId="02B10D75">
            <w:pPr>
              <w:widowControl/>
              <w:jc w:val="center"/>
              <w:textAlignment w:val="center"/>
              <w:rPr>
                <w:rFonts w:cs="方正小标宋简体" w:asciiTheme="majorEastAsia" w:hAnsiTheme="majorEastAsia" w:eastAsiaTheme="majorEastAsia"/>
                <w:sz w:val="24"/>
              </w:rPr>
            </w:pPr>
            <w:r>
              <w:rPr>
                <w:rFonts w:hint="eastAsia" w:ascii="宋体" w:hAnsi="宋体" w:cs="宋体"/>
                <w:color w:val="000000"/>
                <w:kern w:val="0"/>
                <w:sz w:val="20"/>
                <w:szCs w:val="20"/>
              </w:rPr>
              <w:t>②负压调节管道2+生物过滤器</w:t>
            </w:r>
          </w:p>
        </w:tc>
        <w:tc>
          <w:tcPr>
            <w:tcW w:w="1842" w:type="dxa"/>
            <w:vAlign w:val="center"/>
          </w:tcPr>
          <w:p w14:paraId="0D4FC0CB">
            <w:pPr>
              <w:widowControl/>
              <w:jc w:val="center"/>
              <w:textAlignment w:val="center"/>
              <w:rPr>
                <w:rFonts w:cs="方正小标宋简体" w:asciiTheme="majorEastAsia" w:hAnsiTheme="majorEastAsia" w:eastAsiaTheme="majorEastAsia"/>
                <w:sz w:val="24"/>
              </w:rPr>
            </w:pPr>
          </w:p>
        </w:tc>
        <w:tc>
          <w:tcPr>
            <w:tcW w:w="1276" w:type="dxa"/>
          </w:tcPr>
          <w:p w14:paraId="5FBB113C">
            <w:pPr>
              <w:widowControl/>
              <w:adjustRightInd w:val="0"/>
              <w:snapToGrid w:val="0"/>
              <w:rPr>
                <w:rFonts w:cs="方正小标宋简体" w:asciiTheme="majorEastAsia" w:hAnsiTheme="majorEastAsia" w:eastAsiaTheme="majorEastAsia"/>
                <w:sz w:val="24"/>
              </w:rPr>
            </w:pPr>
          </w:p>
        </w:tc>
        <w:tc>
          <w:tcPr>
            <w:tcW w:w="1095" w:type="dxa"/>
          </w:tcPr>
          <w:p w14:paraId="01E53AE8">
            <w:pPr>
              <w:widowControl/>
              <w:adjustRightInd w:val="0"/>
              <w:snapToGrid w:val="0"/>
              <w:rPr>
                <w:rFonts w:cs="方正小标宋简体" w:asciiTheme="majorEastAsia" w:hAnsiTheme="majorEastAsia" w:eastAsiaTheme="majorEastAsia"/>
                <w:sz w:val="24"/>
              </w:rPr>
            </w:pPr>
          </w:p>
        </w:tc>
        <w:tc>
          <w:tcPr>
            <w:tcW w:w="1276" w:type="dxa"/>
            <w:vAlign w:val="center"/>
          </w:tcPr>
          <w:p w14:paraId="6A7400C6">
            <w:pPr>
              <w:widowControl/>
              <w:jc w:val="center"/>
              <w:textAlignment w:val="center"/>
              <w:rPr>
                <w:rFonts w:cs="方正小标宋简体" w:asciiTheme="majorEastAsia" w:hAnsiTheme="majorEastAsia" w:eastAsiaTheme="majorEastAsia"/>
                <w:sz w:val="24"/>
              </w:rPr>
            </w:pPr>
          </w:p>
        </w:tc>
      </w:tr>
      <w:tr w14:paraId="79B53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17" w:type="dxa"/>
          </w:tcPr>
          <w:p w14:paraId="2EBCAD42">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3</w:t>
            </w:r>
          </w:p>
        </w:tc>
        <w:tc>
          <w:tcPr>
            <w:tcW w:w="4253" w:type="dxa"/>
            <w:vAlign w:val="center"/>
          </w:tcPr>
          <w:p w14:paraId="17FA4AD3">
            <w:pPr>
              <w:widowControl/>
              <w:jc w:val="center"/>
              <w:textAlignment w:val="center"/>
              <w:rPr>
                <w:rFonts w:cs="方正小标宋简体" w:asciiTheme="majorEastAsia" w:hAnsiTheme="majorEastAsia" w:eastAsiaTheme="majorEastAsia"/>
                <w:sz w:val="24"/>
              </w:rPr>
            </w:pPr>
            <w:r>
              <w:rPr>
                <w:rFonts w:hint="eastAsia" w:ascii="宋体" w:hAnsi="宋体" w:cs="宋体"/>
                <w:color w:val="000000"/>
                <w:kern w:val="0"/>
                <w:sz w:val="20"/>
                <w:szCs w:val="20"/>
              </w:rPr>
              <w:t>③中间管道</w:t>
            </w:r>
          </w:p>
        </w:tc>
        <w:tc>
          <w:tcPr>
            <w:tcW w:w="1842" w:type="dxa"/>
            <w:vAlign w:val="center"/>
          </w:tcPr>
          <w:p w14:paraId="73EF1974">
            <w:pPr>
              <w:widowControl/>
              <w:jc w:val="center"/>
              <w:textAlignment w:val="center"/>
              <w:rPr>
                <w:rFonts w:cs="方正小标宋简体" w:asciiTheme="majorEastAsia" w:hAnsiTheme="majorEastAsia" w:eastAsiaTheme="majorEastAsia"/>
                <w:sz w:val="24"/>
              </w:rPr>
            </w:pPr>
          </w:p>
        </w:tc>
        <w:tc>
          <w:tcPr>
            <w:tcW w:w="1276" w:type="dxa"/>
          </w:tcPr>
          <w:p w14:paraId="557ADFA8">
            <w:pPr>
              <w:widowControl/>
              <w:adjustRightInd w:val="0"/>
              <w:snapToGrid w:val="0"/>
              <w:rPr>
                <w:rFonts w:cs="方正小标宋简体" w:asciiTheme="majorEastAsia" w:hAnsiTheme="majorEastAsia" w:eastAsiaTheme="majorEastAsia"/>
                <w:sz w:val="24"/>
              </w:rPr>
            </w:pPr>
          </w:p>
        </w:tc>
        <w:tc>
          <w:tcPr>
            <w:tcW w:w="1095" w:type="dxa"/>
          </w:tcPr>
          <w:p w14:paraId="75EA389E">
            <w:pPr>
              <w:widowControl/>
              <w:adjustRightInd w:val="0"/>
              <w:snapToGrid w:val="0"/>
              <w:rPr>
                <w:rFonts w:cs="方正小标宋简体" w:asciiTheme="majorEastAsia" w:hAnsiTheme="majorEastAsia" w:eastAsiaTheme="majorEastAsia"/>
                <w:sz w:val="24"/>
              </w:rPr>
            </w:pPr>
          </w:p>
        </w:tc>
        <w:tc>
          <w:tcPr>
            <w:tcW w:w="1276" w:type="dxa"/>
            <w:vAlign w:val="center"/>
          </w:tcPr>
          <w:p w14:paraId="41C0FF7E">
            <w:pPr>
              <w:widowControl/>
              <w:jc w:val="center"/>
              <w:textAlignment w:val="center"/>
              <w:rPr>
                <w:rFonts w:cs="方正小标宋简体" w:asciiTheme="majorEastAsia" w:hAnsiTheme="majorEastAsia" w:eastAsiaTheme="majorEastAsia"/>
                <w:sz w:val="24"/>
              </w:rPr>
            </w:pPr>
          </w:p>
        </w:tc>
      </w:tr>
      <w:tr w14:paraId="3DD11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17" w:type="dxa"/>
          </w:tcPr>
          <w:p w14:paraId="2A0C535F">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4</w:t>
            </w:r>
          </w:p>
        </w:tc>
        <w:tc>
          <w:tcPr>
            <w:tcW w:w="4253" w:type="dxa"/>
            <w:vAlign w:val="center"/>
          </w:tcPr>
          <w:p w14:paraId="2BF6C523">
            <w:pPr>
              <w:widowControl/>
              <w:jc w:val="center"/>
              <w:textAlignment w:val="center"/>
              <w:rPr>
                <w:rFonts w:cs="方正小标宋简体" w:asciiTheme="majorEastAsia" w:hAnsiTheme="majorEastAsia" w:eastAsiaTheme="majorEastAsia"/>
                <w:sz w:val="24"/>
              </w:rPr>
            </w:pPr>
            <w:r>
              <w:rPr>
                <w:rFonts w:hint="eastAsia" w:ascii="宋体" w:hAnsi="宋体" w:cs="宋体"/>
                <w:color w:val="000000"/>
                <w:kern w:val="0"/>
                <w:sz w:val="20"/>
                <w:szCs w:val="20"/>
              </w:rPr>
              <w:t>④A一次性使用输尿管测压导引鞘吸引管道</w:t>
            </w:r>
          </w:p>
        </w:tc>
        <w:tc>
          <w:tcPr>
            <w:tcW w:w="1842" w:type="dxa"/>
            <w:vAlign w:val="center"/>
          </w:tcPr>
          <w:p w14:paraId="166BC85D">
            <w:pPr>
              <w:widowControl/>
              <w:jc w:val="center"/>
              <w:textAlignment w:val="center"/>
              <w:rPr>
                <w:rFonts w:cs="方正小标宋简体" w:asciiTheme="majorEastAsia" w:hAnsiTheme="majorEastAsia" w:eastAsiaTheme="majorEastAsia"/>
                <w:sz w:val="24"/>
              </w:rPr>
            </w:pPr>
          </w:p>
        </w:tc>
        <w:tc>
          <w:tcPr>
            <w:tcW w:w="1276" w:type="dxa"/>
          </w:tcPr>
          <w:p w14:paraId="488E87C4">
            <w:pPr>
              <w:widowControl/>
              <w:adjustRightInd w:val="0"/>
              <w:snapToGrid w:val="0"/>
              <w:rPr>
                <w:rFonts w:cs="方正小标宋简体" w:asciiTheme="majorEastAsia" w:hAnsiTheme="majorEastAsia" w:eastAsiaTheme="majorEastAsia"/>
                <w:sz w:val="24"/>
              </w:rPr>
            </w:pPr>
          </w:p>
        </w:tc>
        <w:tc>
          <w:tcPr>
            <w:tcW w:w="1095" w:type="dxa"/>
          </w:tcPr>
          <w:p w14:paraId="40CEDC40">
            <w:pPr>
              <w:widowControl/>
              <w:adjustRightInd w:val="0"/>
              <w:snapToGrid w:val="0"/>
              <w:rPr>
                <w:rFonts w:cs="方正小标宋简体" w:asciiTheme="majorEastAsia" w:hAnsiTheme="majorEastAsia" w:eastAsiaTheme="majorEastAsia"/>
                <w:sz w:val="24"/>
              </w:rPr>
            </w:pPr>
          </w:p>
        </w:tc>
        <w:tc>
          <w:tcPr>
            <w:tcW w:w="1276" w:type="dxa"/>
            <w:vAlign w:val="center"/>
          </w:tcPr>
          <w:p w14:paraId="66E22747">
            <w:pPr>
              <w:widowControl/>
              <w:jc w:val="center"/>
              <w:textAlignment w:val="center"/>
              <w:rPr>
                <w:rFonts w:cs="方正小标宋简体" w:asciiTheme="majorEastAsia" w:hAnsiTheme="majorEastAsia" w:eastAsiaTheme="majorEastAsia"/>
                <w:sz w:val="24"/>
              </w:rPr>
            </w:pPr>
          </w:p>
        </w:tc>
      </w:tr>
      <w:tr w14:paraId="1B73F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17" w:type="dxa"/>
          </w:tcPr>
          <w:p w14:paraId="51996E1D">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5</w:t>
            </w:r>
          </w:p>
        </w:tc>
        <w:tc>
          <w:tcPr>
            <w:tcW w:w="4253" w:type="dxa"/>
            <w:vAlign w:val="center"/>
          </w:tcPr>
          <w:p w14:paraId="7416CFD7">
            <w:pPr>
              <w:widowControl/>
              <w:jc w:val="center"/>
              <w:textAlignment w:val="center"/>
              <w:rPr>
                <w:rFonts w:cs="方正小标宋简体" w:asciiTheme="majorEastAsia" w:hAnsiTheme="majorEastAsia" w:eastAsiaTheme="majorEastAsia"/>
                <w:sz w:val="24"/>
              </w:rPr>
            </w:pPr>
            <w:r>
              <w:rPr>
                <w:rFonts w:hint="eastAsia" w:ascii="宋体" w:hAnsi="宋体" w:cs="宋体"/>
                <w:color w:val="000000"/>
                <w:kern w:val="0"/>
                <w:sz w:val="20"/>
                <w:szCs w:val="20"/>
              </w:rPr>
              <w:t>⑤液体灌注管道+鲁尔接头</w:t>
            </w:r>
          </w:p>
        </w:tc>
        <w:tc>
          <w:tcPr>
            <w:tcW w:w="1842" w:type="dxa"/>
            <w:vAlign w:val="center"/>
          </w:tcPr>
          <w:p w14:paraId="500A3A7B">
            <w:pPr>
              <w:widowControl/>
              <w:jc w:val="center"/>
              <w:textAlignment w:val="center"/>
              <w:rPr>
                <w:rFonts w:cs="方正小标宋简体" w:asciiTheme="majorEastAsia" w:hAnsiTheme="majorEastAsia" w:eastAsiaTheme="majorEastAsia"/>
                <w:sz w:val="24"/>
              </w:rPr>
            </w:pPr>
          </w:p>
        </w:tc>
        <w:tc>
          <w:tcPr>
            <w:tcW w:w="1276" w:type="dxa"/>
          </w:tcPr>
          <w:p w14:paraId="661CA870">
            <w:pPr>
              <w:widowControl/>
              <w:adjustRightInd w:val="0"/>
              <w:snapToGrid w:val="0"/>
              <w:rPr>
                <w:rFonts w:cs="方正小标宋简体" w:asciiTheme="majorEastAsia" w:hAnsiTheme="majorEastAsia" w:eastAsiaTheme="majorEastAsia"/>
                <w:sz w:val="24"/>
              </w:rPr>
            </w:pPr>
          </w:p>
        </w:tc>
        <w:tc>
          <w:tcPr>
            <w:tcW w:w="1095" w:type="dxa"/>
          </w:tcPr>
          <w:p w14:paraId="5E7ACA42">
            <w:pPr>
              <w:widowControl/>
              <w:adjustRightInd w:val="0"/>
              <w:snapToGrid w:val="0"/>
              <w:rPr>
                <w:rFonts w:cs="方正小标宋简体" w:asciiTheme="majorEastAsia" w:hAnsiTheme="majorEastAsia" w:eastAsiaTheme="majorEastAsia"/>
                <w:sz w:val="24"/>
              </w:rPr>
            </w:pPr>
          </w:p>
        </w:tc>
        <w:tc>
          <w:tcPr>
            <w:tcW w:w="1276" w:type="dxa"/>
            <w:vAlign w:val="center"/>
          </w:tcPr>
          <w:p w14:paraId="0DFC5E53">
            <w:pPr>
              <w:widowControl/>
              <w:jc w:val="center"/>
              <w:textAlignment w:val="center"/>
              <w:rPr>
                <w:rFonts w:cs="方正小标宋简体" w:asciiTheme="majorEastAsia" w:hAnsiTheme="majorEastAsia" w:eastAsiaTheme="majorEastAsia"/>
                <w:sz w:val="24"/>
              </w:rPr>
            </w:pPr>
          </w:p>
        </w:tc>
      </w:tr>
      <w:tr w14:paraId="08C3C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17" w:type="dxa"/>
          </w:tcPr>
          <w:p w14:paraId="49AEDDF9">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6</w:t>
            </w:r>
          </w:p>
        </w:tc>
        <w:tc>
          <w:tcPr>
            <w:tcW w:w="4253" w:type="dxa"/>
            <w:vAlign w:val="center"/>
          </w:tcPr>
          <w:p w14:paraId="52264946">
            <w:pPr>
              <w:widowControl/>
              <w:jc w:val="center"/>
              <w:textAlignment w:val="center"/>
              <w:rPr>
                <w:rFonts w:cs="方正小标宋简体" w:asciiTheme="majorEastAsia" w:hAnsiTheme="majorEastAsia" w:eastAsiaTheme="majorEastAsia"/>
                <w:sz w:val="24"/>
              </w:rPr>
            </w:pPr>
            <w:r>
              <w:rPr>
                <w:rFonts w:hint="eastAsia" w:ascii="宋体" w:hAnsi="宋体" w:cs="宋体"/>
                <w:color w:val="000000"/>
                <w:kern w:val="0"/>
                <w:sz w:val="20"/>
                <w:szCs w:val="20"/>
              </w:rPr>
              <w:t>⑥蠕动泵管+双通头</w:t>
            </w:r>
          </w:p>
        </w:tc>
        <w:tc>
          <w:tcPr>
            <w:tcW w:w="1842" w:type="dxa"/>
            <w:vAlign w:val="center"/>
          </w:tcPr>
          <w:p w14:paraId="7DB3D5F6">
            <w:pPr>
              <w:widowControl/>
              <w:jc w:val="center"/>
              <w:textAlignment w:val="center"/>
              <w:rPr>
                <w:rFonts w:cs="方正小标宋简体" w:asciiTheme="majorEastAsia" w:hAnsiTheme="majorEastAsia" w:eastAsiaTheme="majorEastAsia"/>
                <w:sz w:val="24"/>
              </w:rPr>
            </w:pPr>
          </w:p>
        </w:tc>
        <w:tc>
          <w:tcPr>
            <w:tcW w:w="1276" w:type="dxa"/>
          </w:tcPr>
          <w:p w14:paraId="205A67EF">
            <w:pPr>
              <w:widowControl/>
              <w:adjustRightInd w:val="0"/>
              <w:snapToGrid w:val="0"/>
              <w:rPr>
                <w:rFonts w:cs="方正小标宋简体" w:asciiTheme="majorEastAsia" w:hAnsiTheme="majorEastAsia" w:eastAsiaTheme="majorEastAsia"/>
                <w:sz w:val="24"/>
              </w:rPr>
            </w:pPr>
          </w:p>
        </w:tc>
        <w:tc>
          <w:tcPr>
            <w:tcW w:w="1095" w:type="dxa"/>
          </w:tcPr>
          <w:p w14:paraId="15C4AF3A">
            <w:pPr>
              <w:widowControl/>
              <w:adjustRightInd w:val="0"/>
              <w:snapToGrid w:val="0"/>
              <w:rPr>
                <w:rFonts w:cs="方正小标宋简体" w:asciiTheme="majorEastAsia" w:hAnsiTheme="majorEastAsia" w:eastAsiaTheme="majorEastAsia"/>
                <w:sz w:val="24"/>
              </w:rPr>
            </w:pPr>
          </w:p>
        </w:tc>
        <w:tc>
          <w:tcPr>
            <w:tcW w:w="1276" w:type="dxa"/>
            <w:vAlign w:val="center"/>
          </w:tcPr>
          <w:p w14:paraId="39DD4233">
            <w:pPr>
              <w:widowControl/>
              <w:jc w:val="center"/>
              <w:textAlignment w:val="center"/>
              <w:rPr>
                <w:rFonts w:cs="方正小标宋简体" w:asciiTheme="majorEastAsia" w:hAnsiTheme="majorEastAsia" w:eastAsiaTheme="majorEastAsia"/>
                <w:sz w:val="24"/>
              </w:rPr>
            </w:pPr>
          </w:p>
        </w:tc>
      </w:tr>
    </w:tbl>
    <w:p w14:paraId="7AD88CA7">
      <w:pPr>
        <w:rPr>
          <w:rFonts w:cs="方正小标宋简体" w:asciiTheme="majorEastAsia" w:hAnsiTheme="majorEastAsia" w:eastAsiaTheme="majorEastAsia"/>
          <w:sz w:val="36"/>
          <w:szCs w:val="36"/>
        </w:rPr>
      </w:pPr>
    </w:p>
    <w:tbl>
      <w:tblPr>
        <w:tblStyle w:val="9"/>
        <w:tblW w:w="10398" w:type="dxa"/>
        <w:tblInd w:w="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109"/>
        <w:gridCol w:w="3560"/>
        <w:gridCol w:w="1304"/>
        <w:gridCol w:w="1743"/>
        <w:gridCol w:w="2682"/>
      </w:tblGrid>
      <w:tr w14:paraId="6AD99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19" w:hRule="atLeast"/>
        </w:trPr>
        <w:tc>
          <w:tcPr>
            <w:tcW w:w="1109" w:type="dxa"/>
            <w:shd w:val="clear" w:color="auto" w:fill="auto"/>
            <w:noWrap/>
            <w:vAlign w:val="center"/>
          </w:tcPr>
          <w:p w14:paraId="3B1F5379">
            <w:pPr>
              <w:adjustRightInd w:val="0"/>
              <w:snapToGrid w:val="0"/>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项目</w:t>
            </w:r>
          </w:p>
          <w:p w14:paraId="55962DC1">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序号</w:t>
            </w:r>
          </w:p>
        </w:tc>
        <w:tc>
          <w:tcPr>
            <w:tcW w:w="3560" w:type="dxa"/>
            <w:shd w:val="clear" w:color="auto" w:fill="auto"/>
            <w:vAlign w:val="center"/>
          </w:tcPr>
          <w:p w14:paraId="7E8D4C22">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专机专用耗材(供参考)</w:t>
            </w:r>
          </w:p>
        </w:tc>
        <w:tc>
          <w:tcPr>
            <w:tcW w:w="1304" w:type="dxa"/>
            <w:shd w:val="clear" w:color="auto" w:fill="auto"/>
            <w:vAlign w:val="center"/>
          </w:tcPr>
          <w:p w14:paraId="5F66C50D">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建议规格</w:t>
            </w:r>
          </w:p>
        </w:tc>
        <w:tc>
          <w:tcPr>
            <w:tcW w:w="1743" w:type="dxa"/>
            <w:shd w:val="clear" w:color="auto" w:fill="auto"/>
            <w:vAlign w:val="center"/>
          </w:tcPr>
          <w:p w14:paraId="1A1FB460">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预估年用量</w:t>
            </w:r>
          </w:p>
        </w:tc>
        <w:tc>
          <w:tcPr>
            <w:tcW w:w="2682" w:type="dxa"/>
            <w:shd w:val="clear" w:color="auto" w:fill="auto"/>
            <w:vAlign w:val="center"/>
          </w:tcPr>
          <w:p w14:paraId="15F69FE2">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预算单价</w:t>
            </w:r>
            <w:r>
              <w:rPr>
                <w:rFonts w:hint="eastAsia" w:asciiTheme="majorEastAsia" w:hAnsiTheme="majorEastAsia" w:eastAsiaTheme="majorEastAsia"/>
                <w:b/>
                <w:sz w:val="24"/>
              </w:rPr>
              <w:t>（元）</w:t>
            </w:r>
          </w:p>
        </w:tc>
      </w:tr>
      <w:tr w14:paraId="3EC2E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40" w:hRule="atLeast"/>
        </w:trPr>
        <w:tc>
          <w:tcPr>
            <w:tcW w:w="1109" w:type="dxa"/>
            <w:shd w:val="clear" w:color="auto" w:fill="auto"/>
            <w:vAlign w:val="center"/>
          </w:tcPr>
          <w:p w14:paraId="36AF6885">
            <w:pPr>
              <w:adjustRightInd w:val="0"/>
              <w:snapToGrid w:val="0"/>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3560" w:type="dxa"/>
            <w:shd w:val="clear" w:color="auto" w:fill="auto"/>
            <w:vAlign w:val="center"/>
          </w:tcPr>
          <w:p w14:paraId="1391861F">
            <w:pPr>
              <w:adjustRightInd w:val="0"/>
              <w:snapToGrid w:val="0"/>
              <w:jc w:val="center"/>
              <w:rPr>
                <w:rFonts w:hint="eastAsia"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rPr>
              <w:t>一次性使用输尿管测压导引鞘</w:t>
            </w:r>
          </w:p>
        </w:tc>
        <w:tc>
          <w:tcPr>
            <w:tcW w:w="1304" w:type="dxa"/>
            <w:shd w:val="clear" w:color="auto" w:fill="auto"/>
            <w:vAlign w:val="center"/>
          </w:tcPr>
          <w:p w14:paraId="544D85E8">
            <w:pPr>
              <w:adjustRightInd w:val="0"/>
              <w:snapToGrid w:val="0"/>
              <w:jc w:val="center"/>
              <w:rPr>
                <w:rFonts w:hint="default" w:asciiTheme="majorEastAsia" w:hAnsiTheme="majorEastAsia" w:eastAsiaTheme="majorEastAsia"/>
                <w:b/>
                <w:sz w:val="24"/>
                <w:szCs w:val="21"/>
                <w:lang w:val="en-US" w:eastAsia="zh-CN"/>
              </w:rPr>
            </w:pPr>
          </w:p>
        </w:tc>
        <w:tc>
          <w:tcPr>
            <w:tcW w:w="1743" w:type="dxa"/>
            <w:shd w:val="clear" w:color="auto" w:fill="auto"/>
            <w:vAlign w:val="center"/>
          </w:tcPr>
          <w:p w14:paraId="3BC87BDF">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100</w:t>
            </w:r>
          </w:p>
        </w:tc>
        <w:tc>
          <w:tcPr>
            <w:tcW w:w="2682" w:type="dxa"/>
            <w:shd w:val="clear" w:color="auto" w:fill="auto"/>
            <w:vAlign w:val="center"/>
          </w:tcPr>
          <w:p w14:paraId="73C9C4A3">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2800</w:t>
            </w:r>
          </w:p>
        </w:tc>
      </w:tr>
    </w:tbl>
    <w:p w14:paraId="36AB2150">
      <w:pPr>
        <w:rPr>
          <w:rFonts w:cs="方正小标宋简体" w:asciiTheme="majorEastAsia" w:hAnsiTheme="majorEastAsia" w:eastAsiaTheme="majorEastAsia"/>
          <w:sz w:val="10"/>
          <w:szCs w:val="10"/>
        </w:rPr>
      </w:pPr>
    </w:p>
    <w:sectPr>
      <w:footerReference r:id="rId3" w:type="default"/>
      <w:pgSz w:w="11906" w:h="16838"/>
      <w:pgMar w:top="284" w:right="851" w:bottom="284" w:left="851" w:header="113" w:footer="11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sdtPr>
    <w:sdtContent>
      <w:sdt>
        <w:sdtPr>
          <w:id w:val="171357217"/>
        </w:sdtPr>
        <w:sdtContent>
          <w:p w14:paraId="375C8BEF">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14:paraId="00A7F2A6">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trackRevisions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03"/>
    <w:rsid w:val="00005907"/>
    <w:rsid w:val="00007F09"/>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6D84"/>
    <w:rsid w:val="00100E5F"/>
    <w:rsid w:val="00114A9B"/>
    <w:rsid w:val="00117159"/>
    <w:rsid w:val="00117B29"/>
    <w:rsid w:val="00122AB5"/>
    <w:rsid w:val="00141F0D"/>
    <w:rsid w:val="00147AA8"/>
    <w:rsid w:val="00147DE0"/>
    <w:rsid w:val="00162C8C"/>
    <w:rsid w:val="00164210"/>
    <w:rsid w:val="0017347E"/>
    <w:rsid w:val="00173505"/>
    <w:rsid w:val="001755A1"/>
    <w:rsid w:val="0018628F"/>
    <w:rsid w:val="001965E5"/>
    <w:rsid w:val="001A4ACA"/>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64621"/>
    <w:rsid w:val="002850D0"/>
    <w:rsid w:val="002956A8"/>
    <w:rsid w:val="0029701C"/>
    <w:rsid w:val="00297C31"/>
    <w:rsid w:val="002B3785"/>
    <w:rsid w:val="002F5D5E"/>
    <w:rsid w:val="00307648"/>
    <w:rsid w:val="003213BB"/>
    <w:rsid w:val="00321F08"/>
    <w:rsid w:val="00322AE6"/>
    <w:rsid w:val="00326BC1"/>
    <w:rsid w:val="00334AA0"/>
    <w:rsid w:val="00350BA3"/>
    <w:rsid w:val="00352B55"/>
    <w:rsid w:val="00354F4C"/>
    <w:rsid w:val="00376AC2"/>
    <w:rsid w:val="003930D1"/>
    <w:rsid w:val="003942D3"/>
    <w:rsid w:val="0039648A"/>
    <w:rsid w:val="003B0496"/>
    <w:rsid w:val="003D442D"/>
    <w:rsid w:val="003D7EF0"/>
    <w:rsid w:val="0041239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11DC2"/>
    <w:rsid w:val="00523CD5"/>
    <w:rsid w:val="005275A8"/>
    <w:rsid w:val="00535190"/>
    <w:rsid w:val="00536A02"/>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51D42"/>
    <w:rsid w:val="00654133"/>
    <w:rsid w:val="00662021"/>
    <w:rsid w:val="00662B11"/>
    <w:rsid w:val="006B4D8F"/>
    <w:rsid w:val="006C7CF0"/>
    <w:rsid w:val="006D28AF"/>
    <w:rsid w:val="006D3D0D"/>
    <w:rsid w:val="006D571D"/>
    <w:rsid w:val="007024B9"/>
    <w:rsid w:val="007130B5"/>
    <w:rsid w:val="00716C4F"/>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619CD"/>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1F74"/>
    <w:rsid w:val="00996AC8"/>
    <w:rsid w:val="009978E3"/>
    <w:rsid w:val="009A130E"/>
    <w:rsid w:val="009A1DE2"/>
    <w:rsid w:val="009B5AA8"/>
    <w:rsid w:val="009E6FD2"/>
    <w:rsid w:val="009F5BF6"/>
    <w:rsid w:val="00A043A8"/>
    <w:rsid w:val="00A0782D"/>
    <w:rsid w:val="00A17D1D"/>
    <w:rsid w:val="00A303A3"/>
    <w:rsid w:val="00A619BE"/>
    <w:rsid w:val="00A64843"/>
    <w:rsid w:val="00A903C7"/>
    <w:rsid w:val="00AA4B4A"/>
    <w:rsid w:val="00AA6962"/>
    <w:rsid w:val="00AB2610"/>
    <w:rsid w:val="00AF5FA9"/>
    <w:rsid w:val="00AF7A87"/>
    <w:rsid w:val="00B01564"/>
    <w:rsid w:val="00B06C01"/>
    <w:rsid w:val="00B21F51"/>
    <w:rsid w:val="00B22795"/>
    <w:rsid w:val="00B25EF8"/>
    <w:rsid w:val="00B63890"/>
    <w:rsid w:val="00B74119"/>
    <w:rsid w:val="00B82233"/>
    <w:rsid w:val="00B96C65"/>
    <w:rsid w:val="00BA17A1"/>
    <w:rsid w:val="00BA5B17"/>
    <w:rsid w:val="00BC4EC7"/>
    <w:rsid w:val="00BC5AE8"/>
    <w:rsid w:val="00BF1CC2"/>
    <w:rsid w:val="00BF69AA"/>
    <w:rsid w:val="00C03748"/>
    <w:rsid w:val="00C05356"/>
    <w:rsid w:val="00C11198"/>
    <w:rsid w:val="00C13828"/>
    <w:rsid w:val="00C26433"/>
    <w:rsid w:val="00C32BEC"/>
    <w:rsid w:val="00C35949"/>
    <w:rsid w:val="00C46532"/>
    <w:rsid w:val="00C52EBE"/>
    <w:rsid w:val="00C54364"/>
    <w:rsid w:val="00C55020"/>
    <w:rsid w:val="00C55FC3"/>
    <w:rsid w:val="00C619DD"/>
    <w:rsid w:val="00C67D6C"/>
    <w:rsid w:val="00C77FD8"/>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93F8F"/>
    <w:rsid w:val="00ED7224"/>
    <w:rsid w:val="00EF0BF4"/>
    <w:rsid w:val="00F0149B"/>
    <w:rsid w:val="00F07294"/>
    <w:rsid w:val="00F1549D"/>
    <w:rsid w:val="00F225D8"/>
    <w:rsid w:val="00F23DB0"/>
    <w:rsid w:val="00F30025"/>
    <w:rsid w:val="00F464BC"/>
    <w:rsid w:val="00F51185"/>
    <w:rsid w:val="00F60CB5"/>
    <w:rsid w:val="00F65BCF"/>
    <w:rsid w:val="00F6788A"/>
    <w:rsid w:val="00F81403"/>
    <w:rsid w:val="00F83533"/>
    <w:rsid w:val="00F945B0"/>
    <w:rsid w:val="00FB421E"/>
    <w:rsid w:val="00FC40CA"/>
    <w:rsid w:val="00FD0656"/>
    <w:rsid w:val="00FD23ED"/>
    <w:rsid w:val="00FF30DB"/>
    <w:rsid w:val="04F513BF"/>
    <w:rsid w:val="0611217C"/>
    <w:rsid w:val="07300CC3"/>
    <w:rsid w:val="07AE3385"/>
    <w:rsid w:val="08962DA7"/>
    <w:rsid w:val="0C265E1E"/>
    <w:rsid w:val="0F8E7447"/>
    <w:rsid w:val="119B6051"/>
    <w:rsid w:val="12A25084"/>
    <w:rsid w:val="142B2292"/>
    <w:rsid w:val="15FB47D0"/>
    <w:rsid w:val="19066E39"/>
    <w:rsid w:val="19A66D0D"/>
    <w:rsid w:val="1A385FE8"/>
    <w:rsid w:val="1C752FA8"/>
    <w:rsid w:val="1DC976ED"/>
    <w:rsid w:val="1E12700E"/>
    <w:rsid w:val="1E474146"/>
    <w:rsid w:val="20186307"/>
    <w:rsid w:val="213C22E6"/>
    <w:rsid w:val="21971856"/>
    <w:rsid w:val="2266075A"/>
    <w:rsid w:val="22E10C1D"/>
    <w:rsid w:val="243F1AD2"/>
    <w:rsid w:val="26F96584"/>
    <w:rsid w:val="279F35CF"/>
    <w:rsid w:val="2B252436"/>
    <w:rsid w:val="30694209"/>
    <w:rsid w:val="31F12C79"/>
    <w:rsid w:val="3257668B"/>
    <w:rsid w:val="337E2FEA"/>
    <w:rsid w:val="359B56E2"/>
    <w:rsid w:val="366D6BB6"/>
    <w:rsid w:val="3A8532D9"/>
    <w:rsid w:val="3B5E3E74"/>
    <w:rsid w:val="3EB2662C"/>
    <w:rsid w:val="41083B3B"/>
    <w:rsid w:val="445F60B6"/>
    <w:rsid w:val="4C7327B1"/>
    <w:rsid w:val="4E280CF3"/>
    <w:rsid w:val="53560736"/>
    <w:rsid w:val="53B901C5"/>
    <w:rsid w:val="547774C8"/>
    <w:rsid w:val="55966D03"/>
    <w:rsid w:val="55D87B28"/>
    <w:rsid w:val="566D4594"/>
    <w:rsid w:val="58242AE0"/>
    <w:rsid w:val="58AB396B"/>
    <w:rsid w:val="5A2E5F30"/>
    <w:rsid w:val="5BB64468"/>
    <w:rsid w:val="5BC22E0D"/>
    <w:rsid w:val="5BDE3A84"/>
    <w:rsid w:val="5C483C8E"/>
    <w:rsid w:val="5ECF70C4"/>
    <w:rsid w:val="663B31C1"/>
    <w:rsid w:val="66AC0259"/>
    <w:rsid w:val="69304A87"/>
    <w:rsid w:val="69EB3E3B"/>
    <w:rsid w:val="6AFD60D5"/>
    <w:rsid w:val="6CF429E1"/>
    <w:rsid w:val="6F633413"/>
    <w:rsid w:val="6F9E571F"/>
    <w:rsid w:val="6FEF5D43"/>
    <w:rsid w:val="730B48BB"/>
    <w:rsid w:val="73374A1C"/>
    <w:rsid w:val="738F7392"/>
    <w:rsid w:val="762C283F"/>
    <w:rsid w:val="767D5D1E"/>
    <w:rsid w:val="76E03ABB"/>
    <w:rsid w:val="7A132FC7"/>
    <w:rsid w:val="7A6F030F"/>
    <w:rsid w:val="7A89169D"/>
    <w:rsid w:val="7BD3600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Char"/>
    <w:basedOn w:val="11"/>
    <w:link w:val="7"/>
    <w:qFormat/>
    <w:uiPriority w:val="99"/>
    <w:rPr>
      <w:sz w:val="18"/>
      <w:szCs w:val="18"/>
    </w:rPr>
  </w:style>
  <w:style w:type="character" w:customStyle="1" w:styleId="15">
    <w:name w:val="页脚 Char"/>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Char"/>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Char"/>
    <w:basedOn w:val="11"/>
    <w:link w:val="5"/>
    <w:semiHidden/>
    <w:qFormat/>
    <w:uiPriority w:val="99"/>
    <w:rPr>
      <w:rFonts w:ascii="Times New Roman" w:hAnsi="Times New Roman" w:eastAsia="宋体" w:cs="Times New Roman"/>
      <w:kern w:val="2"/>
      <w:sz w:val="18"/>
      <w:szCs w:val="18"/>
    </w:rPr>
  </w:style>
  <w:style w:type="character" w:customStyle="1" w:styleId="20">
    <w:name w:val="批注文字 Char"/>
    <w:basedOn w:val="11"/>
    <w:link w:val="2"/>
    <w:qFormat/>
    <w:uiPriority w:val="99"/>
    <w:rPr>
      <w:rFonts w:ascii="Times New Roman" w:hAnsi="Times New Roman" w:eastAsia="宋体" w:cs="Times New Roman"/>
      <w:kern w:val="2"/>
      <w:sz w:val="21"/>
      <w:szCs w:val="24"/>
    </w:rPr>
  </w:style>
  <w:style w:type="character" w:customStyle="1" w:styleId="21">
    <w:name w:val="批注主题 Char"/>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Char"/>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 w:type="paragraph" w:customStyle="1" w:styleId="24">
    <w:name w:val="引用1"/>
    <w:basedOn w:val="1"/>
    <w:next w:val="1"/>
    <w:qFormat/>
    <w:uiPriority w:val="0"/>
    <w:rPr>
      <w:rFonts w:ascii="Calibri" w:hAnsi="Calibri"/>
      <w: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5435</Words>
  <Characters>5702</Characters>
  <Lines>40</Lines>
  <Paragraphs>11</Paragraphs>
  <TotalTime>0</TotalTime>
  <ScaleCrop>false</ScaleCrop>
  <LinksUpToDate>false</LinksUpToDate>
  <CharactersWithSpaces>5795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2025-09-03T03:25:00Z</dcterms:created>
  <dc:creator>陈蕾</dc:creator>
  <cp:lastModifiedBy>5J1</cp:lastModifiedBy>
  <cp:lastPrinted>2025-08-12T09:17:00Z</cp:lastPrinted>
  <dcterms:modified xsi:type="dcterms:W3CDTF">2026-04-23T00:17:46Z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eyJoZGlkIjoiZDI0NjZlNzU2NTJmNmJhY2FhMzg3MGIyZDZiY2MwYWQiLCJ1c2VySWQiOiI0MDk2MjcxNDUifQ==</vt:lpwstr>
  </property>
  <property fmtid="{D5CDD505-2E9C-101B-9397-08002B2CF9AE}" pid="4" name="ICV">
    <vt:lpwstr>9072A544E0564B008F5E292AC5CF0205_13</vt:lpwstr>
  </property>
</Properties>
</file>