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011</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电子签名维护</w:t>
      </w:r>
      <w:r>
        <w:rPr>
          <w:rFonts w:hint="eastAsia" w:eastAsia="方正小标宋简体"/>
          <w:sz w:val="32"/>
          <w:lang w:val="en-US" w:eastAsia="zh-CN"/>
        </w:rPr>
        <w:t>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val="en-US" w:eastAsia="zh-CN"/>
        </w:rPr>
        <w:t>电子签名维护</w:t>
      </w:r>
      <w:r>
        <w:rPr>
          <w:rFonts w:hint="eastAsia"/>
          <w:kern w:val="0"/>
          <w:sz w:val="24"/>
          <w:szCs w:val="22"/>
        </w:rPr>
        <w:t>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11</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lang w:val="en-US" w:eastAsia="zh-CN"/>
        </w:rPr>
        <w:t>电子签名维护</w:t>
      </w:r>
      <w:r>
        <w:rPr>
          <w:rFonts w:hint="eastAsia"/>
          <w:kern w:val="0"/>
          <w:sz w:val="24"/>
          <w:szCs w:val="22"/>
        </w:rPr>
        <w:t>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15.5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15.5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lang w:val="en-US" w:eastAsia="zh-CN"/>
              </w:rPr>
              <w:t>电子签名维护</w:t>
            </w:r>
            <w:r>
              <w:rPr>
                <w:rFonts w:hint="eastAsia"/>
                <w:kern w:val="0"/>
                <w:sz w:val="24"/>
                <w:szCs w:val="22"/>
              </w:rPr>
              <w:t>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三十六个月</w:t>
      </w:r>
      <w:r>
        <w:rPr>
          <w:rFonts w:hint="eastAsia" w:ascii="宋体" w:hAnsi="宋体" w:eastAsia="宋体" w:cs="宋体"/>
          <w:b w:val="0"/>
          <w:bCs w:val="0"/>
          <w:sz w:val="24"/>
          <w:szCs w:val="24"/>
        </w:rPr>
        <w:t>，合同一年一签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4月9日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13</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4</w:t>
      </w:r>
      <w:r>
        <w:rPr>
          <w:kern w:val="0"/>
          <w:sz w:val="24"/>
          <w:szCs w:val="22"/>
          <w:highlight w:val="cyan"/>
        </w:rPr>
        <w:t>月</w:t>
      </w:r>
      <w:r>
        <w:rPr>
          <w:rFonts w:hint="eastAsia"/>
          <w:kern w:val="0"/>
          <w:sz w:val="24"/>
          <w:szCs w:val="22"/>
          <w:highlight w:val="cyan"/>
          <w:lang w:val="en-US" w:eastAsia="zh-CN"/>
        </w:rPr>
        <w:t>16</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四</w:t>
      </w:r>
      <w:bookmarkStart w:id="76" w:name="_GoBack"/>
      <w:bookmarkEnd w:id="76"/>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3：0</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eastAsia="宋体"/>
          <w:b w:val="0"/>
          <w:bCs w:val="0"/>
          <w:sz w:val="24"/>
          <w:lang w:val="en-US" w:eastAsia="zh-CN"/>
        </w:rPr>
        <w:t>采购人</w:t>
      </w:r>
      <w:r>
        <w:rPr>
          <w:rFonts w:hint="eastAsia" w:eastAsia="宋体"/>
          <w:b w:val="0"/>
          <w:bCs w:val="0"/>
          <w:sz w:val="24"/>
        </w:rPr>
        <w:t>已完成移动医疗云签署服务系统项目的建设，现需与采购移动医疗云签署服务系统维护服务，全力保障项目的正常运行及全院范围内各科室系统的正常使用，对数字证书进行证书签发以及更新、维护、注销等业务服务与咨询工作。</w:t>
      </w:r>
    </w:p>
    <w:p w14:paraId="73F858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6" w:leftChars="0" w:firstLine="420" w:firstLineChars="0"/>
        <w:textAlignment w:val="auto"/>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（二）</w:t>
      </w:r>
      <w:r>
        <w:rPr>
          <w:rFonts w:hint="eastAsia" w:eastAsia="宋体"/>
          <w:b/>
          <w:bCs/>
          <w:sz w:val="24"/>
        </w:rPr>
        <w:t>服务及技术要求</w:t>
      </w:r>
    </w:p>
    <w:tbl>
      <w:tblPr>
        <w:tblStyle w:val="2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1418"/>
        <w:gridCol w:w="5670"/>
      </w:tblGrid>
      <w:tr w14:paraId="3123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04" w:type="dxa"/>
            <w:noWrap w:val="0"/>
            <w:vAlign w:val="center"/>
          </w:tcPr>
          <w:p w14:paraId="67E33ECE">
            <w:pPr>
              <w:jc w:val="center"/>
              <w:rPr>
                <w:rFonts w:ascii="宋体" w:hAnsi="宋体" w:cs="宋体"/>
                <w:b/>
                <w:bCs/>
                <w:szCs w:val="21"/>
              </w:rPr>
            </w:pPr>
            <w:r>
              <w:rPr>
                <w:rFonts w:hint="eastAsia" w:ascii="宋体" w:hAnsi="宋体" w:cs="宋体"/>
                <w:b/>
                <w:bCs/>
                <w:szCs w:val="21"/>
              </w:rPr>
              <w:t>序号</w:t>
            </w:r>
          </w:p>
        </w:tc>
        <w:tc>
          <w:tcPr>
            <w:tcW w:w="1134" w:type="dxa"/>
            <w:noWrap w:val="0"/>
            <w:vAlign w:val="center"/>
          </w:tcPr>
          <w:p w14:paraId="491DDC2D">
            <w:pPr>
              <w:jc w:val="center"/>
              <w:rPr>
                <w:rFonts w:ascii="宋体" w:hAnsi="宋体" w:cs="宋体"/>
                <w:b/>
                <w:bCs/>
                <w:szCs w:val="21"/>
              </w:rPr>
            </w:pPr>
            <w:r>
              <w:rPr>
                <w:rFonts w:hint="eastAsia" w:ascii="宋体" w:hAnsi="宋体" w:cs="宋体"/>
                <w:b/>
                <w:bCs/>
                <w:szCs w:val="21"/>
              </w:rPr>
              <w:t>项目</w:t>
            </w:r>
          </w:p>
        </w:tc>
        <w:tc>
          <w:tcPr>
            <w:tcW w:w="1418" w:type="dxa"/>
            <w:noWrap w:val="0"/>
            <w:vAlign w:val="center"/>
          </w:tcPr>
          <w:p w14:paraId="0C48BCC2">
            <w:pPr>
              <w:jc w:val="center"/>
              <w:rPr>
                <w:rFonts w:ascii="宋体" w:hAnsi="宋体" w:cs="宋体"/>
                <w:b/>
                <w:bCs/>
                <w:szCs w:val="21"/>
              </w:rPr>
            </w:pPr>
            <w:r>
              <w:rPr>
                <w:rFonts w:hint="eastAsia" w:ascii="宋体" w:hAnsi="宋体" w:cs="宋体"/>
                <w:b/>
                <w:bCs/>
                <w:szCs w:val="21"/>
              </w:rPr>
              <w:t>明细</w:t>
            </w:r>
          </w:p>
        </w:tc>
        <w:tc>
          <w:tcPr>
            <w:tcW w:w="5670" w:type="dxa"/>
            <w:noWrap w:val="0"/>
            <w:vAlign w:val="center"/>
          </w:tcPr>
          <w:p w14:paraId="66DDA118">
            <w:pPr>
              <w:jc w:val="center"/>
              <w:rPr>
                <w:rFonts w:ascii="宋体" w:hAnsi="宋体" w:cs="宋体"/>
                <w:b/>
                <w:bCs/>
                <w:szCs w:val="21"/>
              </w:rPr>
            </w:pPr>
            <w:r>
              <w:rPr>
                <w:rFonts w:hint="eastAsia" w:ascii="宋体" w:hAnsi="宋体" w:cs="宋体"/>
                <w:b/>
                <w:bCs/>
                <w:szCs w:val="21"/>
              </w:rPr>
              <w:t>技术参数</w:t>
            </w:r>
          </w:p>
        </w:tc>
      </w:tr>
      <w:tr w14:paraId="7D18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4" w:type="dxa"/>
            <w:vMerge w:val="restart"/>
            <w:noWrap w:val="0"/>
            <w:vAlign w:val="center"/>
          </w:tcPr>
          <w:p w14:paraId="5FC79340">
            <w:pPr>
              <w:jc w:val="center"/>
              <w:rPr>
                <w:rFonts w:ascii="宋体" w:hAnsi="宋体" w:cs="宋体"/>
                <w:szCs w:val="21"/>
              </w:rPr>
            </w:pPr>
            <w:r>
              <w:rPr>
                <w:rFonts w:hint="eastAsia" w:ascii="宋体" w:hAnsi="宋体" w:cs="宋体"/>
                <w:szCs w:val="21"/>
              </w:rPr>
              <w:t>1</w:t>
            </w:r>
          </w:p>
        </w:tc>
        <w:tc>
          <w:tcPr>
            <w:tcW w:w="1134" w:type="dxa"/>
            <w:vMerge w:val="restart"/>
            <w:noWrap w:val="0"/>
            <w:vAlign w:val="center"/>
          </w:tcPr>
          <w:p w14:paraId="01EBE78B">
            <w:pPr>
              <w:jc w:val="center"/>
              <w:rPr>
                <w:rFonts w:ascii="宋体" w:hAnsi="宋体" w:cs="宋体"/>
                <w:szCs w:val="21"/>
              </w:rPr>
            </w:pPr>
            <w:r>
              <w:rPr>
                <w:rFonts w:hint="eastAsia" w:ascii="宋体" w:hAnsi="宋体" w:cs="宋体"/>
                <w:szCs w:val="21"/>
              </w:rPr>
              <w:t>数字证书</w:t>
            </w:r>
            <w:r>
              <w:rPr>
                <w:rFonts w:hint="eastAsia" w:ascii="宋体" w:hAnsi="宋体" w:cs="宋体"/>
                <w:szCs w:val="21"/>
                <w:lang w:val="en-US" w:eastAsia="zh-CN"/>
              </w:rPr>
              <w:t>更新</w:t>
            </w:r>
            <w:r>
              <w:rPr>
                <w:rFonts w:hint="eastAsia" w:ascii="宋体" w:hAnsi="宋体" w:cs="宋体"/>
                <w:szCs w:val="21"/>
              </w:rPr>
              <w:t>服务</w:t>
            </w:r>
          </w:p>
        </w:tc>
        <w:tc>
          <w:tcPr>
            <w:tcW w:w="1418" w:type="dxa"/>
            <w:vMerge w:val="restart"/>
            <w:noWrap w:val="0"/>
            <w:vAlign w:val="center"/>
          </w:tcPr>
          <w:p w14:paraId="7D82BE27">
            <w:pPr>
              <w:pStyle w:val="41"/>
              <w:numPr>
                <w:ilvl w:val="1"/>
                <w:numId w:val="7"/>
              </w:numPr>
              <w:ind w:left="355" w:firstLineChars="0"/>
              <w:rPr>
                <w:rFonts w:ascii="宋体" w:hAnsi="宋体" w:cs="宋体"/>
                <w:szCs w:val="21"/>
              </w:rPr>
            </w:pPr>
            <w:r>
              <w:rPr>
                <w:rFonts w:hint="eastAsia" w:ascii="宋体" w:hAnsi="宋体" w:cs="宋体"/>
                <w:szCs w:val="21"/>
              </w:rPr>
              <w:t>整体要求</w:t>
            </w:r>
          </w:p>
        </w:tc>
        <w:tc>
          <w:tcPr>
            <w:tcW w:w="5670" w:type="dxa"/>
            <w:noWrap w:val="0"/>
            <w:vAlign w:val="center"/>
          </w:tcPr>
          <w:p w14:paraId="7B601A25">
            <w:pPr>
              <w:spacing w:line="288" w:lineRule="auto"/>
              <w:jc w:val="left"/>
              <w:rPr>
                <w:rFonts w:ascii="宋体" w:hAnsi="宋体" w:cs="宋体"/>
                <w:szCs w:val="21"/>
              </w:rPr>
            </w:pPr>
            <w:r>
              <w:rPr>
                <w:rFonts w:hint="eastAsia" w:ascii="宋体" w:hAnsi="宋体" w:cs="宋体"/>
                <w:szCs w:val="21"/>
              </w:rPr>
              <w:t>更新</w:t>
            </w:r>
            <w:r>
              <w:rPr>
                <w:rFonts w:hint="eastAsia" w:ascii="宋体" w:hAnsi="宋体" w:cs="宋体"/>
                <w:szCs w:val="21"/>
                <w:lang w:eastAsia="zh-CN"/>
              </w:rPr>
              <w:t>采购人</w:t>
            </w:r>
            <w:r>
              <w:rPr>
                <w:rFonts w:hint="eastAsia" w:ascii="宋体" w:hAnsi="宋体" w:cs="宋体"/>
                <w:szCs w:val="21"/>
              </w:rPr>
              <w:t>现有的云签署个人证书。</w:t>
            </w:r>
          </w:p>
        </w:tc>
      </w:tr>
      <w:tr w14:paraId="0F30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Merge w:val="continue"/>
            <w:noWrap w:val="0"/>
            <w:vAlign w:val="center"/>
          </w:tcPr>
          <w:p w14:paraId="7B4EFFC1">
            <w:pPr>
              <w:jc w:val="center"/>
              <w:rPr>
                <w:rFonts w:ascii="宋体" w:hAnsi="宋体" w:cs="宋体"/>
                <w:szCs w:val="21"/>
              </w:rPr>
            </w:pPr>
          </w:p>
        </w:tc>
        <w:tc>
          <w:tcPr>
            <w:tcW w:w="1134" w:type="dxa"/>
            <w:vMerge w:val="continue"/>
            <w:noWrap w:val="0"/>
            <w:vAlign w:val="center"/>
          </w:tcPr>
          <w:p w14:paraId="215FF609">
            <w:pPr>
              <w:jc w:val="center"/>
              <w:rPr>
                <w:rFonts w:ascii="宋体" w:hAnsi="宋体" w:cs="宋体"/>
                <w:szCs w:val="21"/>
              </w:rPr>
            </w:pPr>
          </w:p>
        </w:tc>
        <w:tc>
          <w:tcPr>
            <w:tcW w:w="1418" w:type="dxa"/>
            <w:vMerge w:val="continue"/>
            <w:noWrap w:val="0"/>
            <w:vAlign w:val="center"/>
          </w:tcPr>
          <w:p w14:paraId="436F1FF3">
            <w:pPr>
              <w:pStyle w:val="41"/>
              <w:numPr>
                <w:ilvl w:val="1"/>
                <w:numId w:val="7"/>
              </w:numPr>
              <w:ind w:left="355" w:firstLineChars="0"/>
              <w:rPr>
                <w:rFonts w:ascii="宋体" w:hAnsi="宋体" w:cs="宋体"/>
                <w:szCs w:val="21"/>
              </w:rPr>
            </w:pPr>
          </w:p>
        </w:tc>
        <w:tc>
          <w:tcPr>
            <w:tcW w:w="5670" w:type="dxa"/>
            <w:noWrap w:val="0"/>
            <w:vAlign w:val="center"/>
          </w:tcPr>
          <w:p w14:paraId="3B426FF4">
            <w:pPr>
              <w:spacing w:line="288" w:lineRule="auto"/>
              <w:jc w:val="left"/>
              <w:rPr>
                <w:rFonts w:ascii="宋体" w:hAnsi="宋体" w:cs="宋体"/>
                <w:szCs w:val="21"/>
              </w:rPr>
            </w:pPr>
            <w:r>
              <w:rPr>
                <w:rFonts w:hint="eastAsia" w:ascii="宋体" w:hAnsi="宋体" w:cs="宋体"/>
                <w:szCs w:val="21"/>
              </w:rPr>
              <w:t>★</w:t>
            </w:r>
            <w:r>
              <w:rPr>
                <w:rFonts w:hint="eastAsia" w:ascii="宋体" w:hAnsi="宋体" w:cs="宋体"/>
                <w:szCs w:val="21"/>
                <w:lang w:eastAsia="zh-CN"/>
              </w:rPr>
              <w:t>投标人</w:t>
            </w:r>
            <w:r>
              <w:rPr>
                <w:rFonts w:hint="eastAsia" w:ascii="宋体" w:hAnsi="宋体" w:cs="宋体"/>
                <w:szCs w:val="21"/>
              </w:rPr>
              <w:t>须对</w:t>
            </w:r>
            <w:r>
              <w:rPr>
                <w:rFonts w:hint="eastAsia" w:ascii="宋体" w:hAnsi="宋体" w:cs="宋体"/>
                <w:szCs w:val="21"/>
                <w:lang w:eastAsia="zh-CN"/>
              </w:rPr>
              <w:t>采购人</w:t>
            </w:r>
            <w:r>
              <w:rPr>
                <w:rFonts w:hint="eastAsia" w:ascii="宋体" w:hAnsi="宋体" w:cs="宋体"/>
                <w:szCs w:val="21"/>
              </w:rPr>
              <w:t>现有使用的所有证书进行更新服务（云签证书有效使用量至少1</w:t>
            </w:r>
            <w:r>
              <w:rPr>
                <w:rFonts w:hint="eastAsia" w:ascii="宋体" w:hAnsi="宋体" w:cs="宋体"/>
                <w:szCs w:val="21"/>
                <w:lang w:val="en-US" w:eastAsia="zh-CN"/>
              </w:rPr>
              <w:t>900</w:t>
            </w:r>
            <w:r>
              <w:rPr>
                <w:rFonts w:hint="eastAsia" w:ascii="宋体" w:hAnsi="宋体" w:cs="宋体"/>
                <w:szCs w:val="21"/>
              </w:rPr>
              <w:t>条）。</w:t>
            </w:r>
            <w:r>
              <w:rPr>
                <w:rFonts w:hint="eastAsia" w:ascii="宋体" w:hAnsi="宋体" w:cs="宋体"/>
                <w:szCs w:val="21"/>
                <w:lang w:eastAsia="zh-CN"/>
              </w:rPr>
              <w:t>投标人</w:t>
            </w:r>
            <w:r>
              <w:rPr>
                <w:rFonts w:hint="eastAsia" w:ascii="宋体" w:hAnsi="宋体" w:cs="宋体"/>
                <w:szCs w:val="21"/>
              </w:rPr>
              <w:t>提供承诺函；</w:t>
            </w:r>
          </w:p>
        </w:tc>
      </w:tr>
      <w:tr w14:paraId="15E3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4" w:type="dxa"/>
            <w:vMerge w:val="continue"/>
            <w:noWrap w:val="0"/>
            <w:vAlign w:val="center"/>
          </w:tcPr>
          <w:p w14:paraId="7A3FA59B">
            <w:pPr>
              <w:jc w:val="center"/>
              <w:rPr>
                <w:rFonts w:ascii="宋体" w:hAnsi="宋体" w:cs="宋体"/>
                <w:szCs w:val="21"/>
              </w:rPr>
            </w:pPr>
          </w:p>
        </w:tc>
        <w:tc>
          <w:tcPr>
            <w:tcW w:w="1134" w:type="dxa"/>
            <w:vMerge w:val="continue"/>
            <w:noWrap w:val="0"/>
            <w:vAlign w:val="center"/>
          </w:tcPr>
          <w:p w14:paraId="4FD69ECB">
            <w:pPr>
              <w:jc w:val="center"/>
              <w:rPr>
                <w:rFonts w:ascii="宋体" w:hAnsi="宋体" w:cs="宋体"/>
                <w:szCs w:val="21"/>
              </w:rPr>
            </w:pPr>
          </w:p>
        </w:tc>
        <w:tc>
          <w:tcPr>
            <w:tcW w:w="1418" w:type="dxa"/>
            <w:vMerge w:val="restart"/>
            <w:noWrap w:val="0"/>
            <w:vAlign w:val="center"/>
          </w:tcPr>
          <w:p w14:paraId="117940DD">
            <w:pPr>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云签署个人证书更新服务</w:t>
            </w:r>
          </w:p>
        </w:tc>
        <w:tc>
          <w:tcPr>
            <w:tcW w:w="5670" w:type="dxa"/>
            <w:noWrap w:val="0"/>
            <w:vAlign w:val="center"/>
          </w:tcPr>
          <w:p w14:paraId="06160301">
            <w:pPr>
              <w:spacing w:line="288" w:lineRule="auto"/>
              <w:rPr>
                <w:rFonts w:ascii="宋体" w:hAnsi="宋体" w:cs="宋体"/>
                <w:szCs w:val="21"/>
              </w:rPr>
            </w:pPr>
            <w:r>
              <w:rPr>
                <w:rFonts w:hint="eastAsia" w:ascii="宋体" w:hAnsi="宋体" w:cs="宋体"/>
                <w:szCs w:val="21"/>
              </w:rPr>
              <w:t>用于标识个人</w:t>
            </w:r>
            <w:r>
              <w:rPr>
                <w:rFonts w:hint="eastAsia" w:ascii="宋体" w:hAnsi="宋体" w:cs="宋体"/>
                <w:szCs w:val="21"/>
                <w:lang w:eastAsia="zh-CN"/>
              </w:rPr>
              <w:t>采购人</w:t>
            </w:r>
            <w:r>
              <w:rPr>
                <w:rFonts w:hint="eastAsia" w:ascii="宋体" w:hAnsi="宋体" w:cs="宋体"/>
                <w:szCs w:val="21"/>
              </w:rPr>
              <w:t>网络身份。</w:t>
            </w:r>
          </w:p>
        </w:tc>
      </w:tr>
      <w:tr w14:paraId="4017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4" w:type="dxa"/>
            <w:vMerge w:val="continue"/>
            <w:noWrap w:val="0"/>
            <w:vAlign w:val="center"/>
          </w:tcPr>
          <w:p w14:paraId="514C3DB0">
            <w:pPr>
              <w:jc w:val="center"/>
              <w:rPr>
                <w:rFonts w:ascii="宋体" w:hAnsi="宋体" w:cs="宋体"/>
                <w:szCs w:val="21"/>
              </w:rPr>
            </w:pPr>
          </w:p>
        </w:tc>
        <w:tc>
          <w:tcPr>
            <w:tcW w:w="1134" w:type="dxa"/>
            <w:vMerge w:val="continue"/>
            <w:noWrap w:val="0"/>
            <w:vAlign w:val="center"/>
          </w:tcPr>
          <w:p w14:paraId="5CAAFE89">
            <w:pPr>
              <w:jc w:val="center"/>
              <w:rPr>
                <w:rFonts w:ascii="宋体" w:hAnsi="宋体" w:cs="宋体"/>
                <w:szCs w:val="21"/>
              </w:rPr>
            </w:pPr>
          </w:p>
        </w:tc>
        <w:tc>
          <w:tcPr>
            <w:tcW w:w="1418" w:type="dxa"/>
            <w:vMerge w:val="continue"/>
            <w:noWrap w:val="0"/>
            <w:vAlign w:val="center"/>
          </w:tcPr>
          <w:p w14:paraId="4A4B81DE">
            <w:pPr>
              <w:rPr>
                <w:rFonts w:hint="eastAsia" w:ascii="宋体" w:hAnsi="宋体" w:cs="宋体"/>
                <w:szCs w:val="21"/>
              </w:rPr>
            </w:pPr>
          </w:p>
        </w:tc>
        <w:tc>
          <w:tcPr>
            <w:tcW w:w="5670" w:type="dxa"/>
            <w:noWrap w:val="0"/>
            <w:vAlign w:val="center"/>
          </w:tcPr>
          <w:p w14:paraId="4BE3807E">
            <w:pPr>
              <w:spacing w:line="288" w:lineRule="auto"/>
              <w:rPr>
                <w:rFonts w:hint="eastAsia" w:ascii="宋体" w:hAnsi="宋体" w:cs="宋体"/>
                <w:szCs w:val="21"/>
              </w:rPr>
            </w:pPr>
            <w:r>
              <w:rPr>
                <w:rFonts w:hint="eastAsia" w:cs="宋体" w:asciiTheme="minorEastAsia" w:hAnsiTheme="minorEastAsia"/>
                <w:color w:val="000000"/>
                <w:kern w:val="0"/>
                <w:szCs w:val="21"/>
              </w:rPr>
              <w:t>保障云签数字认证体系的身份认证、加密传输、电子签名、签名可视化功能，保障身份认证具有法律效力。</w:t>
            </w:r>
          </w:p>
        </w:tc>
      </w:tr>
      <w:tr w14:paraId="6469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04" w:type="dxa"/>
            <w:vMerge w:val="continue"/>
            <w:noWrap w:val="0"/>
            <w:vAlign w:val="center"/>
          </w:tcPr>
          <w:p w14:paraId="2BC10D1E">
            <w:pPr>
              <w:jc w:val="center"/>
              <w:rPr>
                <w:rFonts w:ascii="宋体" w:hAnsi="宋体" w:cs="宋体"/>
                <w:szCs w:val="21"/>
              </w:rPr>
            </w:pPr>
          </w:p>
        </w:tc>
        <w:tc>
          <w:tcPr>
            <w:tcW w:w="1134" w:type="dxa"/>
            <w:vMerge w:val="continue"/>
            <w:noWrap w:val="0"/>
            <w:vAlign w:val="center"/>
          </w:tcPr>
          <w:p w14:paraId="796DEDCD">
            <w:pPr>
              <w:jc w:val="center"/>
              <w:rPr>
                <w:rFonts w:ascii="宋体" w:hAnsi="宋体" w:cs="宋体"/>
                <w:szCs w:val="21"/>
              </w:rPr>
            </w:pPr>
          </w:p>
        </w:tc>
        <w:tc>
          <w:tcPr>
            <w:tcW w:w="1418" w:type="dxa"/>
            <w:vMerge w:val="continue"/>
            <w:noWrap w:val="0"/>
            <w:vAlign w:val="center"/>
          </w:tcPr>
          <w:p w14:paraId="03E4BCBD">
            <w:pPr>
              <w:rPr>
                <w:rFonts w:ascii="宋体" w:hAnsi="宋体" w:cs="宋体"/>
                <w:szCs w:val="21"/>
              </w:rPr>
            </w:pPr>
          </w:p>
        </w:tc>
        <w:tc>
          <w:tcPr>
            <w:tcW w:w="5670" w:type="dxa"/>
            <w:noWrap w:val="0"/>
            <w:vAlign w:val="center"/>
          </w:tcPr>
          <w:p w14:paraId="5960578D">
            <w:pPr>
              <w:spacing w:line="288" w:lineRule="auto"/>
              <w:rPr>
                <w:rFonts w:ascii="宋体" w:hAnsi="宋体" w:cs="宋体"/>
                <w:szCs w:val="21"/>
              </w:rPr>
            </w:pPr>
            <w:r>
              <w:rPr>
                <w:rFonts w:hint="eastAsia" w:ascii="宋体" w:hAnsi="宋体" w:cs="宋体"/>
                <w:szCs w:val="21"/>
              </w:rPr>
              <w:t>签发数字证书的电子认证系统和密钥管理系统应支持国密局要求的规范算法。</w:t>
            </w:r>
          </w:p>
        </w:tc>
      </w:tr>
      <w:tr w14:paraId="0C06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4" w:type="dxa"/>
            <w:vMerge w:val="continue"/>
            <w:noWrap w:val="0"/>
            <w:vAlign w:val="center"/>
          </w:tcPr>
          <w:p w14:paraId="383C9862">
            <w:pPr>
              <w:jc w:val="center"/>
              <w:rPr>
                <w:rFonts w:ascii="宋体" w:hAnsi="宋体" w:cs="宋体"/>
                <w:szCs w:val="21"/>
              </w:rPr>
            </w:pPr>
          </w:p>
        </w:tc>
        <w:tc>
          <w:tcPr>
            <w:tcW w:w="1134" w:type="dxa"/>
            <w:vMerge w:val="continue"/>
            <w:noWrap w:val="0"/>
            <w:vAlign w:val="center"/>
          </w:tcPr>
          <w:p w14:paraId="3E42CE5C">
            <w:pPr>
              <w:jc w:val="center"/>
              <w:rPr>
                <w:rFonts w:ascii="宋体" w:hAnsi="宋体" w:cs="宋体"/>
                <w:szCs w:val="21"/>
              </w:rPr>
            </w:pPr>
          </w:p>
        </w:tc>
        <w:tc>
          <w:tcPr>
            <w:tcW w:w="1418" w:type="dxa"/>
            <w:vMerge w:val="continue"/>
            <w:noWrap w:val="0"/>
            <w:vAlign w:val="center"/>
          </w:tcPr>
          <w:p w14:paraId="08552B0C">
            <w:pPr>
              <w:rPr>
                <w:rFonts w:ascii="宋体" w:hAnsi="宋体" w:cs="宋体"/>
                <w:szCs w:val="21"/>
              </w:rPr>
            </w:pPr>
          </w:p>
        </w:tc>
        <w:tc>
          <w:tcPr>
            <w:tcW w:w="5670" w:type="dxa"/>
            <w:noWrap w:val="0"/>
            <w:vAlign w:val="center"/>
          </w:tcPr>
          <w:p w14:paraId="2BC7FD4C">
            <w:pPr>
              <w:spacing w:line="288" w:lineRule="auto"/>
              <w:rPr>
                <w:rFonts w:ascii="宋体" w:hAnsi="宋体" w:cs="宋体"/>
                <w:szCs w:val="21"/>
              </w:rPr>
            </w:pPr>
            <w:r>
              <w:rPr>
                <w:rFonts w:hint="eastAsia" w:ascii="宋体" w:hAnsi="宋体" w:cs="宋体"/>
                <w:szCs w:val="21"/>
              </w:rPr>
              <w:t>提供现有云签署数字证书的颁发、更新和应用等服务。</w:t>
            </w:r>
          </w:p>
        </w:tc>
      </w:tr>
      <w:tr w14:paraId="1940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4" w:type="dxa"/>
            <w:vMerge w:val="continue"/>
            <w:noWrap w:val="0"/>
            <w:vAlign w:val="center"/>
          </w:tcPr>
          <w:p w14:paraId="01E722AB">
            <w:pPr>
              <w:jc w:val="center"/>
              <w:rPr>
                <w:rFonts w:ascii="宋体" w:hAnsi="宋体" w:cs="宋体"/>
                <w:szCs w:val="21"/>
              </w:rPr>
            </w:pPr>
          </w:p>
        </w:tc>
        <w:tc>
          <w:tcPr>
            <w:tcW w:w="1134" w:type="dxa"/>
            <w:vMerge w:val="continue"/>
            <w:noWrap w:val="0"/>
            <w:vAlign w:val="center"/>
          </w:tcPr>
          <w:p w14:paraId="70A64F66">
            <w:pPr>
              <w:jc w:val="center"/>
              <w:rPr>
                <w:rFonts w:ascii="宋体" w:hAnsi="宋体" w:cs="宋体"/>
                <w:szCs w:val="21"/>
              </w:rPr>
            </w:pPr>
          </w:p>
        </w:tc>
        <w:tc>
          <w:tcPr>
            <w:tcW w:w="1418" w:type="dxa"/>
            <w:vMerge w:val="continue"/>
            <w:noWrap w:val="0"/>
            <w:vAlign w:val="center"/>
          </w:tcPr>
          <w:p w14:paraId="671D357D">
            <w:pPr>
              <w:rPr>
                <w:rFonts w:ascii="宋体" w:hAnsi="宋体" w:cs="宋体"/>
                <w:szCs w:val="21"/>
              </w:rPr>
            </w:pPr>
          </w:p>
        </w:tc>
        <w:tc>
          <w:tcPr>
            <w:tcW w:w="5670" w:type="dxa"/>
            <w:noWrap w:val="0"/>
            <w:vAlign w:val="center"/>
          </w:tcPr>
          <w:p w14:paraId="2C339230">
            <w:pPr>
              <w:spacing w:line="288" w:lineRule="auto"/>
              <w:rPr>
                <w:rFonts w:hint="eastAsia" w:ascii="宋体" w:hAnsi="宋体" w:cs="宋体"/>
                <w:szCs w:val="21"/>
              </w:rPr>
            </w:pPr>
            <w:r>
              <w:rPr>
                <w:rFonts w:hint="eastAsia" w:cs="宋体" w:asciiTheme="minorEastAsia" w:hAnsiTheme="minorEastAsia"/>
                <w:color w:val="000000"/>
                <w:kern w:val="0"/>
                <w:szCs w:val="21"/>
              </w:rPr>
              <w:t>提供云签署系统的信息资产统计服务，服务内容包括软件产品型号、版本补丁和网络IP地址以及提交数据库账号密码、管理员账号密码等信息统计记录</w:t>
            </w:r>
          </w:p>
        </w:tc>
      </w:tr>
      <w:tr w14:paraId="4A25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04" w:type="dxa"/>
            <w:vMerge w:val="continue"/>
            <w:noWrap w:val="0"/>
            <w:vAlign w:val="center"/>
          </w:tcPr>
          <w:p w14:paraId="53194FC5">
            <w:pPr>
              <w:jc w:val="center"/>
              <w:rPr>
                <w:rFonts w:ascii="宋体" w:hAnsi="宋体" w:cs="宋体"/>
                <w:szCs w:val="21"/>
              </w:rPr>
            </w:pPr>
          </w:p>
        </w:tc>
        <w:tc>
          <w:tcPr>
            <w:tcW w:w="1134" w:type="dxa"/>
            <w:vMerge w:val="continue"/>
            <w:noWrap w:val="0"/>
            <w:vAlign w:val="center"/>
          </w:tcPr>
          <w:p w14:paraId="7ABE6DBF">
            <w:pPr>
              <w:jc w:val="center"/>
              <w:rPr>
                <w:rFonts w:ascii="宋体" w:hAnsi="宋体" w:cs="宋体"/>
                <w:szCs w:val="21"/>
              </w:rPr>
            </w:pPr>
          </w:p>
        </w:tc>
        <w:tc>
          <w:tcPr>
            <w:tcW w:w="1418" w:type="dxa"/>
            <w:vMerge w:val="continue"/>
            <w:noWrap w:val="0"/>
            <w:vAlign w:val="center"/>
          </w:tcPr>
          <w:p w14:paraId="6ACE6291">
            <w:pPr>
              <w:rPr>
                <w:rFonts w:ascii="宋体" w:hAnsi="宋体" w:cs="宋体"/>
                <w:szCs w:val="21"/>
              </w:rPr>
            </w:pPr>
          </w:p>
        </w:tc>
        <w:tc>
          <w:tcPr>
            <w:tcW w:w="5670" w:type="dxa"/>
            <w:noWrap w:val="0"/>
            <w:vAlign w:val="center"/>
          </w:tcPr>
          <w:p w14:paraId="3BEB7DB6">
            <w:pPr>
              <w:spacing w:line="288" w:lineRule="auto"/>
              <w:rPr>
                <w:rFonts w:ascii="宋体" w:hAnsi="宋体" w:cs="宋体"/>
                <w:szCs w:val="21"/>
              </w:rPr>
            </w:pPr>
            <w:r>
              <w:rPr>
                <w:rFonts w:hint="eastAsia" w:ascii="宋体" w:hAnsi="宋体" w:cs="宋体"/>
                <w:szCs w:val="21"/>
              </w:rPr>
              <w:t>符合</w:t>
            </w:r>
            <w:r>
              <w:rPr>
                <w:rStyle w:val="32"/>
                <w:rFonts w:hint="eastAsia" w:ascii="Calibri" w:hAnsi="Calibri"/>
              </w:rPr>
              <w:t>国家</w:t>
            </w:r>
            <w:r>
              <w:rPr>
                <w:rFonts w:hint="eastAsia" w:ascii="宋体" w:hAnsi="宋体" w:cs="宋体"/>
                <w:szCs w:val="21"/>
              </w:rPr>
              <w:t>卫健委《卫生系统数字证书格式规范（试行）》。</w:t>
            </w:r>
          </w:p>
        </w:tc>
      </w:tr>
      <w:tr w14:paraId="6DBB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vMerge w:val="continue"/>
            <w:noWrap w:val="0"/>
            <w:vAlign w:val="center"/>
          </w:tcPr>
          <w:p w14:paraId="163E3B98">
            <w:pPr>
              <w:jc w:val="center"/>
              <w:rPr>
                <w:rFonts w:ascii="宋体" w:hAnsi="宋体" w:cs="宋体"/>
                <w:szCs w:val="21"/>
              </w:rPr>
            </w:pPr>
          </w:p>
        </w:tc>
        <w:tc>
          <w:tcPr>
            <w:tcW w:w="1134" w:type="dxa"/>
            <w:vMerge w:val="continue"/>
            <w:noWrap w:val="0"/>
            <w:vAlign w:val="center"/>
          </w:tcPr>
          <w:p w14:paraId="5B76F52F">
            <w:pPr>
              <w:jc w:val="center"/>
              <w:rPr>
                <w:rFonts w:ascii="宋体" w:hAnsi="宋体" w:cs="宋体"/>
                <w:szCs w:val="21"/>
              </w:rPr>
            </w:pPr>
          </w:p>
        </w:tc>
        <w:tc>
          <w:tcPr>
            <w:tcW w:w="1418" w:type="dxa"/>
            <w:vMerge w:val="continue"/>
            <w:noWrap w:val="0"/>
            <w:vAlign w:val="center"/>
          </w:tcPr>
          <w:p w14:paraId="38E27FD4">
            <w:pPr>
              <w:rPr>
                <w:rFonts w:ascii="宋体" w:hAnsi="宋体" w:cs="宋体"/>
                <w:szCs w:val="21"/>
              </w:rPr>
            </w:pPr>
          </w:p>
        </w:tc>
        <w:tc>
          <w:tcPr>
            <w:tcW w:w="5670" w:type="dxa"/>
            <w:noWrap w:val="0"/>
            <w:vAlign w:val="center"/>
          </w:tcPr>
          <w:p w14:paraId="57B3158B">
            <w:pPr>
              <w:spacing w:line="288" w:lineRule="auto"/>
              <w:rPr>
                <w:rFonts w:ascii="宋体" w:hAnsi="宋体" w:cs="宋体"/>
                <w:szCs w:val="21"/>
              </w:rPr>
            </w:pPr>
            <w:r>
              <w:rPr>
                <w:rFonts w:hint="eastAsia" w:ascii="宋体" w:hAnsi="宋体" w:cs="宋体"/>
                <w:szCs w:val="21"/>
              </w:rPr>
              <w:t>符合</w:t>
            </w:r>
            <w:r>
              <w:rPr>
                <w:rStyle w:val="32"/>
                <w:rFonts w:hint="eastAsia" w:ascii="Calibri" w:hAnsi="Calibri"/>
              </w:rPr>
              <w:t>国家</w:t>
            </w:r>
            <w:r>
              <w:rPr>
                <w:rFonts w:hint="eastAsia" w:ascii="宋体" w:hAnsi="宋体" w:cs="宋体"/>
                <w:szCs w:val="21"/>
              </w:rPr>
              <w:t>卫健委《卫生系统电子认证服务规范（试行）》。</w:t>
            </w:r>
          </w:p>
        </w:tc>
      </w:tr>
      <w:tr w14:paraId="16D3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continue"/>
            <w:noWrap w:val="0"/>
            <w:vAlign w:val="center"/>
          </w:tcPr>
          <w:p w14:paraId="43599F08">
            <w:pPr>
              <w:jc w:val="center"/>
              <w:rPr>
                <w:rFonts w:ascii="宋体" w:hAnsi="宋体" w:cs="宋体"/>
                <w:szCs w:val="21"/>
              </w:rPr>
            </w:pPr>
          </w:p>
        </w:tc>
        <w:tc>
          <w:tcPr>
            <w:tcW w:w="1134" w:type="dxa"/>
            <w:vMerge w:val="continue"/>
            <w:noWrap w:val="0"/>
            <w:vAlign w:val="center"/>
          </w:tcPr>
          <w:p w14:paraId="1AEEA143">
            <w:pPr>
              <w:jc w:val="center"/>
              <w:rPr>
                <w:rFonts w:ascii="宋体" w:hAnsi="宋体" w:cs="宋体"/>
                <w:szCs w:val="21"/>
              </w:rPr>
            </w:pPr>
          </w:p>
        </w:tc>
        <w:tc>
          <w:tcPr>
            <w:tcW w:w="1418" w:type="dxa"/>
            <w:vMerge w:val="continue"/>
            <w:noWrap w:val="0"/>
            <w:vAlign w:val="center"/>
          </w:tcPr>
          <w:p w14:paraId="61F64C1A">
            <w:pPr>
              <w:rPr>
                <w:rFonts w:ascii="宋体" w:hAnsi="宋体" w:cs="宋体"/>
                <w:szCs w:val="21"/>
              </w:rPr>
            </w:pPr>
          </w:p>
        </w:tc>
        <w:tc>
          <w:tcPr>
            <w:tcW w:w="5670" w:type="dxa"/>
            <w:noWrap w:val="0"/>
            <w:vAlign w:val="center"/>
          </w:tcPr>
          <w:p w14:paraId="7916942C">
            <w:pPr>
              <w:spacing w:line="288" w:lineRule="auto"/>
              <w:rPr>
                <w:rFonts w:ascii="宋体" w:hAnsi="宋体" w:cs="宋体"/>
                <w:szCs w:val="21"/>
              </w:rPr>
            </w:pPr>
            <w:r>
              <w:rPr>
                <w:rFonts w:hint="eastAsia" w:ascii="宋体" w:hAnsi="宋体" w:cs="宋体"/>
                <w:szCs w:val="21"/>
              </w:rPr>
              <w:t>支持自定义证书扩展域管理。</w:t>
            </w:r>
          </w:p>
        </w:tc>
      </w:tr>
      <w:tr w14:paraId="2C78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4" w:type="dxa"/>
            <w:vMerge w:val="continue"/>
            <w:noWrap w:val="0"/>
            <w:vAlign w:val="center"/>
          </w:tcPr>
          <w:p w14:paraId="5E405CDA">
            <w:pPr>
              <w:jc w:val="center"/>
              <w:rPr>
                <w:rFonts w:ascii="宋体" w:hAnsi="宋体" w:cs="宋体"/>
                <w:szCs w:val="21"/>
              </w:rPr>
            </w:pPr>
          </w:p>
        </w:tc>
        <w:tc>
          <w:tcPr>
            <w:tcW w:w="1134" w:type="dxa"/>
            <w:vMerge w:val="continue"/>
            <w:noWrap w:val="0"/>
            <w:vAlign w:val="center"/>
          </w:tcPr>
          <w:p w14:paraId="39F7B532">
            <w:pPr>
              <w:jc w:val="center"/>
              <w:rPr>
                <w:rFonts w:ascii="宋体" w:hAnsi="宋体" w:cs="宋体"/>
                <w:szCs w:val="21"/>
              </w:rPr>
            </w:pPr>
          </w:p>
        </w:tc>
        <w:tc>
          <w:tcPr>
            <w:tcW w:w="1418" w:type="dxa"/>
            <w:vMerge w:val="continue"/>
            <w:noWrap w:val="0"/>
            <w:vAlign w:val="center"/>
          </w:tcPr>
          <w:p w14:paraId="41E6DFB3">
            <w:pPr>
              <w:rPr>
                <w:rFonts w:ascii="宋体" w:hAnsi="宋体" w:cs="宋体"/>
                <w:szCs w:val="21"/>
              </w:rPr>
            </w:pPr>
          </w:p>
        </w:tc>
        <w:tc>
          <w:tcPr>
            <w:tcW w:w="5670" w:type="dxa"/>
            <w:noWrap w:val="0"/>
            <w:vAlign w:val="center"/>
          </w:tcPr>
          <w:p w14:paraId="551E4C46">
            <w:pPr>
              <w:spacing w:line="288" w:lineRule="auto"/>
              <w:rPr>
                <w:rFonts w:ascii="宋体" w:hAnsi="宋体" w:cs="宋体"/>
                <w:szCs w:val="21"/>
              </w:rPr>
            </w:pPr>
            <w:r>
              <w:rPr>
                <w:rFonts w:hint="eastAsia" w:ascii="宋体" w:hAnsi="宋体" w:cs="宋体"/>
                <w:szCs w:val="21"/>
              </w:rPr>
              <w:t>证书格式标准遵循x．509v3标准。</w:t>
            </w:r>
          </w:p>
        </w:tc>
      </w:tr>
      <w:tr w14:paraId="12C2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vMerge w:val="continue"/>
            <w:noWrap w:val="0"/>
            <w:vAlign w:val="center"/>
          </w:tcPr>
          <w:p w14:paraId="55B9393E">
            <w:pPr>
              <w:jc w:val="center"/>
              <w:rPr>
                <w:rFonts w:ascii="宋体" w:hAnsi="宋体" w:cs="宋体"/>
                <w:szCs w:val="21"/>
              </w:rPr>
            </w:pPr>
          </w:p>
        </w:tc>
        <w:tc>
          <w:tcPr>
            <w:tcW w:w="1134" w:type="dxa"/>
            <w:vMerge w:val="continue"/>
            <w:noWrap w:val="0"/>
            <w:vAlign w:val="center"/>
          </w:tcPr>
          <w:p w14:paraId="5B8BB2E6">
            <w:pPr>
              <w:jc w:val="center"/>
              <w:rPr>
                <w:rFonts w:ascii="宋体" w:hAnsi="宋体" w:cs="宋体"/>
                <w:szCs w:val="21"/>
              </w:rPr>
            </w:pPr>
          </w:p>
        </w:tc>
        <w:tc>
          <w:tcPr>
            <w:tcW w:w="1418" w:type="dxa"/>
            <w:vMerge w:val="continue"/>
            <w:noWrap w:val="0"/>
            <w:vAlign w:val="center"/>
          </w:tcPr>
          <w:p w14:paraId="63641A34">
            <w:pPr>
              <w:rPr>
                <w:rFonts w:ascii="宋体" w:hAnsi="宋体" w:cs="宋体"/>
                <w:szCs w:val="21"/>
              </w:rPr>
            </w:pPr>
          </w:p>
        </w:tc>
        <w:tc>
          <w:tcPr>
            <w:tcW w:w="5670" w:type="dxa"/>
            <w:noWrap w:val="0"/>
            <w:vAlign w:val="center"/>
          </w:tcPr>
          <w:p w14:paraId="446F0937">
            <w:pPr>
              <w:spacing w:line="288" w:lineRule="auto"/>
              <w:rPr>
                <w:rFonts w:ascii="宋体" w:hAnsi="宋体" w:cs="宋体"/>
                <w:szCs w:val="21"/>
              </w:rPr>
            </w:pPr>
            <w:r>
              <w:rPr>
                <w:rFonts w:hint="eastAsia" w:ascii="宋体" w:hAnsi="宋体" w:cs="宋体"/>
                <w:szCs w:val="21"/>
              </w:rPr>
              <w:t>提供数字证书生命周期管理服务（新增证书申请、补办、续期、注销）。</w:t>
            </w:r>
          </w:p>
        </w:tc>
      </w:tr>
      <w:tr w14:paraId="578B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704" w:type="dxa"/>
            <w:vMerge w:val="continue"/>
            <w:noWrap w:val="0"/>
            <w:vAlign w:val="center"/>
          </w:tcPr>
          <w:p w14:paraId="3CF680B0">
            <w:pPr>
              <w:jc w:val="center"/>
              <w:rPr>
                <w:rFonts w:ascii="宋体" w:hAnsi="宋体" w:cs="宋体"/>
                <w:szCs w:val="21"/>
              </w:rPr>
            </w:pPr>
          </w:p>
        </w:tc>
        <w:tc>
          <w:tcPr>
            <w:tcW w:w="1134" w:type="dxa"/>
            <w:vMerge w:val="continue"/>
            <w:noWrap w:val="0"/>
            <w:vAlign w:val="center"/>
          </w:tcPr>
          <w:p w14:paraId="51D8D618">
            <w:pPr>
              <w:jc w:val="center"/>
              <w:rPr>
                <w:rFonts w:ascii="宋体" w:hAnsi="宋体" w:cs="宋体"/>
                <w:szCs w:val="21"/>
              </w:rPr>
            </w:pPr>
          </w:p>
        </w:tc>
        <w:tc>
          <w:tcPr>
            <w:tcW w:w="1418" w:type="dxa"/>
            <w:vMerge w:val="continue"/>
            <w:noWrap w:val="0"/>
            <w:vAlign w:val="center"/>
          </w:tcPr>
          <w:p w14:paraId="044A04B2">
            <w:pPr>
              <w:rPr>
                <w:rFonts w:ascii="宋体" w:hAnsi="宋体" w:cs="宋体"/>
                <w:szCs w:val="21"/>
              </w:rPr>
            </w:pPr>
          </w:p>
        </w:tc>
        <w:tc>
          <w:tcPr>
            <w:tcW w:w="5670" w:type="dxa"/>
            <w:noWrap w:val="0"/>
            <w:vAlign w:val="center"/>
          </w:tcPr>
          <w:p w14:paraId="13698723">
            <w:pPr>
              <w:spacing w:line="288" w:lineRule="auto"/>
              <w:rPr>
                <w:rFonts w:ascii="宋体" w:hAnsi="宋体" w:cs="宋体"/>
                <w:szCs w:val="21"/>
              </w:rPr>
            </w:pPr>
            <w:r>
              <w:rPr>
                <w:rFonts w:hint="eastAsia" w:ascii="宋体" w:hAnsi="宋体" w:cs="宋体"/>
                <w:szCs w:val="21"/>
              </w:rPr>
              <w:t>1.</w:t>
            </w:r>
            <w:r>
              <w:rPr>
                <w:rFonts w:hint="eastAsia" w:ascii="宋体" w:hAnsi="宋体" w:cs="宋体"/>
                <w:szCs w:val="21"/>
                <w:lang w:eastAsia="zh-CN"/>
              </w:rPr>
              <w:t>投标人</w:t>
            </w:r>
            <w:r>
              <w:rPr>
                <w:rFonts w:hint="eastAsia" w:ascii="宋体" w:hAnsi="宋体" w:cs="宋体"/>
                <w:szCs w:val="21"/>
              </w:rPr>
              <w:t>须持有该数字证书生产厂商出具的《电子认证服务许可证》，并通过国家卫健委复审、测试的数字证书服务机构，提供相关证明文件。</w:t>
            </w:r>
          </w:p>
          <w:p w14:paraId="511BC4BF">
            <w:pPr>
              <w:spacing w:line="288" w:lineRule="auto"/>
              <w:rPr>
                <w:rFonts w:ascii="宋体" w:hAnsi="宋体" w:cs="宋体"/>
                <w:szCs w:val="21"/>
                <w:highlight w:val="yellow"/>
              </w:rPr>
            </w:pPr>
            <w:r>
              <w:rPr>
                <w:rFonts w:hint="eastAsia" w:ascii="宋体" w:hAnsi="宋体" w:cs="宋体"/>
                <w:szCs w:val="21"/>
              </w:rPr>
              <w:t>2.</w:t>
            </w:r>
            <w:r>
              <w:rPr>
                <w:rFonts w:hint="eastAsia" w:ascii="宋体" w:hAnsi="宋体" w:cs="宋体"/>
                <w:szCs w:val="21"/>
                <w:lang w:eastAsia="zh-CN"/>
              </w:rPr>
              <w:t>投标人</w:t>
            </w:r>
            <w:r>
              <w:rPr>
                <w:rFonts w:hint="eastAsia" w:ascii="宋体" w:hAnsi="宋体" w:cs="宋体"/>
                <w:szCs w:val="21"/>
              </w:rPr>
              <w:t>须持有该数字证书生产厂商出具的电子认证服务使用密码许可证》，提供证书复印件加盖公章。</w:t>
            </w:r>
          </w:p>
        </w:tc>
      </w:tr>
      <w:tr w14:paraId="0749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704" w:type="dxa"/>
            <w:vMerge w:val="continue"/>
            <w:noWrap w:val="0"/>
            <w:vAlign w:val="center"/>
          </w:tcPr>
          <w:p w14:paraId="7527DBB7">
            <w:pPr>
              <w:jc w:val="center"/>
              <w:rPr>
                <w:rFonts w:ascii="宋体" w:hAnsi="宋体" w:cs="宋体"/>
                <w:szCs w:val="21"/>
              </w:rPr>
            </w:pPr>
          </w:p>
        </w:tc>
        <w:tc>
          <w:tcPr>
            <w:tcW w:w="1134" w:type="dxa"/>
            <w:vMerge w:val="restart"/>
            <w:noWrap w:val="0"/>
            <w:vAlign w:val="center"/>
          </w:tcPr>
          <w:p w14:paraId="2BB1A8C0">
            <w:pPr>
              <w:jc w:val="center"/>
              <w:rPr>
                <w:rFonts w:ascii="宋体" w:hAnsi="宋体" w:cs="宋体"/>
                <w:bCs/>
                <w:szCs w:val="21"/>
              </w:rPr>
            </w:pPr>
            <w:r>
              <w:rPr>
                <w:rFonts w:hint="eastAsia" w:ascii="宋体" w:hAnsi="宋体" w:cs="宋体"/>
                <w:bCs/>
                <w:color w:val="000000"/>
                <w:szCs w:val="21"/>
              </w:rPr>
              <w:t>服务器证书</w:t>
            </w:r>
          </w:p>
        </w:tc>
        <w:tc>
          <w:tcPr>
            <w:tcW w:w="1418" w:type="dxa"/>
            <w:vMerge w:val="restart"/>
            <w:noWrap w:val="0"/>
            <w:vAlign w:val="center"/>
          </w:tcPr>
          <w:p w14:paraId="2D1BA736">
            <w:pPr>
              <w:rPr>
                <w:rFonts w:ascii="宋体" w:hAnsi="宋体" w:cs="宋体"/>
                <w:bCs/>
                <w:szCs w:val="21"/>
              </w:rPr>
            </w:pPr>
            <w:r>
              <w:rPr>
                <w:rFonts w:hint="eastAsia" w:ascii="宋体" w:hAnsi="宋体" w:cs="宋体"/>
                <w:bCs/>
                <w:szCs w:val="21"/>
              </w:rPr>
              <w:t>1.</w:t>
            </w:r>
            <w:r>
              <w:rPr>
                <w:rFonts w:ascii="宋体" w:hAnsi="宋体" w:cs="宋体"/>
                <w:bCs/>
                <w:szCs w:val="21"/>
              </w:rPr>
              <w:t>3</w:t>
            </w:r>
            <w:r>
              <w:rPr>
                <w:rFonts w:hint="eastAsia" w:ascii="宋体" w:hAnsi="宋体" w:cs="宋体"/>
                <w:bCs/>
                <w:color w:val="000000"/>
                <w:szCs w:val="21"/>
              </w:rPr>
              <w:t>功能要求</w:t>
            </w:r>
          </w:p>
        </w:tc>
        <w:tc>
          <w:tcPr>
            <w:tcW w:w="5670" w:type="dxa"/>
            <w:noWrap w:val="0"/>
            <w:vAlign w:val="center"/>
          </w:tcPr>
          <w:p w14:paraId="159022B7">
            <w:pPr>
              <w:spacing w:line="288" w:lineRule="auto"/>
              <w:rPr>
                <w:rFonts w:ascii="宋体" w:hAnsi="宋体" w:cs="宋体"/>
                <w:szCs w:val="21"/>
              </w:rPr>
            </w:pPr>
            <w:r>
              <w:rPr>
                <w:rFonts w:hint="eastAsia" w:ascii="宋体" w:hAnsi="宋体" w:cs="宋体"/>
                <w:color w:val="000000"/>
                <w:szCs w:val="21"/>
              </w:rPr>
              <w:t>安全通道加密数据传输，防窃取防篡改。证书直接显示网站所有权、企业信息、浏览器直观展现HTTPS、安全锁等显眼标识。</w:t>
            </w:r>
          </w:p>
        </w:tc>
      </w:tr>
      <w:tr w14:paraId="095A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704" w:type="dxa"/>
            <w:vMerge w:val="continue"/>
            <w:noWrap w:val="0"/>
            <w:vAlign w:val="center"/>
          </w:tcPr>
          <w:p w14:paraId="4DFCF6F9">
            <w:pPr>
              <w:jc w:val="center"/>
              <w:rPr>
                <w:rFonts w:ascii="宋体" w:hAnsi="宋体" w:cs="宋体"/>
                <w:szCs w:val="21"/>
              </w:rPr>
            </w:pPr>
          </w:p>
        </w:tc>
        <w:tc>
          <w:tcPr>
            <w:tcW w:w="1134" w:type="dxa"/>
            <w:vMerge w:val="continue"/>
            <w:noWrap w:val="0"/>
            <w:vAlign w:val="center"/>
          </w:tcPr>
          <w:p w14:paraId="47FE5414">
            <w:pPr>
              <w:jc w:val="center"/>
              <w:rPr>
                <w:rFonts w:ascii="宋体" w:hAnsi="宋体" w:cs="宋体"/>
                <w:b/>
                <w:color w:val="000000"/>
                <w:szCs w:val="21"/>
              </w:rPr>
            </w:pPr>
          </w:p>
        </w:tc>
        <w:tc>
          <w:tcPr>
            <w:tcW w:w="1418" w:type="dxa"/>
            <w:vMerge w:val="continue"/>
            <w:noWrap w:val="0"/>
            <w:vAlign w:val="center"/>
          </w:tcPr>
          <w:p w14:paraId="6DFE2947">
            <w:pPr>
              <w:rPr>
                <w:rFonts w:ascii="宋体" w:hAnsi="宋体" w:cs="宋体"/>
                <w:szCs w:val="21"/>
              </w:rPr>
            </w:pPr>
          </w:p>
        </w:tc>
        <w:tc>
          <w:tcPr>
            <w:tcW w:w="5670" w:type="dxa"/>
            <w:noWrap w:val="0"/>
            <w:vAlign w:val="center"/>
          </w:tcPr>
          <w:p w14:paraId="4A489BD3">
            <w:pPr>
              <w:spacing w:line="288" w:lineRule="auto"/>
              <w:rPr>
                <w:rFonts w:ascii="宋体" w:hAnsi="宋体" w:cs="宋体"/>
                <w:color w:val="000000"/>
                <w:szCs w:val="21"/>
              </w:rPr>
            </w:pPr>
            <w:r>
              <w:rPr>
                <w:rFonts w:hint="eastAsia" w:ascii="宋体" w:hAnsi="宋体" w:cs="宋体"/>
                <w:color w:val="000000"/>
                <w:szCs w:val="21"/>
              </w:rPr>
              <w:t>▲支持微软IE浏览器、火狐浏览器、</w:t>
            </w:r>
            <w:r>
              <w:rPr>
                <w:rFonts w:hint="eastAsia"/>
              </w:rPr>
              <w:t>safari浏览器</w:t>
            </w:r>
            <w:r>
              <w:rPr>
                <w:rFonts w:hint="eastAsia" w:ascii="宋体" w:hAnsi="宋体" w:cs="宋体"/>
                <w:color w:val="000000"/>
                <w:szCs w:val="21"/>
              </w:rPr>
              <w:t>。提供原厂家根证书入驻以上三类浏览器的CA信任列表的官方截图（附查询链接）。</w:t>
            </w:r>
          </w:p>
        </w:tc>
      </w:tr>
      <w:tr w14:paraId="2F0E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5" w:hRule="atLeast"/>
          <w:jc w:val="center"/>
        </w:trPr>
        <w:tc>
          <w:tcPr>
            <w:tcW w:w="704" w:type="dxa"/>
            <w:vMerge w:val="continue"/>
            <w:noWrap w:val="0"/>
            <w:vAlign w:val="center"/>
          </w:tcPr>
          <w:p w14:paraId="1E2B9727">
            <w:pPr>
              <w:jc w:val="center"/>
              <w:rPr>
                <w:rFonts w:ascii="宋体" w:hAnsi="宋体" w:cs="宋体"/>
                <w:szCs w:val="21"/>
              </w:rPr>
            </w:pPr>
          </w:p>
        </w:tc>
        <w:tc>
          <w:tcPr>
            <w:tcW w:w="1134" w:type="dxa"/>
            <w:vMerge w:val="continue"/>
            <w:noWrap w:val="0"/>
            <w:vAlign w:val="center"/>
          </w:tcPr>
          <w:p w14:paraId="58064DC7">
            <w:pPr>
              <w:jc w:val="center"/>
              <w:rPr>
                <w:rFonts w:ascii="宋体" w:hAnsi="宋体" w:cs="宋体"/>
                <w:b/>
                <w:color w:val="000000"/>
                <w:szCs w:val="21"/>
              </w:rPr>
            </w:pPr>
          </w:p>
        </w:tc>
        <w:tc>
          <w:tcPr>
            <w:tcW w:w="1418" w:type="dxa"/>
            <w:vMerge w:val="continue"/>
            <w:noWrap w:val="0"/>
            <w:vAlign w:val="center"/>
          </w:tcPr>
          <w:p w14:paraId="008C3916">
            <w:pPr>
              <w:rPr>
                <w:rFonts w:ascii="宋体" w:hAnsi="宋体" w:cs="宋体"/>
                <w:szCs w:val="21"/>
              </w:rPr>
            </w:pPr>
          </w:p>
        </w:tc>
        <w:tc>
          <w:tcPr>
            <w:tcW w:w="5670" w:type="dxa"/>
            <w:noWrap w:val="0"/>
            <w:vAlign w:val="center"/>
          </w:tcPr>
          <w:p w14:paraId="505187C6">
            <w:pPr>
              <w:spacing w:line="288" w:lineRule="auto"/>
              <w:rPr>
                <w:rFonts w:ascii="宋体" w:hAnsi="宋体" w:cs="宋体"/>
                <w:color w:val="000000"/>
                <w:szCs w:val="21"/>
              </w:rPr>
            </w:pPr>
            <w:r>
              <w:rPr>
                <w:rFonts w:hint="eastAsia" w:ascii="宋体" w:hAnsi="宋体" w:cs="宋体"/>
                <w:color w:val="000000"/>
                <w:szCs w:val="21"/>
              </w:rPr>
              <w:t>▲证书服务机构遵循 CA/Browser 论坛（CA/Browser Forum）的相关指引提供SSL 、EV SSL证书服务，SSL证书及EV SSL证书分别符合WebTrust SSL（WebTrust Principles and Criteria for Certification Authorities – SSL Baseline with Network Security v2.3）、WebTrust EV SSL（WebTrust Principles and Criteria for Certification Authorities – Extended Validation SSL V1.6.2）；提供证书服务机构过往年度(最新)WebTrust SSL、WebTrust EV SSL审计报告、国家工信部颁发《电子认证服务许可证》复印件，原件备查。</w:t>
            </w:r>
          </w:p>
        </w:tc>
      </w:tr>
    </w:tbl>
    <w:p w14:paraId="59934A29">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1、基本维护服务</w:t>
      </w:r>
    </w:p>
    <w:p w14:paraId="552F19CB">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1.1投标人将定期对采购人系统进行巡回检修服务，到采购人现场进行系统检查、专业咨询等服务。将定期派人对采购人系统的工作环境、设备运行状态、性能、安全性等方面进行检查，系统BUG解决、异常数据处理。如有问题则进行维护。</w:t>
      </w:r>
    </w:p>
    <w:p w14:paraId="2333E906">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1.2系统的基本维护服务是基于采购人的系统相关的软硬件系统没有发生变化的前提下，投标人所提供的系统维护，包括如下几个方面:</w:t>
      </w:r>
    </w:p>
    <w:p w14:paraId="11D61849">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1)编制《系统维护服务方案》;</w:t>
      </w:r>
    </w:p>
    <w:p w14:paraId="0FA45BC8">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2)指派专门的工程技术人员对系统依照《系统维护服务方案》进行系统维护;</w:t>
      </w:r>
    </w:p>
    <w:p w14:paraId="0B8505D8">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3)进行例行采购人回访及系统现场维护服务，对产品运行状况进行状态监测、分析，并向采购人负责人提交《系统维护服务报告》;</w:t>
      </w:r>
    </w:p>
    <w:p w14:paraId="7EC9BBF2">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4)对采购人系统中存在的隐患予以解决;</w:t>
      </w:r>
    </w:p>
    <w:p w14:paraId="7896F9F1">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1.3、运维服务方式为投标人远程运维。</w:t>
      </w:r>
    </w:p>
    <w:p w14:paraId="7741BA90">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1.4、项目运维服务期内，云签系统出现故障时，7x24小时服务响应，工程师在接到报障后即刻处理应用系统出现的故障，及时做出故障原因报告并提出有效措施加以解决。</w:t>
      </w:r>
    </w:p>
    <w:p w14:paraId="1BE1E63D">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1.5、建立维护文档，即问题处理记录表，包括报障时间、报障科室、问题描叙、响应时间、处理过程、处理人</w:t>
      </w:r>
    </w:p>
    <w:p w14:paraId="1E63B2C0">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1.6、在项目运维服务期内，如因需要增加系统功能而产生的费用，双方另议；如果是软件设计漏洞或偏差，成交供应商免费修正。</w:t>
      </w:r>
    </w:p>
    <w:p w14:paraId="03F558BA">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1.7、配合并协助医院对院方通报的中高危风险进行修复并提供修复记录。</w:t>
      </w:r>
    </w:p>
    <w:p w14:paraId="49C6DCAB">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1.8、配合并协助医院进行测评、运营数据中心、科研数据中心等系统的对接测试工作。如有接口开发需求，双方另行协商。</w:t>
      </w:r>
    </w:p>
    <w:p w14:paraId="70570F83">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2、升级服务</w:t>
      </w:r>
    </w:p>
    <w:p w14:paraId="55601AD6">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根据整体规划、分布实施、先易后难、逐步完善的系统设计原则，投标人将跟踪系统的使用状态，对系统运行期间采购人提出的新需求、政策类的变化等因素，及时更正更新系统版本，逐步完善系统。</w:t>
      </w:r>
    </w:p>
    <w:p w14:paraId="25B15BD0">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2.1系统升级前准备工作</w:t>
      </w:r>
    </w:p>
    <w:p w14:paraId="0BB12675">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1)编制《系统升级方案》;</w:t>
      </w:r>
    </w:p>
    <w:p w14:paraId="77705B32">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2)项目准备及系统升级前环境确认;</w:t>
      </w:r>
    </w:p>
    <w:p w14:paraId="36378DC6">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3)与系统项目负责人确认系统具体升级时间;</w:t>
      </w:r>
    </w:p>
    <w:p w14:paraId="6FF2B8DD">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4)指派投标人工程师对系统依照《系统升级方案》进行系统升级。</w:t>
      </w:r>
    </w:p>
    <w:p w14:paraId="05CA8A3F">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2.2系统升级实施</w:t>
      </w:r>
    </w:p>
    <w:p w14:paraId="64D49BB4">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1)服务系统升级当日，投标人工程师将准时到达采购人，系统升级现场，并向项目负责人介绍此次系统升级进度安排及工作内容;</w:t>
      </w:r>
    </w:p>
    <w:p w14:paraId="4EC17522">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2)投标人工程师与项目负责人一起，确认现场环境是否符合系统升级要求。</w:t>
      </w:r>
    </w:p>
    <w:p w14:paraId="1E3633D0">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3.日常技术维护</w:t>
      </w:r>
    </w:p>
    <w:p w14:paraId="6C7A7230">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日常技术维护包括:日常巡检和周期性维护两个方面的工作、指派负责维护服务的工程师、热线电话、远程支持。</w:t>
      </w:r>
    </w:p>
    <w:p w14:paraId="3282995B">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3.1日常巡检</w:t>
      </w:r>
    </w:p>
    <w:p w14:paraId="05002CEE">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系统日常巡检是对系统进行后台服务运行状况，进行数据处理以减少系统发生故降的概率，保证系统的稳定运行。因此投标人在系统维护方面设有专门维护人员，主要负责一般故障排除、日常设备系统巡检等工作。</w:t>
      </w:r>
    </w:p>
    <w:p w14:paraId="713A4404">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维护人员对系统进行不少于每月一次的巡检工作，以保证系统的正常运行，并通过巡检发现潜在的隐患。在完成日常保养工作后，生成巡检报告，说明维护过程中碰到的问题、症状及对故障的判断、处理方法、维护后的工作状态等内容，并由维护技术人员和医院负责人签字确认后存档。</w:t>
      </w:r>
    </w:p>
    <w:p w14:paraId="2EACE4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3.2周期性维护周期性维护是定期对系统进行常规数据维护工作。在维护工作中及时发现问题，防患于未然，减少系统运行故障率，延长系统的高效运行效率。在故障发生之前，及时检测到故障的先兆，将故障解决在萌芽初期，尽量避免故障发生后应急抢修情况的发生。</w:t>
      </w:r>
    </w:p>
    <w:p w14:paraId="74F9A7C7">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82" w:firstLineChars="200"/>
        <w:textAlignment w:val="auto"/>
        <w:rPr>
          <w:rFonts w:hint="eastAsia" w:eastAsia="宋体"/>
          <w:b/>
          <w:bCs/>
          <w:sz w:val="24"/>
        </w:rPr>
      </w:pPr>
      <w:r>
        <w:rPr>
          <w:rFonts w:hint="eastAsia" w:ascii="Times New Roman" w:hAnsi="Times New Roman" w:eastAsia="宋体" w:cs="Times New Roman"/>
          <w:b/>
          <w:bCs/>
          <w:kern w:val="2"/>
          <w:sz w:val="24"/>
          <w:szCs w:val="24"/>
          <w:lang w:val="en-US" w:eastAsia="zh-CN" w:bidi="ar-SA"/>
        </w:rPr>
        <w:t>（三）</w:t>
      </w:r>
      <w:r>
        <w:rPr>
          <w:rFonts w:hint="eastAsia" w:ascii="宋体" w:hAnsi="宋体" w:cs="宋体"/>
          <w:szCs w:val="21"/>
        </w:rPr>
        <w:t>▲</w:t>
      </w:r>
      <w:r>
        <w:rPr>
          <w:rFonts w:hint="eastAsia" w:eastAsia="宋体"/>
          <w:b/>
          <w:bCs/>
          <w:sz w:val="24"/>
          <w:lang w:val="en-US" w:eastAsia="zh-CN"/>
        </w:rPr>
        <w:t>人员</w:t>
      </w:r>
      <w:r>
        <w:rPr>
          <w:rFonts w:hint="eastAsia" w:eastAsia="宋体"/>
          <w:b/>
          <w:bCs/>
          <w:sz w:val="24"/>
        </w:rPr>
        <w:t>要求</w:t>
      </w:r>
    </w:p>
    <w:p w14:paraId="0EF5AA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1、中标后，投标人或所投产品厂商安排至少一名工程师提供实施服务，负责系统部署、调试及现场技术支持。</w:t>
      </w:r>
    </w:p>
    <w:p w14:paraId="62F3D6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eastAsia="宋体"/>
          <w:lang w:eastAsia="zh-CN"/>
        </w:rPr>
      </w:pPr>
      <w:r>
        <w:rPr>
          <w:rFonts w:hint="eastAsia" w:ascii="宋体" w:hAnsi="宋体" w:eastAsia="宋体" w:cs="宋体"/>
          <w:b w:val="0"/>
          <w:bCs w:val="0"/>
          <w:sz w:val="24"/>
          <w:szCs w:val="24"/>
          <w:lang w:eastAsia="zh-CN"/>
        </w:rPr>
        <w:t>2、中标后，投标人有项目团队跟进项目，项目负责人在验收前未经采购人同意不可更换；确需更换的需提前1个月书面征得采购人同意后更换。</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续签下一年合同</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三十六个月</w:t>
      </w:r>
      <w:r>
        <w:rPr>
          <w:rFonts w:hint="eastAsia" w:ascii="宋体" w:hAnsi="宋体" w:eastAsia="宋体" w:cs="宋体"/>
          <w:b w:val="0"/>
          <w:bCs w:val="0"/>
          <w:sz w:val="24"/>
          <w:szCs w:val="24"/>
        </w:rPr>
        <w:t>，合同一年一签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heme="minorEastAsia" w:hAnsiTheme="minorEastAsia" w:eastAsiaTheme="minorEastAsia" w:cstheme="minorEastAsia"/>
          <w:color w:val="auto"/>
          <w:sz w:val="24"/>
        </w:rPr>
        <w:t>中山大学附属第八医院（深圳福田）指定地点</w:t>
      </w:r>
    </w:p>
    <w:p w14:paraId="50AACA16">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28F794C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投标总价需是完成该项目的一切费用总和，包括但不限于软件、配套硬件设施费用、安装调试费、培 训、售后技术服务（含人员、咨询等）、设备安装费和日常维护等一切发生的费用，以及系统验收合格并交付使用后，投标人应负责的软件维护期内所发生的各项费用，除此之外投标人不得再要求采购人承担其他任何费用。</w:t>
      </w:r>
    </w:p>
    <w:p w14:paraId="1BD253B4">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17FC030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rPr>
        <w:t>（1）第一笔款：合同签订后满三个月，且完成首次维保经</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验收合格后，</w:t>
      </w:r>
      <w:r>
        <w:rPr>
          <w:rFonts w:hint="eastAsia" w:asciiTheme="minorEastAsia" w:hAnsiTheme="minorEastAsia" w:cstheme="minorEastAsia"/>
          <w:color w:val="auto"/>
          <w:kern w:val="0"/>
          <w:sz w:val="24"/>
          <w:lang w:val="en-US" w:eastAsia="zh-CN"/>
        </w:rPr>
        <w:t>投</w:t>
      </w:r>
      <w:r>
        <w:rPr>
          <w:rFonts w:hint="eastAsia" w:asciiTheme="minorEastAsia" w:hAnsiTheme="minorEastAsia" w:eastAsiaTheme="minorEastAsia" w:cstheme="minorEastAsia"/>
          <w:color w:val="auto"/>
          <w:kern w:val="0"/>
          <w:sz w:val="24"/>
          <w:lang w:eastAsia="zh-CN"/>
        </w:rPr>
        <w:t>标人</w:t>
      </w:r>
      <w:r>
        <w:rPr>
          <w:rFonts w:hint="eastAsia" w:asciiTheme="minorEastAsia" w:hAnsiTheme="minorEastAsia" w:eastAsiaTheme="minorEastAsia" w:cstheme="minorEastAsia"/>
          <w:color w:val="auto"/>
          <w:kern w:val="0"/>
          <w:sz w:val="24"/>
        </w:rPr>
        <w:t>向</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出具合同总金额50%的发票，自</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财务收到</w:t>
      </w:r>
      <w:r>
        <w:rPr>
          <w:rFonts w:hint="eastAsia" w:asciiTheme="minorEastAsia" w:hAnsiTheme="minorEastAsia" w:eastAsiaTheme="minorEastAsia" w:cstheme="minorEastAsia"/>
          <w:color w:val="auto"/>
          <w:kern w:val="0"/>
          <w:sz w:val="24"/>
          <w:lang w:eastAsia="zh-CN"/>
        </w:rPr>
        <w:t>投标人</w:t>
      </w:r>
      <w:r>
        <w:rPr>
          <w:rFonts w:hint="eastAsia" w:asciiTheme="minorEastAsia" w:hAnsiTheme="minorEastAsia" w:eastAsiaTheme="minorEastAsia" w:cstheme="minorEastAsia"/>
          <w:color w:val="auto"/>
          <w:kern w:val="0"/>
          <w:sz w:val="24"/>
        </w:rPr>
        <w:t>发票之日起</w:t>
      </w:r>
      <w:r>
        <w:rPr>
          <w:rFonts w:hint="eastAsia" w:asciiTheme="minorEastAsia" w:hAnsiTheme="minorEastAsia" w:eastAsiaTheme="minorEastAsia" w:cstheme="minorEastAsia"/>
          <w:color w:val="auto"/>
          <w:kern w:val="0"/>
          <w:sz w:val="24"/>
          <w:lang w:val="en-US" w:eastAsia="zh-CN"/>
        </w:rPr>
        <w:t>10个工作日内</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向</w:t>
      </w:r>
      <w:r>
        <w:rPr>
          <w:rFonts w:hint="eastAsia" w:asciiTheme="minorEastAsia" w:hAnsiTheme="minorEastAsia" w:eastAsiaTheme="minorEastAsia" w:cstheme="minorEastAsia"/>
          <w:color w:val="auto"/>
          <w:kern w:val="0"/>
          <w:sz w:val="24"/>
          <w:lang w:eastAsia="zh-CN"/>
        </w:rPr>
        <w:t>投标人</w:t>
      </w:r>
      <w:r>
        <w:rPr>
          <w:rFonts w:hint="eastAsia" w:asciiTheme="minorEastAsia" w:hAnsiTheme="minorEastAsia" w:eastAsiaTheme="minorEastAsia" w:cstheme="minorEastAsia"/>
          <w:color w:val="auto"/>
          <w:kern w:val="0"/>
          <w:sz w:val="24"/>
        </w:rPr>
        <w:t>支付发票等额款项</w:t>
      </w:r>
      <w:r>
        <w:rPr>
          <w:rFonts w:hint="eastAsia" w:asciiTheme="minorEastAsia" w:hAnsiTheme="minorEastAsia" w:eastAsiaTheme="minorEastAsia" w:cstheme="minorEastAsia"/>
          <w:color w:val="auto"/>
          <w:kern w:val="0"/>
          <w:sz w:val="24"/>
          <w:lang w:eastAsia="zh-CN"/>
        </w:rPr>
        <w:t>。</w:t>
      </w:r>
    </w:p>
    <w:p w14:paraId="7BB949A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（2）第二笔款：合同期满后，采购人根据履约考评结果，确定第二笔款结算金额：若年度平均分为80分及以上，</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向</w:t>
      </w:r>
      <w:r>
        <w:rPr>
          <w:rFonts w:hint="eastAsia" w:asciiTheme="minorEastAsia" w:hAnsiTheme="minorEastAsia" w:eastAsiaTheme="minorEastAsia" w:cstheme="minorEastAsia"/>
          <w:color w:val="auto"/>
          <w:kern w:val="0"/>
          <w:sz w:val="24"/>
          <w:lang w:eastAsia="zh-CN"/>
        </w:rPr>
        <w:t>投标人</w:t>
      </w:r>
      <w:r>
        <w:rPr>
          <w:rFonts w:hint="eastAsia" w:asciiTheme="minorEastAsia" w:hAnsiTheme="minorEastAsia" w:eastAsiaTheme="minorEastAsia" w:cstheme="minorEastAsia"/>
          <w:color w:val="auto"/>
          <w:kern w:val="0"/>
          <w:sz w:val="24"/>
        </w:rPr>
        <w:t>支付剩余50 %的合同款项，若年度</w:t>
      </w:r>
      <w:r>
        <w:rPr>
          <w:rFonts w:hint="eastAsia" w:asciiTheme="minorEastAsia" w:hAnsiTheme="minorEastAsia" w:eastAsiaTheme="minorEastAsia" w:cstheme="minorEastAsia"/>
          <w:color w:val="auto"/>
          <w:kern w:val="0"/>
          <w:sz w:val="24"/>
          <w:lang w:val="en-US" w:eastAsia="zh-CN"/>
        </w:rPr>
        <w:t>考核</w:t>
      </w:r>
      <w:r>
        <w:rPr>
          <w:rFonts w:hint="eastAsia" w:asciiTheme="minorEastAsia" w:hAnsiTheme="minorEastAsia" w:eastAsiaTheme="minorEastAsia" w:cstheme="minorEastAsia"/>
          <w:color w:val="auto"/>
          <w:kern w:val="0"/>
          <w:sz w:val="24"/>
        </w:rPr>
        <w:t>平均分为80分以下，每减一分降一个百分点，每降一个百分点扣除合同总金额的百分之一。</w:t>
      </w:r>
      <w:r>
        <w:rPr>
          <w:rFonts w:hint="eastAsia" w:asciiTheme="minorEastAsia" w:hAnsiTheme="minorEastAsia" w:cstheme="minorEastAsia"/>
          <w:color w:val="auto"/>
          <w:kern w:val="0"/>
          <w:sz w:val="24"/>
          <w:lang w:val="en-US" w:eastAsia="zh-CN"/>
        </w:rPr>
        <w:t>投</w:t>
      </w:r>
      <w:r>
        <w:rPr>
          <w:rFonts w:hint="eastAsia" w:asciiTheme="minorEastAsia" w:hAnsiTheme="minorEastAsia" w:eastAsiaTheme="minorEastAsia" w:cstheme="minorEastAsia"/>
          <w:color w:val="auto"/>
          <w:kern w:val="0"/>
          <w:sz w:val="24"/>
          <w:lang w:eastAsia="zh-CN"/>
        </w:rPr>
        <w:t>标人</w:t>
      </w:r>
      <w:r>
        <w:rPr>
          <w:rFonts w:hint="eastAsia" w:asciiTheme="minorEastAsia" w:hAnsiTheme="minorEastAsia" w:eastAsiaTheme="minorEastAsia" w:cstheme="minorEastAsia"/>
          <w:color w:val="auto"/>
          <w:kern w:val="0"/>
          <w:sz w:val="24"/>
        </w:rPr>
        <w:t>出具与第二笔款结算金额等额的发票，自</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财务收到</w:t>
      </w:r>
      <w:r>
        <w:rPr>
          <w:rFonts w:hint="eastAsia" w:asciiTheme="minorEastAsia" w:hAnsiTheme="minorEastAsia" w:cstheme="minorEastAsia"/>
          <w:color w:val="auto"/>
          <w:kern w:val="0"/>
          <w:sz w:val="24"/>
          <w:lang w:val="en-US" w:eastAsia="zh-CN"/>
        </w:rPr>
        <w:t>投</w:t>
      </w:r>
      <w:r>
        <w:rPr>
          <w:rFonts w:hint="eastAsia" w:asciiTheme="minorEastAsia" w:hAnsiTheme="minorEastAsia" w:eastAsiaTheme="minorEastAsia" w:cstheme="minorEastAsia"/>
          <w:color w:val="auto"/>
          <w:kern w:val="0"/>
          <w:sz w:val="24"/>
          <w:lang w:eastAsia="zh-CN"/>
        </w:rPr>
        <w:t>标人</w:t>
      </w:r>
      <w:r>
        <w:rPr>
          <w:rFonts w:hint="eastAsia" w:asciiTheme="minorEastAsia" w:hAnsiTheme="minorEastAsia" w:eastAsiaTheme="minorEastAsia" w:cstheme="minorEastAsia"/>
          <w:color w:val="auto"/>
          <w:kern w:val="0"/>
          <w:sz w:val="24"/>
        </w:rPr>
        <w:t>发票之日起</w:t>
      </w:r>
      <w:r>
        <w:rPr>
          <w:rFonts w:hint="eastAsia" w:asciiTheme="minorEastAsia" w:hAnsiTheme="minorEastAsia" w:eastAsiaTheme="minorEastAsia" w:cstheme="minorEastAsia"/>
          <w:color w:val="auto"/>
          <w:kern w:val="0"/>
          <w:sz w:val="24"/>
          <w:lang w:val="en-US" w:eastAsia="zh-CN"/>
        </w:rPr>
        <w:t>10个工作日</w:t>
      </w:r>
      <w:r>
        <w:rPr>
          <w:rFonts w:hint="eastAsia" w:asciiTheme="minorEastAsia" w:hAnsiTheme="minorEastAsia" w:eastAsiaTheme="minorEastAsia" w:cstheme="minorEastAsia"/>
          <w:color w:val="auto"/>
          <w:kern w:val="0"/>
          <w:sz w:val="24"/>
        </w:rPr>
        <w:t>内，</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向</w:t>
      </w:r>
      <w:r>
        <w:rPr>
          <w:rFonts w:hint="eastAsia" w:asciiTheme="minorEastAsia" w:hAnsiTheme="minorEastAsia" w:eastAsiaTheme="minorEastAsia" w:cstheme="minorEastAsia"/>
          <w:color w:val="auto"/>
          <w:kern w:val="0"/>
          <w:sz w:val="24"/>
          <w:lang w:eastAsia="zh-CN"/>
        </w:rPr>
        <w:t>投标人</w:t>
      </w:r>
      <w:r>
        <w:rPr>
          <w:rFonts w:hint="eastAsia" w:asciiTheme="minorEastAsia" w:hAnsiTheme="minorEastAsia" w:eastAsiaTheme="minorEastAsia" w:cstheme="minorEastAsia"/>
          <w:color w:val="auto"/>
          <w:kern w:val="0"/>
          <w:sz w:val="24"/>
        </w:rPr>
        <w:t>支付发票等额款项</w:t>
      </w:r>
      <w:r>
        <w:rPr>
          <w:rFonts w:hint="eastAsia" w:asciiTheme="minorEastAsia" w:hAnsiTheme="minorEastAsia" w:eastAsiaTheme="minorEastAsia" w:cstheme="minorEastAsia"/>
          <w:color w:val="auto"/>
          <w:kern w:val="0"/>
          <w:sz w:val="24"/>
          <w:lang w:eastAsia="zh-CN"/>
        </w:rPr>
        <w:t>。</w:t>
      </w:r>
    </w:p>
    <w:p w14:paraId="335A6F08">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240" w:lineRule="auto"/>
        <w:ind w:firstLine="482" w:firstLineChars="20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（五）</w:t>
      </w:r>
      <w:r>
        <w:rPr>
          <w:rFonts w:hint="eastAsia" w:ascii="宋体" w:hAnsi="宋体" w:eastAsia="宋体" w:cs="宋体"/>
          <w:b/>
          <w:bCs/>
          <w:sz w:val="24"/>
          <w:szCs w:val="24"/>
          <w:lang w:val="en-US" w:eastAsia="zh-CN"/>
        </w:rPr>
        <w:t>交货及验收</w:t>
      </w:r>
    </w:p>
    <w:p w14:paraId="6608957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1、投标人应向采购人提供项目计划书、软件需求说明书、系统技术说明书、系统测试计划、系统测试报告、用户使用手册。一并交付至采购人。</w:t>
      </w:r>
    </w:p>
    <w:p w14:paraId="14139C4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2、投标人提供的货物、系统必须为全新的货物、系统，采购人有权检验或测试货物、系统，以确认货物/系统是否符合采购人要求，检测或测试费用由投标人承担。若发现投标人所交付的货物或系统与投标文件中所承诺的不符或存在质量、技术缺陷等,采购人有权拒绝接收该货物/系统，投标人应在7日内采取补足、更换或整改等措施,以满足采购人要求，由此发生的一切损失和费用由投标人承担。</w:t>
      </w:r>
    </w:p>
    <w:p w14:paraId="4C45FB4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3、投标人负责系统的现场部署安装和调试，提供系统安装、调试和维修所需的专用工具和辅助材料，并按实施进度要求部署安装调试完毕。</w:t>
      </w:r>
    </w:p>
    <w:p w14:paraId="44D8B34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4、系统上线前，投标人需对系统所有功能进行调试测试，确保交付给采购人的系统功能无任何漏洞及错误。</w:t>
      </w:r>
    </w:p>
    <w:p w14:paraId="5890206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5、投标人完成系统所有功能上线后，需由采购人对系统功能进行逐一验证，方可完成交付。如在验证过程中发现投标人交付的系统不能完全满足采购文件、投标文件、合同约定具有的功能的，投标人应当立即整改直到所交付的系统完全满足采购文件、投标文件及合同约定为止。因投标人交付的系统不符合要求进行整改产生的全部成本，由投标人承担。</w:t>
      </w:r>
    </w:p>
    <w:p w14:paraId="3FC1253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6、技术培训：投标人需制定项目培训计划，针对不同用户角色根据需要提供全面系统的使用培训服务，保证采购人顺利掌握系统各项功能操作。培训的内容及方案应由双方协商制定</w:t>
      </w:r>
    </w:p>
    <w:p w14:paraId="69A4752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7</w:t>
      </w:r>
      <w:r>
        <w:rPr>
          <w:rFonts w:hint="eastAsia" w:asciiTheme="minorEastAsia" w:hAnsiTheme="minorEastAsia" w:eastAsiaTheme="minorEastAsia" w:cstheme="minorEastAsia"/>
          <w:color w:val="auto"/>
          <w:kern w:val="0"/>
          <w:sz w:val="24"/>
          <w:lang w:val="en-US" w:eastAsia="zh-CN"/>
        </w:rPr>
        <w:t>、</w:t>
      </w:r>
      <w:r>
        <w:rPr>
          <w:rFonts w:hint="eastAsia" w:asciiTheme="minorEastAsia" w:hAnsiTheme="minorEastAsia" w:eastAsiaTheme="minorEastAsia" w:cstheme="minorEastAsia"/>
          <w:color w:val="auto"/>
          <w:kern w:val="0"/>
          <w:sz w:val="24"/>
          <w:lang w:eastAsia="zh-CN"/>
        </w:rPr>
        <w:t>维保服务作业应符合法律法规以及国家、地方、行业规范，确保系统处于状态良好、安全、稳定、持续运行的要求。</w:t>
      </w:r>
    </w:p>
    <w:p w14:paraId="67AF1F0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8</w:t>
      </w:r>
      <w:r>
        <w:rPr>
          <w:rFonts w:hint="eastAsia" w:asciiTheme="minorEastAsia" w:hAnsiTheme="minorEastAsia" w:eastAsiaTheme="minorEastAsia" w:cstheme="minorEastAsia"/>
          <w:color w:val="auto"/>
          <w:kern w:val="0"/>
          <w:sz w:val="24"/>
          <w:lang w:val="en-US" w:eastAsia="zh-CN"/>
        </w:rPr>
        <w:t>、</w:t>
      </w:r>
      <w:r>
        <w:rPr>
          <w:rFonts w:hint="eastAsia" w:asciiTheme="minorEastAsia" w:hAnsiTheme="minorEastAsia" w:eastAsiaTheme="minorEastAsia" w:cstheme="minorEastAsia"/>
          <w:color w:val="auto"/>
          <w:kern w:val="0"/>
          <w:sz w:val="24"/>
          <w:lang w:eastAsia="zh-CN"/>
        </w:rPr>
        <w:t>验收标准：服务验收以</w:t>
      </w:r>
      <w:r>
        <w:rPr>
          <w:rFonts w:hint="eastAsia" w:asciiTheme="minorEastAsia" w:hAnsiTheme="minorEastAsia" w:eastAsiaTheme="minorEastAsia" w:cstheme="minorEastAsia"/>
          <w:color w:val="auto"/>
          <w:kern w:val="0"/>
          <w:sz w:val="24"/>
          <w:lang w:val="en-US" w:eastAsia="zh-CN"/>
        </w:rPr>
        <w:t>投标人与采购人</w:t>
      </w:r>
      <w:r>
        <w:rPr>
          <w:rFonts w:hint="eastAsia" w:asciiTheme="minorEastAsia" w:hAnsiTheme="minorEastAsia" w:eastAsiaTheme="minorEastAsia" w:cstheme="minorEastAsia"/>
          <w:color w:val="auto"/>
          <w:kern w:val="0"/>
          <w:sz w:val="24"/>
          <w:lang w:eastAsia="zh-CN"/>
        </w:rPr>
        <w:t>双方共同确认的系统处于正常运行状态为准：</w:t>
      </w:r>
    </w:p>
    <w:p w14:paraId="4B46EAE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1)功能符合招标文件要求，并经采购单位使用人员签收确认。</w:t>
      </w:r>
    </w:p>
    <w:p w14:paraId="684F4E2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2)</w:t>
      </w:r>
      <w:r>
        <w:rPr>
          <w:rFonts w:hint="eastAsia" w:asciiTheme="minorEastAsia" w:hAnsiTheme="minorEastAsia" w:eastAsiaTheme="minorEastAsia" w:cstheme="minorEastAsia"/>
          <w:color w:val="auto"/>
          <w:kern w:val="0"/>
          <w:sz w:val="24"/>
          <w:lang w:eastAsia="zh-CN"/>
        </w:rPr>
        <w:tab/>
      </w:r>
      <w:r>
        <w:rPr>
          <w:rFonts w:hint="eastAsia" w:asciiTheme="minorEastAsia" w:hAnsiTheme="minorEastAsia" w:eastAsiaTheme="minorEastAsia" w:cstheme="minorEastAsia"/>
          <w:color w:val="auto"/>
          <w:kern w:val="0"/>
          <w:sz w:val="24"/>
          <w:lang w:eastAsia="zh-CN"/>
        </w:rPr>
        <w:t>试用期内系统稳定，数据准确，性能良好，未发生故障、数据错误和操作延迟等现象。</w:t>
      </w:r>
    </w:p>
    <w:p w14:paraId="44C3160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3)</w:t>
      </w:r>
      <w:r>
        <w:rPr>
          <w:rFonts w:hint="eastAsia" w:asciiTheme="minorEastAsia" w:hAnsiTheme="minorEastAsia" w:eastAsiaTheme="minorEastAsia" w:cstheme="minorEastAsia"/>
          <w:color w:val="auto"/>
          <w:kern w:val="0"/>
          <w:sz w:val="24"/>
          <w:lang w:eastAsia="zh-CN"/>
        </w:rPr>
        <w:tab/>
      </w:r>
      <w:r>
        <w:rPr>
          <w:rFonts w:hint="eastAsia" w:asciiTheme="minorEastAsia" w:hAnsiTheme="minorEastAsia" w:eastAsiaTheme="minorEastAsia" w:cstheme="minorEastAsia"/>
          <w:color w:val="auto"/>
          <w:kern w:val="0"/>
          <w:sz w:val="24"/>
          <w:lang w:eastAsia="zh-CN"/>
        </w:rPr>
        <w:t>实施方案、配置手册、操作说明、用户手册等技术文档齐全。</w:t>
      </w:r>
    </w:p>
    <w:p w14:paraId="3CA49DE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9</w:t>
      </w:r>
      <w:r>
        <w:rPr>
          <w:rFonts w:hint="eastAsia" w:asciiTheme="minorEastAsia" w:hAnsiTheme="minorEastAsia" w:eastAsiaTheme="minorEastAsia" w:cstheme="minorEastAsia"/>
          <w:color w:val="auto"/>
          <w:kern w:val="0"/>
          <w:sz w:val="24"/>
          <w:lang w:val="en-US" w:eastAsia="zh-CN"/>
        </w:rPr>
        <w:t>、</w:t>
      </w:r>
      <w:r>
        <w:rPr>
          <w:rFonts w:hint="eastAsia" w:asciiTheme="minorEastAsia" w:hAnsiTheme="minorEastAsia" w:eastAsiaTheme="minorEastAsia" w:cstheme="minorEastAsia"/>
          <w:color w:val="auto"/>
          <w:kern w:val="0"/>
          <w:sz w:val="24"/>
          <w:lang w:eastAsia="zh-CN"/>
        </w:rPr>
        <w:t>每次维保服务工作结束并得到采购人认可后，双方均需填写并签署维保报告一式两份，甲乙各一份。乙方每次维保后应对系统的现状、采购人使用中需要注意的内容写入维保报告。</w:t>
      </w:r>
    </w:p>
    <w:p w14:paraId="59B08E3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10</w:t>
      </w:r>
      <w:r>
        <w:rPr>
          <w:rFonts w:hint="eastAsia" w:asciiTheme="minorEastAsia" w:hAnsiTheme="minorEastAsia" w:eastAsiaTheme="minorEastAsia" w:cstheme="minorEastAsia"/>
          <w:color w:val="auto"/>
          <w:kern w:val="0"/>
          <w:sz w:val="24"/>
          <w:lang w:eastAsia="zh-CN"/>
        </w:rPr>
        <w:t>、投标人提供的各种文件载明的内容必须真实，采购人对产品的技术数据置疑时有权要求投标人按照双方认可的第三方检测机构出具的检验方法进行检测(检测费用由投标人承担)，检测结果必须证明投标人提供的技术数据是真实的，否则视为不合格。</w:t>
      </w:r>
    </w:p>
    <w:p w14:paraId="51060CCC">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240" w:lineRule="auto"/>
        <w:ind w:firstLine="480" w:firstLineChars="200"/>
        <w:textAlignment w:val="auto"/>
        <w:rPr>
          <w:rFonts w:hint="eastAsia" w:ascii="宋体" w:hAnsi="宋体" w:eastAsia="宋体" w:cs="宋体"/>
          <w:bCs/>
          <w:sz w:val="24"/>
          <w:szCs w:val="24"/>
        </w:rPr>
      </w:pPr>
      <w:r>
        <w:rPr>
          <w:rFonts w:hint="eastAsia" w:asciiTheme="minorEastAsia" w:hAnsiTheme="minorEastAsia" w:cstheme="minorEastAsia"/>
          <w:color w:val="auto"/>
          <w:kern w:val="0"/>
          <w:sz w:val="24"/>
          <w:lang w:val="en-US" w:eastAsia="zh-CN"/>
        </w:rPr>
        <w:t>11</w:t>
      </w:r>
      <w:r>
        <w:rPr>
          <w:rFonts w:hint="eastAsia" w:asciiTheme="minorEastAsia" w:hAnsiTheme="minorEastAsia" w:eastAsiaTheme="minorEastAsia" w:cstheme="minorEastAsia"/>
          <w:color w:val="auto"/>
          <w:kern w:val="0"/>
          <w:sz w:val="24"/>
          <w:lang w:eastAsia="zh-CN"/>
        </w:rPr>
        <w:t>、验收不合格，投标人必须按照国家相关技术规范和招标文件要求、投标文件承诺限期进行整改，并承担一切费用。若因此导致逾期验收的，每逾期一日，投标人应向采购人支付合同总价款5‰的违约金。逾期超过30日的，投标人须向采购人另行支付合同总金额10%的违约金，且采购人有权单方解除合同，投标人须在收到采购人解除合同通知后3日内无条件退回采购人已经支付的全部款项</w:t>
      </w:r>
      <w:r>
        <w:rPr>
          <w:rFonts w:hint="eastAsia" w:ascii="宋体" w:hAnsi="宋体"/>
          <w:color w:val="000000"/>
          <w:sz w:val="24"/>
          <w:szCs w:val="24"/>
        </w:rPr>
        <w:t>。</w:t>
      </w:r>
    </w:p>
    <w:p w14:paraId="7EAC261A">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24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（六）售后服务</w:t>
      </w:r>
      <w:r>
        <w:rPr>
          <w:rFonts w:hint="eastAsia" w:ascii="宋体" w:hAnsi="宋体" w:eastAsia="宋体" w:cs="宋体"/>
          <w:b/>
          <w:sz w:val="24"/>
          <w:szCs w:val="24"/>
          <w:lang w:val="en-US" w:eastAsia="zh-CN"/>
        </w:rPr>
        <w:t>及质量保证</w:t>
      </w:r>
      <w:r>
        <w:rPr>
          <w:rFonts w:hint="eastAsia" w:ascii="宋体" w:hAnsi="宋体" w:eastAsia="宋体" w:cs="宋体"/>
          <w:b/>
          <w:sz w:val="24"/>
          <w:szCs w:val="24"/>
        </w:rPr>
        <w:t>要求</w:t>
      </w:r>
    </w:p>
    <w:p w14:paraId="6856C52B">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1、维护期内免上门费、维修费、常规系统升级费（含历史版本漏洞补丁升级、适配性升级）。在软件维保期内，供应商应通过远程控制、电话指导、现场处理的方式提供7×24小时的响应服务，针对本项目前3次续保服务中已记录的历史高频故障，需制定专项故障处理预案并前置部署解决措施。所供软件出现问题时，响应时间不超过30分钟；一般故障处理时间不大于2小时；特殊故障（含系统兼容性故障、硬件老化联动故障）修复时间不大于24小时，若24小时内无法修复，需立即启动应急备用方案（详见本条第6款）。</w:t>
      </w:r>
    </w:p>
    <w:p w14:paraId="561857F9">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2、中标供应商须根据医院方实际需求，提供专项定制化培训（而非基础操作培训），培训内容聚焦：前3次续保服务中的高频问题解决、新升级功能操作、系统安全风险防控、历史故障复盘优化等；培训形式可采用线上线下结合，培训后完成考核，确保医院维护人员能独立处理进阶性日常维护问题；同时建立季度技术交流机制，针对系统运行新问题进行即时培训指导。</w:t>
      </w:r>
    </w:p>
    <w:p w14:paraId="2D1641D9">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3、供应商应在投标文件中列明本次续保范围内所有软件、硬件的质保期限及老旧设备替换方案；软件系统提供至少1年维保期，本项下所有硬件设备提供至少3年质保期（针对已运行超3年的老旧硬件，需提供免费检测及成本价替换服务），质保期自本次续保合同签订之日起计算。</w:t>
      </w:r>
    </w:p>
    <w:p w14:paraId="21E6B362">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4、安全维护：维保期内，供应商向采购人提供软件全维度维护和支持服务，每月提供1次系统安全漏洞扫描报告，每季度提供1次安全风险评估报告，并及时完成国家、省、市各级主管部门要求的安全性漏洞修复、适配性升级服务；维保期外，供应商仍免费提供高危安全性漏洞修复、升级服务。</w:t>
      </w:r>
    </w:p>
    <w:p w14:paraId="198A6F5C">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5、供应商承诺本次续保范围内所有货物（包括但不限于设备、软件、硬件、系统等）原厂保修，并提供盖章承诺函；针对前3次续保中未完善的技术文档，需在本次合同签订后15日内完成补全并提交采购人。维保期内，年度定期保养次数不少于4次（每季度1次），并留存详细维护记录（含保养内容、设备运行参数、问题整改情况），保养记录需经医院方签字确认后归档。维保期内更换零配件免工时费，常规维修零配件由供应商免费提供，大型核心硬件配件可按双方约定的成本价提供。实施系统维护、修改设计或版本升级后，保证在3个工作日内更新有关技术文档并提交采购人。</w:t>
      </w:r>
    </w:p>
    <w:p w14:paraId="1138DFF6">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6、供应商提供7×24小时售后服务，故障响应时间与本条第1款保持一致（30分钟内），若通过远程维护不能解决的问题，市区内2小时内到达现场（深圳福田院区）提供维护服务。维保期内及外，若货物（包括但不限于软件、系统、硬件、设备等）出现故障无法正常使用，供应商应提供可落地的应急备用方案（明确备用机型号、部署地点、启用时限、数据同步方式），确保医院云签系统核心业务（电子签名、证书签发/更新）不中断，保障采购人日常工作开展，直至系统修复完好并完成数据同步后投入使用。</w:t>
      </w:r>
    </w:p>
    <w:p w14:paraId="01BD31C5">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7、本次维保期满后，供应商对系统、软件、硬件、设备终身负责维修、安装、升级软件服务，基于本项目4次续保的长期合作关系，长期以不高于本次续保合同总金额8%的优惠价提供年度维保服务（含常规维护、安全扫描、技术支持）；若医院方有新增功能开发、大型硬件替换等特殊需求，费用另行协商。</w:t>
      </w:r>
    </w:p>
    <w:p w14:paraId="5D54A733">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8、维保期内，供应商免费将本项目涉及系统升级至稳定版最新版本（非测试版），并开放系统/设备的标准接口；维保期内，因各级政府部门政策要求、医院方现有信息系统升级导致的云签系统连接、数据交互或接口变更，供应商免费提供接口适配、调试服务，仅因医院方新增信息系统、新增功能需求产生的接口开发费、二次开发费由采购人承担，供应商需提供费用明细及合理报价，经医院方确认后实施。</w:t>
      </w:r>
    </w:p>
    <w:p w14:paraId="5BA33E10">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9、服务方式及范围：供应商成立本次续保专项服务组，项目负责人需为前3次续保服务中无重大投诉的核心人员，团队至少包含1名常驻技术支持人员（深圳福田区域）、1名安全维护工程师、1名硬件维修工程师；专项服务组需针对本次续保制定年度服务计划，明确各阶段工作内容、质量把控标准、文档整理要求，从服务启动到合同期满提供全流程服务，每月向医院方提交服务工作月报（含故障处理、保养、培训、安全扫描等内容）。</w:t>
      </w:r>
    </w:p>
    <w:p w14:paraId="1FFCBB7E">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10、系统安全服务：供应商需在本次续保合同签订后30日内，委托双方共同认可的第三方权威机构对云签系统进行全面安全性测试（测试内容含漏洞扫描、渗透测试、数据加密检测），测试费用由供应商承担，测试报告提交医院方备案；维保期内，每半年需完成1次第三方安全性复测，确保系统符合国家卫健委、深圳市卫健委最新安全标准。</w:t>
      </w:r>
    </w:p>
    <w:p w14:paraId="5ABBBD70">
      <w:pPr>
        <w:pStyle w:val="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11、历史问题整改：供应商需在本次续保合同签订后15日内，梳理前3次续保服务中医院方反馈的未闭环问题、待优化需求，形成《历史问题整改计划表》（明确整改措施、整改时限、责任人），经医院方确认后实施，所有整改工作免费完成，整改完成后需经医院方验收签字闭环。</w:t>
      </w:r>
    </w:p>
    <w:p w14:paraId="3299D73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cstheme="minorEastAsia"/>
          <w:color w:val="auto"/>
          <w:kern w:val="0"/>
          <w:sz w:val="24"/>
          <w:szCs w:val="24"/>
          <w:lang w:val="en-US" w:eastAsia="zh-CN" w:bidi="ar-SA"/>
        </w:rPr>
        <w:t>12、</w:t>
      </w:r>
      <w:r>
        <w:rPr>
          <w:rFonts w:hint="eastAsia" w:asciiTheme="minorEastAsia" w:hAnsiTheme="minorEastAsia" w:eastAsiaTheme="minorEastAsia" w:cstheme="minorEastAsia"/>
          <w:color w:val="auto"/>
          <w:kern w:val="0"/>
          <w:sz w:val="24"/>
          <w:szCs w:val="24"/>
          <w:lang w:val="en-US" w:eastAsia="zh-CN" w:bidi="ar-SA"/>
        </w:rPr>
        <w:t>投标人须保证其提供的产品和为本项目安装的软件均为具有合法版权或使用权的正版软件且无质量瑕疵。投标人应承诺其提供的产品、服务等不会以任何形式侵犯他人合法的知识产权。如投标人提供的产品或服务侵犯他人知识产权，因侵权行为造成的一切经济和法律责任均由投标人自行承担，且投标人应承担因此给采购人造成的一切损失</w:t>
      </w:r>
    </w:p>
    <w:p w14:paraId="0FF6617F">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24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1809C4A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1、投标人未按合同的规定和采购人的要求履行义务或履行不合要求的，采购人有权在合同履行过程中或在验收时扣减项目费用，具体扣减费用由采购人根据实际情况确定。</w:t>
      </w:r>
    </w:p>
    <w:p w14:paraId="6DEDA18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2、因投标人人员工作失误等原因造成采购人损失的，由投标人予以赔偿，具体扣减费用由采购人根据实际情况确定。</w:t>
      </w:r>
    </w:p>
    <w:p w14:paraId="3B44004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3、投标人所交付项目的品类、规格、型号、质量、功能、技术参数等方面不能实质性满足招标文件要求或不符合合同约定的，采购人有权拒绝收货，投标人须向采购人支付合同总金额5%的违约金，同时投标人须在采购人要求的时限内重新供货或完成整改。</w:t>
      </w:r>
    </w:p>
    <w:p w14:paraId="0D9D2C3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4、投标人逾期交货，或逾期完成安装调试，或逾期通过验收的，投标人须向采购人支付逾期违约金，每逾期一日，须向采购人支付合同总金额5‰的违约金，逾期超过30日的，投标人须向采购人另行支付合同总金额10%的违约金，且采购人有权单方解除合同，投标人须在收到采购人解除合同通知后3日内无条件退回采购人已经支付的全部款项。</w:t>
      </w:r>
    </w:p>
    <w:p w14:paraId="3442C3A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5、若投标人履行义务不符合约定，经采购人书面提出后10天内仍没有改正，或整改后仍达不到采购人要求的，采购人有权单方解除合同，并要求投标人承担违约责任。因投标人违约导致采购人提前解除合同的，投标人须退回采购人已经支付的全部款项，且应按本合同总金额10%的比例向采购人支付违约金，并赔偿采购人由此而引起的直接和间接损失。</w:t>
      </w:r>
    </w:p>
    <w:p w14:paraId="12F857D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6、投标人保证采购人在使用投标人提供的业务系统软件、硬件、设备或本项目的成果、服务时，不会产生因第三方提出的包括但不限于侵犯其专利权、商标权、工业设计权等知识产权或侵犯其所有权、抵押权等物权或其他权利而引发的纠纷。若有纠纷，投标人应承担全部责任（包括一切经济及法律责任），并赔偿给采购人造成的全部损失。</w:t>
      </w:r>
    </w:p>
    <w:p w14:paraId="4BBF079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7、本合同项下的全部项目成果以及采购人提供给投标人的信息、资料等的所有权和知识产权全部归采购人所有。投标人除为本合同履行系统交付以外，未经采购人书面同意不得擅自使用上述资料、信息及项目成果，否则投标人应承担违约责任，并赔偿因此给采购人及第三方造成的全部损失。</w:t>
      </w:r>
    </w:p>
    <w:p w14:paraId="5581CA0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8、投标人不得以任何理由将其在本合同项下的权利或义务全部或部分转让给任何第三方，不得将本项目转包或者分包，否则采购人有权单方解除本合同，投标人须退还采购人已付的全部款项，并向采购人支付本合同总金额30%的违约金。</w:t>
      </w:r>
    </w:p>
    <w:p w14:paraId="3AB2029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9、 投标人所交付的货物、工程或服务不符合其投标承诺的，或在投标阶段为中标而盲目虚假承诺、低价恶性竞争的，或在履行合同阶段通过偷工减料、以次充好获取利润的，采购人有权没收全部履约保证金，并交有关机关依法依规处理，全部责任由投标人自行承担。</w:t>
      </w:r>
    </w:p>
    <w:p w14:paraId="24FA54C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10、本项目成果（包括但不限于软件、系统等）因系统漏洞等原因被国家、省、市、区等各级行政相关部门通报的，投标人须配合采购人整改，并不得收取任何费用，直到达到政府相关部门要求为止；给采购人或第三方造成直接或间接经济损失的，由投标人负责赔偿并承担一切经济及法律责任。</w:t>
      </w:r>
    </w:p>
    <w:p w14:paraId="683D8A1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11、本项目货物在采购人使用期间，投标人提供的货物及与该货物有关的技术、总设备等存在瑕疵从而在使用过程中给采购人或任何第三方以及患者造成任何人身、财产、名誉损失、民事纠纷的，投标人须负责全部赔偿并承担一切经济及法律责任(包括但不限于投标人应承担生效的法院判决/仲裁裁决确定的应由投标人承担的责任)</w:t>
      </w:r>
      <w:r>
        <w:rPr>
          <w:rFonts w:hint="eastAsia" w:asciiTheme="minorEastAsia" w:hAnsiTheme="minorEastAsia" w:cstheme="minorEastAsia"/>
          <w:color w:val="auto"/>
          <w:kern w:val="0"/>
          <w:sz w:val="24"/>
          <w:lang w:eastAsia="zh-CN"/>
        </w:rPr>
        <w:t>。</w:t>
      </w:r>
    </w:p>
    <w:p w14:paraId="508B3717">
      <w:pPr>
        <w:spacing w:line="360" w:lineRule="auto"/>
        <w:ind w:left="420" w:firstLine="210" w:firstLineChars="100"/>
      </w:pP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22206"/>
      <w:bookmarkStart w:id="1" w:name="_Toc9128_WPSOffice_Level1"/>
      <w:bookmarkStart w:id="2" w:name="_Toc435514851"/>
      <w:bookmarkStart w:id="3" w:name="_Toc8307306"/>
      <w:bookmarkStart w:id="4" w:name="_Toc24338"/>
      <w:bookmarkStart w:id="5" w:name="_Toc435115056"/>
      <w:bookmarkStart w:id="6" w:name="_Toc5712862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2"/>
        <w:rPr>
          <w:rFonts w:eastAsia="方正小标宋简体"/>
          <w:kern w:val="0"/>
          <w:sz w:val="44"/>
          <w:szCs w:val="36"/>
        </w:rPr>
      </w:pPr>
    </w:p>
    <w:p w14:paraId="2AED19B6">
      <w:pPr>
        <w:rPr>
          <w:rFonts w:eastAsia="方正小标宋简体"/>
          <w:kern w:val="0"/>
          <w:sz w:val="44"/>
          <w:szCs w:val="36"/>
        </w:rPr>
      </w:pPr>
    </w:p>
    <w:p w14:paraId="399281C6">
      <w:pPr>
        <w:pStyle w:val="2"/>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57128627"/>
      <w:bookmarkStart w:id="8" w:name="_Toc8080"/>
      <w:bookmarkStart w:id="9" w:name="_Toc435514852"/>
      <w:bookmarkStart w:id="10" w:name="_Toc43551529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9"/>
        </w:numPr>
        <w:rPr>
          <w:rFonts w:eastAsia="黑体"/>
          <w:snapToGrid w:val="0"/>
          <w:kern w:val="0"/>
          <w:sz w:val="28"/>
          <w:szCs w:val="28"/>
        </w:rPr>
      </w:pPr>
      <w:r>
        <w:rPr>
          <w:rFonts w:eastAsia="黑体"/>
          <w:snapToGrid w:val="0"/>
          <w:kern w:val="0"/>
          <w:sz w:val="28"/>
          <w:szCs w:val="28"/>
        </w:rPr>
        <w:t>诚信承诺函</w:t>
      </w:r>
    </w:p>
    <w:p w14:paraId="54E057F0">
      <w:pPr>
        <w:pStyle w:val="2"/>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2"/>
        <w:numPr>
          <w:ilvl w:val="0"/>
          <w:numId w:val="9"/>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0"/>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4"/>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2"/>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2"/>
        <w:rPr>
          <w:b/>
          <w:bCs/>
        </w:rPr>
      </w:pPr>
      <w:r>
        <w:rPr>
          <w:b/>
          <w:bCs/>
        </w:rPr>
        <w:t>备注：</w:t>
      </w:r>
    </w:p>
    <w:p w14:paraId="19A2D45A">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1"/>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1"/>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2"/>
        <w:rPr>
          <w:b/>
          <w:bCs/>
        </w:rPr>
      </w:pPr>
    </w:p>
    <w:p w14:paraId="103D1342">
      <w:pPr>
        <w:rPr>
          <w:rFonts w:eastAsia="宋体"/>
          <w:b/>
          <w:bCs/>
        </w:rPr>
      </w:pPr>
    </w:p>
    <w:p w14:paraId="7B0A66FA">
      <w:pPr>
        <w:pStyle w:val="2"/>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598"/>
        <w:gridCol w:w="265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275865606"/>
      <w:bookmarkStart w:id="17" w:name="_Toc435515295"/>
      <w:bookmarkStart w:id="18" w:name="_Toc57128632"/>
      <w:bookmarkStart w:id="19" w:name="_Toc24650"/>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A485F68">
      <w:pPr>
        <w:pStyle w:val="2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1"/>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648A9611">
      <w:pPr>
        <w:pStyle w:val="21"/>
        <w:numPr>
          <w:ilvl w:val="0"/>
          <w:numId w:val="0"/>
        </w:numPr>
        <w:jc w:val="center"/>
        <w:rPr>
          <w:rFonts w:hint="eastAsia" w:ascii="宋体" w:hAnsi="宋体" w:cs="宋体"/>
          <w:b/>
          <w:szCs w:val="21"/>
          <w:highlight w:val="none"/>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p w14:paraId="50DD7CF1">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color w:val="000000"/>
          <w:lang w:val="en-US"/>
        </w:rPr>
      </w:pPr>
      <w:r>
        <w:rPr>
          <w:rFonts w:hint="eastAsia" w:ascii="宋体" w:hAnsi="宋体" w:eastAsia="宋体" w:cs="宋体"/>
          <w:color w:val="000000"/>
          <w:lang w:eastAsia="zh-CN"/>
        </w:rPr>
        <w:t>甲方：中山大学附属第八医院（深圳福田）</w:t>
      </w:r>
    </w:p>
    <w:p w14:paraId="0B83C1AF">
      <w:pPr>
        <w:pStyle w:val="14"/>
        <w:keepNext w:val="0"/>
        <w:pageBreakBefore w:val="0"/>
        <w:widowControl/>
        <w:kinsoku/>
        <w:wordWrap/>
        <w:overflowPunct/>
        <w:topLinePunct w:val="0"/>
        <w:autoSpaceDE/>
        <w:autoSpaceDN/>
        <w:bidi w:val="0"/>
        <w:spacing w:line="360" w:lineRule="auto"/>
        <w:outlineLvl w:val="9"/>
        <w:rPr>
          <w:rFonts w:hAnsi="宋体" w:cs="宋体"/>
          <w:sz w:val="24"/>
          <w:szCs w:val="24"/>
          <w:lang w:val="en-US"/>
        </w:rPr>
      </w:pPr>
      <w:r>
        <w:rPr>
          <w:rFonts w:hAnsi="宋体" w:cs="宋体"/>
          <w:sz w:val="24"/>
          <w:szCs w:val="24"/>
          <w:lang w:eastAsia="zh-CN"/>
        </w:rPr>
        <w:t>法定代表人</w:t>
      </w:r>
      <w:r>
        <w:rPr>
          <w:rFonts w:hAnsi="宋体" w:cs="宋体"/>
          <w:sz w:val="24"/>
          <w:szCs w:val="24"/>
          <w:lang w:val="en-US"/>
        </w:rPr>
        <w:t>:</w:t>
      </w:r>
    </w:p>
    <w:p w14:paraId="4BA1E0BA">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szCs w:val="24"/>
          <w:lang w:val="en-US"/>
        </w:rPr>
      </w:pPr>
      <w:r>
        <w:rPr>
          <w:rFonts w:hint="eastAsia" w:ascii="宋体" w:hAnsi="宋体" w:eastAsia="宋体" w:cs="宋体"/>
          <w:szCs w:val="24"/>
          <w:lang w:eastAsia="zh-CN"/>
        </w:rPr>
        <w:t>地址：深圳市福田区福田街道深南中路</w:t>
      </w:r>
      <w:r>
        <w:rPr>
          <w:rFonts w:hint="eastAsia" w:ascii="宋体" w:hAnsi="宋体" w:eastAsia="宋体" w:cs="宋体"/>
          <w:szCs w:val="24"/>
          <w:lang w:val="en-US"/>
        </w:rPr>
        <w:t>3025</w:t>
      </w:r>
      <w:r>
        <w:rPr>
          <w:rFonts w:hint="eastAsia" w:ascii="宋体" w:hAnsi="宋体" w:eastAsia="宋体" w:cs="宋体"/>
          <w:szCs w:val="24"/>
          <w:lang w:eastAsia="zh-CN"/>
        </w:rPr>
        <w:t>号</w:t>
      </w:r>
    </w:p>
    <w:p w14:paraId="1A3F9720">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szCs w:val="24"/>
          <w:lang w:val="en-US"/>
        </w:rPr>
      </w:pPr>
      <w:r>
        <w:rPr>
          <w:rFonts w:hint="eastAsia" w:ascii="宋体" w:hAnsi="宋体" w:eastAsia="宋体" w:cs="宋体"/>
          <w:szCs w:val="24"/>
          <w:lang w:eastAsia="zh-CN"/>
        </w:rPr>
        <w:t>统一社会信用代码：</w:t>
      </w:r>
      <w:r>
        <w:rPr>
          <w:rFonts w:hint="eastAsia" w:ascii="宋体" w:hAnsi="宋体" w:eastAsia="宋体" w:cs="宋体"/>
          <w:szCs w:val="24"/>
          <w:lang w:val="en-US"/>
        </w:rPr>
        <w:t>124403044557440305</w:t>
      </w:r>
    </w:p>
    <w:p w14:paraId="5A6A0DD3">
      <w:pPr>
        <w:pStyle w:val="2"/>
        <w:keepNext w:val="0"/>
        <w:pageBreakBefore w:val="0"/>
        <w:widowControl/>
        <w:kinsoku/>
        <w:wordWrap/>
        <w:overflowPunct/>
        <w:topLinePunct w:val="0"/>
        <w:autoSpaceDE/>
        <w:autoSpaceDN/>
        <w:bidi w:val="0"/>
        <w:spacing w:after="0" w:afterAutospacing="0" w:line="360" w:lineRule="auto"/>
        <w:jc w:val="left"/>
        <w:outlineLvl w:val="9"/>
        <w:rPr>
          <w:rFonts w:hint="eastAsia" w:ascii="宋体" w:hAnsi="宋体" w:eastAsia="宋体" w:cs="宋体"/>
          <w:sz w:val="24"/>
          <w:szCs w:val="24"/>
          <w:lang w:val="en-US"/>
        </w:rPr>
      </w:pPr>
      <w:r>
        <w:rPr>
          <w:rFonts w:hint="eastAsia" w:ascii="宋体" w:hAnsi="宋体" w:eastAsia="宋体" w:cs="宋体"/>
          <w:sz w:val="24"/>
          <w:szCs w:val="24"/>
          <w:lang w:eastAsia="zh-CN"/>
        </w:rPr>
        <w:t>联系人：</w:t>
      </w:r>
      <w:r>
        <w:rPr>
          <w:rFonts w:hint="eastAsia" w:ascii="宋体" w:hAnsi="宋体" w:cs="宋体"/>
          <w:sz w:val="24"/>
          <w:szCs w:val="24"/>
          <w:lang w:val="en-US" w:eastAsia="zh-CN"/>
        </w:rPr>
        <w:t xml:space="preserve"> </w:t>
      </w:r>
    </w:p>
    <w:p w14:paraId="3373A820">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left"/>
        <w:outlineLvl w:val="9"/>
        <w:rPr>
          <w:rFonts w:hint="eastAsia" w:ascii="宋体" w:hAnsi="宋体" w:eastAsia="宋体" w:cs="宋体"/>
          <w:sz w:val="24"/>
          <w:szCs w:val="24"/>
          <w:shd w:val="clear" w:color="auto" w:fill="FFFFFF"/>
          <w:lang w:val="en-US"/>
        </w:rPr>
      </w:pPr>
      <w:r>
        <w:rPr>
          <w:rFonts w:hint="eastAsia" w:ascii="宋体" w:hAnsi="宋体" w:eastAsia="宋体" w:cs="宋体"/>
          <w:color w:val="auto"/>
          <w:kern w:val="2"/>
          <w:sz w:val="24"/>
          <w:szCs w:val="24"/>
          <w:shd w:val="clear" w:color="auto" w:fill="FFFFFF"/>
          <w:lang w:val="en-US" w:eastAsia="zh-CN" w:bidi="ar"/>
        </w:rPr>
        <w:t xml:space="preserve">联系电话： </w:t>
      </w:r>
    </w:p>
    <w:p w14:paraId="52161083">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left"/>
        <w:outlineLvl w:val="9"/>
        <w:rPr>
          <w:rFonts w:hint="eastAsia" w:ascii="宋体" w:hAnsi="宋体" w:eastAsia="宋体" w:cs="宋体"/>
          <w:sz w:val="24"/>
          <w:szCs w:val="24"/>
          <w:shd w:val="clear" w:color="auto" w:fill="FFFFFF"/>
          <w:lang w:val="en-US"/>
        </w:rPr>
      </w:pPr>
    </w:p>
    <w:p w14:paraId="2508C680">
      <w:pPr>
        <w:pStyle w:val="34"/>
        <w:keepNext w:val="0"/>
        <w:pageBreakBefore w:val="0"/>
        <w:widowControl/>
        <w:kinsoku/>
        <w:wordWrap/>
        <w:overflowPunct/>
        <w:topLinePunct w:val="0"/>
        <w:autoSpaceDE/>
        <w:autoSpaceDN/>
        <w:bidi w:val="0"/>
        <w:spacing w:line="360" w:lineRule="auto"/>
        <w:ind w:left="0" w:firstLine="0" w:firstLineChars="0"/>
        <w:outlineLvl w:val="9"/>
        <w:rPr>
          <w:lang w:val="en-US"/>
        </w:rPr>
      </w:pPr>
      <w:r>
        <w:rPr>
          <w:rFonts w:hint="eastAsia" w:ascii="宋体" w:hAnsi="宋体" w:eastAsia="宋体" w:cs="宋体"/>
          <w:sz w:val="24"/>
          <w:szCs w:val="24"/>
          <w:lang w:eastAsia="zh-CN"/>
        </w:rPr>
        <w:t>乙方：</w:t>
      </w:r>
      <w:r>
        <w:rPr>
          <w:rFonts w:hint="eastAsia" w:ascii="宋体" w:hAnsi="宋体" w:cs="宋体"/>
          <w:sz w:val="24"/>
          <w:szCs w:val="24"/>
          <w:lang w:val="en-US" w:eastAsia="zh-CN"/>
        </w:rPr>
        <w:t xml:space="preserve"> </w:t>
      </w:r>
    </w:p>
    <w:p w14:paraId="2A184A55">
      <w:pPr>
        <w:pStyle w:val="14"/>
        <w:keepNext w:val="0"/>
        <w:pageBreakBefore w:val="0"/>
        <w:widowControl/>
        <w:kinsoku/>
        <w:wordWrap/>
        <w:overflowPunct/>
        <w:topLinePunct w:val="0"/>
        <w:autoSpaceDE/>
        <w:autoSpaceDN/>
        <w:bidi w:val="0"/>
        <w:spacing w:line="360" w:lineRule="auto"/>
        <w:outlineLvl w:val="9"/>
        <w:rPr>
          <w:rFonts w:hAnsi="宋体" w:cs="宋体"/>
          <w:sz w:val="24"/>
          <w:szCs w:val="24"/>
          <w:lang w:val="en-US"/>
        </w:rPr>
      </w:pPr>
      <w:r>
        <w:rPr>
          <w:rFonts w:hAnsi="宋体" w:cs="宋体"/>
          <w:sz w:val="24"/>
          <w:szCs w:val="24"/>
          <w:lang w:eastAsia="zh-CN"/>
        </w:rPr>
        <w:t>法定代表人</w:t>
      </w:r>
      <w:r>
        <w:rPr>
          <w:rFonts w:hAnsi="宋体" w:cs="宋体"/>
          <w:sz w:val="24"/>
          <w:szCs w:val="24"/>
          <w:lang w:val="en-US"/>
        </w:rPr>
        <w:t>:</w:t>
      </w:r>
      <w:r>
        <w:rPr>
          <w:rFonts w:hint="eastAsia" w:hAnsi="宋体" w:cs="宋体"/>
          <w:sz w:val="24"/>
          <w:szCs w:val="24"/>
          <w:lang w:val="en-US" w:eastAsia="zh-CN"/>
        </w:rPr>
        <w:t xml:space="preserve"> </w:t>
      </w:r>
    </w:p>
    <w:p w14:paraId="2565E532">
      <w:pPr>
        <w:pStyle w:val="57"/>
        <w:keepNext w:val="0"/>
        <w:pageBreakBefore w:val="0"/>
        <w:widowControl/>
        <w:kinsoku/>
        <w:wordWrap/>
        <w:overflowPunct/>
        <w:topLinePunct w:val="0"/>
        <w:autoSpaceDE/>
        <w:autoSpaceDN/>
        <w:bidi w:val="0"/>
        <w:ind w:left="0" w:firstLine="0" w:firstLineChars="0"/>
        <w:outlineLvl w:val="9"/>
        <w:rPr>
          <w:rFonts w:hint="eastAsia" w:ascii="宋体" w:hAnsi="宋体" w:cs="宋体"/>
          <w:szCs w:val="24"/>
          <w:lang w:val="en-US" w:eastAsia="zh-CN"/>
        </w:rPr>
      </w:pPr>
      <w:r>
        <w:rPr>
          <w:rFonts w:hint="eastAsia" w:ascii="宋体" w:hAnsi="宋体" w:eastAsia="宋体" w:cs="宋体"/>
          <w:szCs w:val="24"/>
          <w:lang w:eastAsia="zh-CN"/>
        </w:rPr>
        <w:t>地址：</w:t>
      </w:r>
      <w:r>
        <w:rPr>
          <w:rFonts w:hint="eastAsia" w:ascii="宋体" w:hAnsi="宋体" w:cs="宋体"/>
          <w:szCs w:val="24"/>
          <w:lang w:val="en-US" w:eastAsia="zh-CN"/>
        </w:rPr>
        <w:t xml:space="preserve"> </w:t>
      </w:r>
    </w:p>
    <w:p w14:paraId="76AF19C3">
      <w:pPr>
        <w:pStyle w:val="57"/>
        <w:keepNext w:val="0"/>
        <w:pageBreakBefore w:val="0"/>
        <w:widowControl/>
        <w:kinsoku/>
        <w:wordWrap/>
        <w:overflowPunct/>
        <w:topLinePunct w:val="0"/>
        <w:autoSpaceDE/>
        <w:autoSpaceDN/>
        <w:bidi w:val="0"/>
        <w:ind w:left="0" w:firstLine="0" w:firstLineChars="0"/>
        <w:outlineLvl w:val="9"/>
        <w:rPr>
          <w:rFonts w:hint="eastAsia" w:ascii="宋体" w:hAnsi="宋体" w:eastAsia="宋体" w:cs="宋体"/>
          <w:szCs w:val="24"/>
          <w:lang w:val="en-US" w:eastAsia="zh-CN"/>
        </w:rPr>
      </w:pPr>
      <w:r>
        <w:rPr>
          <w:rFonts w:hint="eastAsia" w:ascii="宋体" w:hAnsi="宋体" w:eastAsia="宋体" w:cs="宋体"/>
          <w:szCs w:val="24"/>
          <w:lang w:eastAsia="zh-CN"/>
        </w:rPr>
        <w:t>统一社会信用代码：</w:t>
      </w:r>
      <w:r>
        <w:rPr>
          <w:rFonts w:hint="eastAsia" w:ascii="宋体" w:hAnsi="宋体" w:cs="宋体"/>
          <w:szCs w:val="24"/>
          <w:lang w:val="en-US" w:eastAsia="zh-CN"/>
        </w:rPr>
        <w:t xml:space="preserve"> </w:t>
      </w:r>
    </w:p>
    <w:p w14:paraId="1AE4E1F0">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both"/>
        <w:outlineLvl w:val="9"/>
        <w:rPr>
          <w:rFonts w:hint="eastAsia" w:ascii="宋体" w:hAnsi="宋体" w:eastAsia="宋体" w:cs="宋体"/>
          <w:sz w:val="24"/>
          <w:szCs w:val="24"/>
          <w:shd w:val="clear" w:color="auto" w:fill="FFFFFF"/>
          <w:lang w:val="en-US"/>
        </w:rPr>
      </w:pPr>
      <w:r>
        <w:rPr>
          <w:rFonts w:hint="eastAsia" w:ascii="宋体" w:hAnsi="宋体" w:eastAsia="宋体" w:cs="宋体"/>
          <w:color w:val="auto"/>
          <w:kern w:val="2"/>
          <w:sz w:val="24"/>
          <w:szCs w:val="24"/>
          <w:shd w:val="clear" w:color="auto" w:fill="FFFFFF"/>
          <w:lang w:val="en-US" w:eastAsia="zh-CN" w:bidi="ar"/>
        </w:rPr>
        <w:t xml:space="preserve">联系人： </w:t>
      </w:r>
    </w:p>
    <w:p w14:paraId="0B07CA24">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jc w:val="both"/>
        <w:outlineLvl w:val="9"/>
        <w:rPr>
          <w:rFonts w:hint="eastAsia" w:ascii="宋体" w:hAnsi="宋体" w:eastAsia="宋体" w:cs="宋体"/>
          <w:sz w:val="24"/>
          <w:szCs w:val="24"/>
          <w:shd w:val="clear" w:color="auto" w:fill="FFFFFF"/>
          <w:lang w:val="en-US"/>
        </w:rPr>
      </w:pPr>
      <w:r>
        <w:rPr>
          <w:rFonts w:hint="eastAsia" w:ascii="宋体" w:hAnsi="宋体" w:eastAsia="宋体" w:cs="宋体"/>
          <w:color w:val="auto"/>
          <w:kern w:val="2"/>
          <w:sz w:val="24"/>
          <w:szCs w:val="24"/>
          <w:shd w:val="clear" w:color="auto" w:fill="FFFFFF"/>
          <w:lang w:val="en-US" w:eastAsia="zh-CN" w:bidi="ar"/>
        </w:rPr>
        <w:t xml:space="preserve">联系电话： </w:t>
      </w:r>
    </w:p>
    <w:p w14:paraId="7B41AAA7">
      <w:pPr>
        <w:keepNext w:val="0"/>
        <w:keepLines w:val="0"/>
        <w:pageBreakBefore w:val="0"/>
        <w:widowControl w:val="0"/>
        <w:suppressLineNumbers w:val="0"/>
        <w:shd w:val="clear" w:color="auto" w:fill="FFFFFF"/>
        <w:kinsoku/>
        <w:wordWrap/>
        <w:overflowPunct/>
        <w:topLinePunct w:val="0"/>
        <w:autoSpaceDE/>
        <w:autoSpaceDN/>
        <w:bidi w:val="0"/>
        <w:snapToGrid w:val="0"/>
        <w:spacing w:before="0" w:beforeAutospacing="0" w:after="0" w:afterAutospacing="0" w:line="360" w:lineRule="auto"/>
        <w:ind w:left="0" w:right="0" w:firstLine="480" w:firstLineChars="200"/>
        <w:jc w:val="center"/>
        <w:outlineLvl w:val="9"/>
        <w:rPr>
          <w:rFonts w:hint="eastAsia" w:ascii="宋体" w:hAnsi="宋体" w:eastAsia="宋体" w:cs="宋体"/>
          <w:sz w:val="24"/>
          <w:szCs w:val="24"/>
          <w:shd w:val="clear" w:color="auto" w:fill="FFFFFF"/>
          <w:lang w:val="en-US"/>
        </w:rPr>
      </w:pPr>
    </w:p>
    <w:p w14:paraId="243C4D49">
      <w:pPr>
        <w:spacing w:line="360" w:lineRule="auto"/>
        <w:ind w:firstLine="480" w:firstLineChars="200"/>
        <w:jc w:val="left"/>
        <w:rPr>
          <w:rFonts w:hint="eastAsia" w:ascii="宋体" w:hAnsi="宋体" w:cs="宋体"/>
          <w:sz w:val="24"/>
          <w:szCs w:val="24"/>
        </w:rPr>
      </w:pPr>
      <w:r>
        <w:rPr>
          <w:rFonts w:hint="eastAsia" w:ascii="宋体" w:hAnsi="宋体" w:cs="宋体"/>
          <w:bCs/>
          <w:sz w:val="24"/>
          <w:szCs w:val="24"/>
        </w:rPr>
        <w:t>根据《中华人民共和国民法典》等相关法律法规，以及甲方</w:t>
      </w:r>
      <w:r>
        <w:rPr>
          <w:rFonts w:hint="eastAsia" w:ascii="宋体" w:hAnsi="宋体" w:cs="宋体"/>
          <w:bCs/>
          <w:sz w:val="24"/>
          <w:szCs w:val="24"/>
          <w:u w:val="single"/>
        </w:rPr>
        <w:t>电子签名证书维护服务</w:t>
      </w:r>
      <w:r>
        <w:rPr>
          <w:rFonts w:hint="eastAsia" w:ascii="宋体" w:hAnsi="宋体" w:cs="宋体"/>
          <w:bCs/>
          <w:sz w:val="24"/>
          <w:szCs w:val="24"/>
        </w:rPr>
        <w:t>项目（项目编号：ZCB-202</w:t>
      </w:r>
      <w:r>
        <w:rPr>
          <w:rFonts w:hint="eastAsia" w:ascii="宋体" w:hAnsi="宋体" w:cs="宋体"/>
          <w:bCs/>
          <w:sz w:val="24"/>
          <w:szCs w:val="24"/>
          <w:lang w:val="en-US" w:eastAsia="zh-CN"/>
        </w:rPr>
        <w:t>6</w:t>
      </w:r>
      <w:r>
        <w:rPr>
          <w:rFonts w:hint="eastAsia" w:ascii="宋体" w:hAnsi="宋体" w:cs="宋体"/>
          <w:bCs/>
          <w:sz w:val="24"/>
          <w:szCs w:val="24"/>
        </w:rPr>
        <w:t>-HQ-01</w:t>
      </w:r>
      <w:r>
        <w:rPr>
          <w:rFonts w:hint="eastAsia" w:ascii="宋体" w:hAnsi="宋体" w:cs="宋体"/>
          <w:bCs/>
          <w:sz w:val="24"/>
          <w:szCs w:val="24"/>
          <w:lang w:val="en-US" w:eastAsia="zh-CN"/>
        </w:rPr>
        <w:t>1</w:t>
      </w:r>
      <w:r>
        <w:rPr>
          <w:rFonts w:hint="eastAsia" w:ascii="宋体" w:hAnsi="宋体" w:cs="宋体"/>
          <w:bCs/>
          <w:sz w:val="24"/>
          <w:szCs w:val="24"/>
        </w:rPr>
        <w:t>）的采购结果，甲方委托乙方对甲方电子签名证书系统进行维保，经双方协商一致，签订本合同</w:t>
      </w:r>
      <w:r>
        <w:rPr>
          <w:rFonts w:hint="eastAsia" w:ascii="宋体" w:hAnsi="宋体"/>
          <w:bCs/>
          <w:sz w:val="24"/>
          <w:szCs w:val="24"/>
        </w:rPr>
        <w:t>，由双方共同恪守</w:t>
      </w:r>
      <w:r>
        <w:rPr>
          <w:rFonts w:hint="eastAsia" w:ascii="宋体" w:hAnsi="宋体" w:cs="宋体"/>
          <w:bCs/>
          <w:sz w:val="24"/>
          <w:szCs w:val="24"/>
        </w:rPr>
        <w:t>。</w:t>
      </w:r>
    </w:p>
    <w:p w14:paraId="20597775">
      <w:pPr>
        <w:pStyle w:val="41"/>
        <w:numPr>
          <w:ilvl w:val="0"/>
          <w:numId w:val="17"/>
        </w:numPr>
        <w:spacing w:line="360" w:lineRule="auto"/>
        <w:ind w:firstLine="0" w:firstLineChars="0"/>
        <w:jc w:val="left"/>
        <w:rPr>
          <w:rFonts w:hint="eastAsia" w:ascii="宋体" w:hAnsi="宋体" w:cs="宋体"/>
          <w:b/>
          <w:sz w:val="24"/>
          <w:szCs w:val="24"/>
        </w:rPr>
      </w:pPr>
      <w:r>
        <w:rPr>
          <w:rFonts w:hint="eastAsia" w:ascii="宋体" w:hAnsi="宋体" w:cs="宋体"/>
          <w:b/>
          <w:sz w:val="24"/>
          <w:szCs w:val="24"/>
        </w:rPr>
        <w:t>维保服务内容</w:t>
      </w:r>
    </w:p>
    <w:p w14:paraId="33B48F54">
      <w:pPr>
        <w:spacing w:line="360" w:lineRule="auto"/>
        <w:ind w:firstLine="480" w:firstLineChars="200"/>
        <w:jc w:val="left"/>
        <w:rPr>
          <w:rFonts w:ascii="宋体" w:hAnsi="宋体" w:cs="宋体"/>
          <w:b/>
          <w:sz w:val="24"/>
          <w:szCs w:val="24"/>
        </w:rPr>
      </w:pPr>
      <w:r>
        <w:rPr>
          <w:rFonts w:hint="eastAsia" w:ascii="宋体" w:hAnsi="宋体" w:cs="宋体"/>
          <w:bCs/>
          <w:sz w:val="24"/>
          <w:szCs w:val="24"/>
        </w:rPr>
        <w:t>乙方对甲方电子签名证书系统提供维保服务，包括但不限于定期进行维护、在系统故障时及时响应并提供维护服务等，保证系统的正常运行使用。具体维保内容如下：</w:t>
      </w:r>
    </w:p>
    <w:tbl>
      <w:tblPr>
        <w:tblStyle w:val="26"/>
        <w:tblW w:w="8755" w:type="dxa"/>
        <w:jc w:val="center"/>
        <w:tblLayout w:type="fixed"/>
        <w:tblCellMar>
          <w:top w:w="0" w:type="dxa"/>
          <w:left w:w="108" w:type="dxa"/>
          <w:bottom w:w="0" w:type="dxa"/>
          <w:right w:w="108" w:type="dxa"/>
        </w:tblCellMar>
      </w:tblPr>
      <w:tblGrid>
        <w:gridCol w:w="760"/>
        <w:gridCol w:w="1558"/>
        <w:gridCol w:w="1618"/>
        <w:gridCol w:w="1842"/>
        <w:gridCol w:w="1418"/>
        <w:gridCol w:w="1559"/>
      </w:tblGrid>
      <w:tr w14:paraId="5A5B55F8">
        <w:tblPrEx>
          <w:tblCellMar>
            <w:top w:w="0" w:type="dxa"/>
            <w:left w:w="108" w:type="dxa"/>
            <w:bottom w:w="0" w:type="dxa"/>
            <w:right w:w="108" w:type="dxa"/>
          </w:tblCellMar>
        </w:tblPrEx>
        <w:trPr>
          <w:trHeight w:val="480"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14:paraId="46AEDD48">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序号</w:t>
            </w:r>
          </w:p>
        </w:tc>
        <w:tc>
          <w:tcPr>
            <w:tcW w:w="1558" w:type="dxa"/>
            <w:tcBorders>
              <w:top w:val="single" w:color="auto" w:sz="4" w:space="0"/>
              <w:left w:val="nil"/>
              <w:bottom w:val="single" w:color="auto" w:sz="4" w:space="0"/>
              <w:right w:val="single" w:color="auto" w:sz="4" w:space="0"/>
            </w:tcBorders>
            <w:noWrap w:val="0"/>
            <w:vAlign w:val="center"/>
          </w:tcPr>
          <w:p w14:paraId="78960465">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名称</w:t>
            </w:r>
          </w:p>
        </w:tc>
        <w:tc>
          <w:tcPr>
            <w:tcW w:w="1618" w:type="dxa"/>
            <w:tcBorders>
              <w:top w:val="single" w:color="auto" w:sz="4" w:space="0"/>
              <w:left w:val="nil"/>
              <w:bottom w:val="single" w:color="auto" w:sz="4" w:space="0"/>
              <w:right w:val="single" w:color="auto" w:sz="4" w:space="0"/>
            </w:tcBorders>
            <w:noWrap w:val="0"/>
            <w:vAlign w:val="top"/>
          </w:tcPr>
          <w:p w14:paraId="731C1E59">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品牌/型号</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7B1C455D">
            <w:pPr>
              <w:widowControl/>
              <w:spacing w:line="360" w:lineRule="auto"/>
              <w:jc w:val="center"/>
              <w:rPr>
                <w:rFonts w:ascii="宋体" w:hAnsi="宋体" w:cs="宋体"/>
                <w:kern w:val="0"/>
                <w:sz w:val="24"/>
                <w:szCs w:val="24"/>
              </w:rPr>
            </w:pPr>
            <w:r>
              <w:rPr>
                <w:rFonts w:hint="eastAsia" w:ascii="宋体" w:hAnsi="宋体" w:cs="宋体"/>
                <w:kern w:val="0"/>
                <w:sz w:val="24"/>
                <w:szCs w:val="24"/>
              </w:rPr>
              <w:t>维保内容</w:t>
            </w:r>
          </w:p>
        </w:tc>
        <w:tc>
          <w:tcPr>
            <w:tcW w:w="1418" w:type="dxa"/>
            <w:tcBorders>
              <w:top w:val="single" w:color="auto" w:sz="4" w:space="0"/>
              <w:left w:val="nil"/>
              <w:bottom w:val="single" w:color="auto" w:sz="4" w:space="0"/>
              <w:right w:val="single" w:color="auto" w:sz="4" w:space="0"/>
            </w:tcBorders>
            <w:noWrap w:val="0"/>
            <w:vAlign w:val="center"/>
          </w:tcPr>
          <w:p w14:paraId="0151C9CD">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技术参数</w:t>
            </w:r>
          </w:p>
        </w:tc>
        <w:tc>
          <w:tcPr>
            <w:tcW w:w="1559" w:type="dxa"/>
            <w:tcBorders>
              <w:top w:val="single" w:color="auto" w:sz="4" w:space="0"/>
              <w:left w:val="nil"/>
              <w:bottom w:val="single" w:color="auto" w:sz="4" w:space="0"/>
              <w:right w:val="single" w:color="auto" w:sz="4" w:space="0"/>
            </w:tcBorders>
            <w:noWrap w:val="0"/>
            <w:vAlign w:val="top"/>
          </w:tcPr>
          <w:p w14:paraId="2722C991">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维保频率</w:t>
            </w:r>
          </w:p>
        </w:tc>
      </w:tr>
      <w:tr w14:paraId="30653742">
        <w:tblPrEx>
          <w:tblCellMar>
            <w:top w:w="0" w:type="dxa"/>
            <w:left w:w="108" w:type="dxa"/>
            <w:bottom w:w="0" w:type="dxa"/>
            <w:right w:w="108" w:type="dxa"/>
          </w:tblCellMar>
        </w:tblPrEx>
        <w:trPr>
          <w:trHeight w:val="480" w:hRule="atLeast"/>
          <w:jc w:val="center"/>
        </w:trPr>
        <w:tc>
          <w:tcPr>
            <w:tcW w:w="760" w:type="dxa"/>
            <w:tcBorders>
              <w:top w:val="nil"/>
              <w:left w:val="single" w:color="auto" w:sz="4" w:space="0"/>
              <w:bottom w:val="single" w:color="auto" w:sz="4" w:space="0"/>
              <w:right w:val="single" w:color="auto" w:sz="4" w:space="0"/>
            </w:tcBorders>
            <w:noWrap w:val="0"/>
            <w:vAlign w:val="center"/>
          </w:tcPr>
          <w:p w14:paraId="11FDA5F3">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1</w:t>
            </w:r>
          </w:p>
        </w:tc>
        <w:tc>
          <w:tcPr>
            <w:tcW w:w="1558" w:type="dxa"/>
            <w:tcBorders>
              <w:top w:val="nil"/>
              <w:left w:val="nil"/>
              <w:bottom w:val="single" w:color="auto" w:sz="4" w:space="0"/>
              <w:right w:val="single" w:color="auto" w:sz="4" w:space="0"/>
            </w:tcBorders>
            <w:noWrap w:val="0"/>
            <w:vAlign w:val="center"/>
          </w:tcPr>
          <w:p w14:paraId="0198882E">
            <w:pPr>
              <w:widowControl/>
              <w:spacing w:line="360" w:lineRule="auto"/>
              <w:jc w:val="center"/>
              <w:rPr>
                <w:rFonts w:hint="eastAsia" w:ascii="宋体" w:hAnsi="宋体" w:cs="宋体"/>
                <w:kern w:val="0"/>
                <w:sz w:val="24"/>
                <w:szCs w:val="24"/>
              </w:rPr>
            </w:pPr>
            <w:r>
              <w:rPr>
                <w:rFonts w:hint="eastAsia" w:ascii="宋体" w:hAnsi="宋体"/>
                <w:bCs/>
                <w:snapToGrid w:val="0"/>
                <w:kern w:val="0"/>
                <w:sz w:val="24"/>
                <w:szCs w:val="24"/>
              </w:rPr>
              <w:t>202</w:t>
            </w:r>
            <w:ins w:id="0" w:author="孙军欢" w:date="2026-03-10T16:27:00Z">
              <w:r>
                <w:rPr>
                  <w:rFonts w:hint="eastAsia" w:ascii="宋体" w:hAnsi="宋体"/>
                  <w:bCs/>
                  <w:snapToGrid w:val="0"/>
                  <w:kern w:val="0"/>
                  <w:sz w:val="24"/>
                  <w:szCs w:val="24"/>
                  <w:lang w:val="en-US" w:eastAsia="zh-CN"/>
                </w:rPr>
                <w:t>6</w:t>
              </w:r>
            </w:ins>
            <w:r>
              <w:rPr>
                <w:rFonts w:hint="eastAsia" w:ascii="宋体" w:hAnsi="宋体"/>
                <w:bCs/>
                <w:snapToGrid w:val="0"/>
                <w:kern w:val="0"/>
                <w:sz w:val="24"/>
                <w:szCs w:val="24"/>
              </w:rPr>
              <w:t>年度电子签名证书维护服务</w:t>
            </w:r>
          </w:p>
        </w:tc>
        <w:tc>
          <w:tcPr>
            <w:tcW w:w="1618" w:type="dxa"/>
            <w:tcBorders>
              <w:top w:val="single" w:color="auto" w:sz="4" w:space="0"/>
              <w:left w:val="nil"/>
              <w:bottom w:val="single" w:color="auto" w:sz="4" w:space="0"/>
              <w:right w:val="single" w:color="auto" w:sz="4" w:space="0"/>
            </w:tcBorders>
            <w:noWrap w:val="0"/>
            <w:vAlign w:val="top"/>
          </w:tcPr>
          <w:p w14:paraId="7DA31160">
            <w:pPr>
              <w:widowControl/>
              <w:spacing w:line="360" w:lineRule="auto"/>
              <w:jc w:val="center"/>
              <w:rPr>
                <w:rFonts w:hint="eastAsia" w:ascii="宋体" w:hAnsi="宋体"/>
                <w:bCs/>
                <w:snapToGrid w:val="0"/>
                <w:kern w:val="0"/>
                <w:sz w:val="24"/>
                <w:szCs w:val="24"/>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15D3EDF4">
            <w:pPr>
              <w:widowControl/>
              <w:spacing w:line="360" w:lineRule="auto"/>
              <w:jc w:val="center"/>
              <w:rPr>
                <w:rFonts w:hint="eastAsia" w:ascii="宋体" w:hAnsi="宋体" w:cs="宋体"/>
                <w:kern w:val="0"/>
                <w:sz w:val="24"/>
                <w:szCs w:val="24"/>
              </w:rPr>
            </w:pPr>
            <w:r>
              <w:rPr>
                <w:rFonts w:hint="eastAsia" w:ascii="宋体" w:hAnsi="宋体"/>
                <w:bCs/>
                <w:snapToGrid w:val="0"/>
                <w:kern w:val="0"/>
                <w:sz w:val="24"/>
                <w:szCs w:val="24"/>
              </w:rPr>
              <w:t>详见附件2</w:t>
            </w:r>
          </w:p>
        </w:tc>
        <w:tc>
          <w:tcPr>
            <w:tcW w:w="1418" w:type="dxa"/>
            <w:tcBorders>
              <w:top w:val="nil"/>
              <w:left w:val="nil"/>
              <w:bottom w:val="single" w:color="auto" w:sz="4" w:space="0"/>
              <w:right w:val="single" w:color="auto" w:sz="4" w:space="0"/>
            </w:tcBorders>
            <w:noWrap w:val="0"/>
            <w:vAlign w:val="center"/>
          </w:tcPr>
          <w:p w14:paraId="652E7578">
            <w:pPr>
              <w:widowControl/>
              <w:spacing w:line="360" w:lineRule="auto"/>
              <w:jc w:val="center"/>
              <w:rPr>
                <w:rFonts w:ascii="宋体" w:hAnsi="宋体" w:cs="宋体"/>
                <w:kern w:val="0"/>
                <w:sz w:val="24"/>
                <w:szCs w:val="24"/>
              </w:rPr>
            </w:pPr>
            <w:r>
              <w:rPr>
                <w:rFonts w:hint="eastAsia" w:ascii="宋体" w:hAnsi="宋体" w:cs="宋体"/>
                <w:kern w:val="0"/>
                <w:sz w:val="24"/>
                <w:szCs w:val="24"/>
              </w:rPr>
              <w:t>详见附件2</w:t>
            </w:r>
          </w:p>
        </w:tc>
        <w:tc>
          <w:tcPr>
            <w:tcW w:w="1559" w:type="dxa"/>
            <w:tcBorders>
              <w:top w:val="nil"/>
              <w:left w:val="nil"/>
              <w:bottom w:val="single" w:color="auto" w:sz="4" w:space="0"/>
              <w:right w:val="single" w:color="auto" w:sz="4" w:space="0"/>
            </w:tcBorders>
            <w:noWrap w:val="0"/>
            <w:vAlign w:val="top"/>
          </w:tcPr>
          <w:p w14:paraId="48B3E469">
            <w:pPr>
              <w:widowControl/>
              <w:spacing w:line="360" w:lineRule="auto"/>
              <w:jc w:val="center"/>
              <w:rPr>
                <w:rFonts w:hint="eastAsia" w:ascii="宋体" w:hAnsi="宋体" w:cs="宋体"/>
                <w:kern w:val="0"/>
                <w:sz w:val="24"/>
                <w:szCs w:val="24"/>
              </w:rPr>
            </w:pPr>
          </w:p>
          <w:p w14:paraId="4290FF19">
            <w:pPr>
              <w:widowControl/>
              <w:spacing w:line="360" w:lineRule="auto"/>
              <w:jc w:val="center"/>
              <w:rPr>
                <w:rFonts w:hint="eastAsia" w:ascii="宋体" w:hAnsi="宋体" w:cs="宋体"/>
                <w:kern w:val="0"/>
                <w:sz w:val="24"/>
                <w:szCs w:val="24"/>
              </w:rPr>
            </w:pPr>
            <w:r>
              <w:rPr>
                <w:rFonts w:hint="eastAsia" w:ascii="宋体" w:hAnsi="宋体" w:cs="宋体"/>
                <w:kern w:val="0"/>
                <w:sz w:val="24"/>
                <w:szCs w:val="24"/>
              </w:rPr>
              <w:t>每月一次巡检</w:t>
            </w:r>
          </w:p>
        </w:tc>
      </w:tr>
    </w:tbl>
    <w:p w14:paraId="213B3650">
      <w:pPr>
        <w:spacing w:line="360" w:lineRule="auto"/>
        <w:rPr>
          <w:rFonts w:hint="eastAsia" w:ascii="宋体" w:hAnsi="宋体" w:cs="宋体"/>
          <w:b/>
          <w:sz w:val="24"/>
          <w:szCs w:val="24"/>
        </w:rPr>
      </w:pPr>
    </w:p>
    <w:p w14:paraId="09EF782A">
      <w:pPr>
        <w:spacing w:line="360" w:lineRule="auto"/>
        <w:rPr>
          <w:rFonts w:ascii="宋体" w:hAnsi="宋体" w:cs="宋体"/>
          <w:b/>
          <w:sz w:val="24"/>
          <w:szCs w:val="24"/>
        </w:rPr>
      </w:pPr>
      <w:r>
        <w:rPr>
          <w:rFonts w:hint="eastAsia" w:ascii="宋体" w:hAnsi="宋体" w:cs="宋体"/>
          <w:b/>
          <w:sz w:val="24"/>
          <w:szCs w:val="24"/>
        </w:rPr>
        <w:t>2. 维保服务要求</w:t>
      </w:r>
    </w:p>
    <w:p w14:paraId="02D3B03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 乙方定期提供维护，根据项目的维保需求（包括但不限于以下因素：技术要求、参数、性能、厂家、使用频率和使用环境等）,按合同约定的维保的频率提供维保服务；甲方根据需要临时要求维护，乙方应在甲方提出需求后</w:t>
      </w:r>
      <w:r>
        <w:rPr>
          <w:rFonts w:hint="eastAsia" w:ascii="宋体" w:hAnsi="宋体" w:cs="宋体"/>
          <w:bCs/>
          <w:sz w:val="24"/>
          <w:szCs w:val="24"/>
          <w:u w:val="single"/>
        </w:rPr>
        <w:t xml:space="preserve"> 10 </w:t>
      </w:r>
      <w:r>
        <w:rPr>
          <w:rFonts w:hint="eastAsia" w:ascii="宋体" w:hAnsi="宋体" w:cs="宋体"/>
          <w:bCs/>
          <w:sz w:val="24"/>
          <w:szCs w:val="24"/>
        </w:rPr>
        <w:t>分钟内响应。定期维护的</w:t>
      </w:r>
      <w:r>
        <w:rPr>
          <w:rFonts w:ascii="宋体" w:hAnsi="宋体" w:cs="宋体"/>
          <w:bCs/>
          <w:sz w:val="24"/>
          <w:szCs w:val="24"/>
        </w:rPr>
        <w:t>具体</w:t>
      </w:r>
      <w:r>
        <w:rPr>
          <w:rFonts w:hint="eastAsia" w:ascii="宋体" w:hAnsi="宋体" w:cs="宋体"/>
          <w:bCs/>
          <w:sz w:val="24"/>
          <w:szCs w:val="24"/>
        </w:rPr>
        <w:t>工作包含但不限于对系统的</w:t>
      </w:r>
      <w:r>
        <w:rPr>
          <w:rFonts w:ascii="宋体" w:hAnsi="宋体" w:cs="宋体"/>
          <w:bCs/>
          <w:sz w:val="24"/>
          <w:szCs w:val="24"/>
        </w:rPr>
        <w:t>安全检查、运行状态、</w:t>
      </w:r>
      <w:r>
        <w:rPr>
          <w:rFonts w:hint="eastAsia" w:ascii="宋体" w:hAnsi="宋体" w:cs="宋体"/>
          <w:bCs/>
          <w:sz w:val="24"/>
          <w:szCs w:val="24"/>
        </w:rPr>
        <w:t>配套软件技术参数</w:t>
      </w:r>
      <w:r>
        <w:rPr>
          <w:rFonts w:ascii="宋体" w:hAnsi="宋体" w:cs="宋体"/>
          <w:bCs/>
          <w:sz w:val="24"/>
          <w:szCs w:val="24"/>
        </w:rPr>
        <w:t>检测等全面维护。每次维护完成后，乙方须向甲方提供维护报告。乙方应在</w:t>
      </w:r>
      <w:r>
        <w:rPr>
          <w:rFonts w:hint="eastAsia" w:ascii="宋体" w:hAnsi="宋体" w:cs="宋体"/>
          <w:bCs/>
          <w:sz w:val="24"/>
          <w:szCs w:val="24"/>
        </w:rPr>
        <w:t>定期</w:t>
      </w:r>
      <w:r>
        <w:rPr>
          <w:rFonts w:ascii="宋体" w:hAnsi="宋体" w:cs="宋体"/>
          <w:bCs/>
          <w:sz w:val="24"/>
          <w:szCs w:val="24"/>
        </w:rPr>
        <w:t>维护时间之前2个工作日内通知甲方</w:t>
      </w:r>
      <w:r>
        <w:rPr>
          <w:rFonts w:hint="eastAsia" w:ascii="宋体" w:hAnsi="宋体" w:cs="宋体"/>
          <w:bCs/>
          <w:sz w:val="24"/>
          <w:szCs w:val="24"/>
        </w:rPr>
        <w:t>维护</w:t>
      </w:r>
      <w:r>
        <w:rPr>
          <w:rFonts w:ascii="宋体" w:hAnsi="宋体" w:cs="宋体"/>
          <w:bCs/>
          <w:sz w:val="24"/>
          <w:szCs w:val="24"/>
        </w:rPr>
        <w:t>时间，并由甲方确认</w:t>
      </w:r>
      <w:r>
        <w:rPr>
          <w:rFonts w:hint="eastAsia" w:ascii="宋体" w:hAnsi="宋体" w:cs="宋体"/>
          <w:bCs/>
          <w:sz w:val="24"/>
          <w:szCs w:val="24"/>
        </w:rPr>
        <w:t>维护</w:t>
      </w:r>
      <w:r>
        <w:rPr>
          <w:rFonts w:ascii="宋体" w:hAnsi="宋体" w:cs="宋体"/>
          <w:bCs/>
          <w:sz w:val="24"/>
          <w:szCs w:val="24"/>
        </w:rPr>
        <w:t>时间</w:t>
      </w:r>
      <w:r>
        <w:rPr>
          <w:rFonts w:hint="eastAsia" w:ascii="宋体" w:hAnsi="宋体" w:cs="宋体"/>
          <w:bCs/>
          <w:sz w:val="24"/>
          <w:szCs w:val="24"/>
        </w:rPr>
        <w:t>。</w:t>
      </w:r>
    </w:p>
    <w:p w14:paraId="786B880E">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2.2 乙方应在不晚于甲方获知市场上该项目系统配套软件升级信息时及时、免费对配套软件进行升级，乙方提供的软件升级服务应为原厂正版的配套软件。</w:t>
      </w:r>
    </w:p>
    <w:p w14:paraId="42BA4A3B">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w:t>
      </w:r>
      <w:r>
        <w:rPr>
          <w:rFonts w:ascii="宋体" w:hAnsi="宋体" w:cs="宋体"/>
          <w:bCs/>
          <w:sz w:val="24"/>
          <w:szCs w:val="24"/>
        </w:rPr>
        <w:t>.</w:t>
      </w:r>
      <w:r>
        <w:rPr>
          <w:rFonts w:hint="eastAsia" w:ascii="宋体" w:hAnsi="宋体" w:cs="宋体"/>
          <w:bCs/>
          <w:sz w:val="24"/>
          <w:szCs w:val="24"/>
        </w:rPr>
        <w:t>3</w:t>
      </w:r>
      <w:r>
        <w:rPr>
          <w:rFonts w:ascii="宋体" w:hAnsi="宋体" w:cs="宋体"/>
          <w:bCs/>
          <w:sz w:val="24"/>
          <w:szCs w:val="24"/>
        </w:rPr>
        <w:t xml:space="preserve"> </w:t>
      </w:r>
      <w:r>
        <w:rPr>
          <w:rFonts w:hint="eastAsia" w:ascii="宋体" w:hAnsi="宋体" w:cs="宋体"/>
          <w:bCs/>
          <w:sz w:val="24"/>
          <w:szCs w:val="24"/>
        </w:rPr>
        <w:t>正常运行率：正常运行率保证达到</w:t>
      </w:r>
      <w:r>
        <w:rPr>
          <w:rFonts w:hint="eastAsia" w:ascii="宋体" w:hAnsi="宋体" w:cs="宋体"/>
          <w:bCs/>
          <w:sz w:val="24"/>
          <w:szCs w:val="24"/>
          <w:u w:val="single"/>
        </w:rPr>
        <w:t xml:space="preserve"> 99 </w:t>
      </w:r>
      <w:r>
        <w:rPr>
          <w:rFonts w:hint="eastAsia" w:ascii="宋体" w:hAnsi="宋体" w:cs="宋体"/>
          <w:bCs/>
          <w:sz w:val="24"/>
          <w:szCs w:val="24"/>
        </w:rPr>
        <w:t>%，全年按365天计算，</w:t>
      </w:r>
      <w:r>
        <w:rPr>
          <w:rFonts w:ascii="宋体" w:hAnsi="宋体" w:cs="宋体"/>
          <w:bCs/>
          <w:sz w:val="24"/>
          <w:szCs w:val="24"/>
        </w:rPr>
        <w:t>由乙方原因导致</w:t>
      </w:r>
      <w:r>
        <w:rPr>
          <w:rFonts w:hint="eastAsia" w:ascii="宋体" w:hAnsi="宋体" w:cs="宋体"/>
          <w:bCs/>
          <w:sz w:val="24"/>
          <w:szCs w:val="24"/>
        </w:rPr>
        <w:t>正常运行</w:t>
      </w:r>
      <w:r>
        <w:rPr>
          <w:rFonts w:ascii="宋体" w:hAnsi="宋体" w:cs="宋体"/>
          <w:bCs/>
          <w:sz w:val="24"/>
          <w:szCs w:val="24"/>
        </w:rPr>
        <w:t>率达不到</w:t>
      </w:r>
      <w:r>
        <w:rPr>
          <w:rFonts w:hint="eastAsia" w:ascii="宋体" w:hAnsi="宋体" w:cs="宋体"/>
          <w:bCs/>
          <w:sz w:val="24"/>
          <w:szCs w:val="24"/>
          <w:u w:val="single"/>
        </w:rPr>
        <w:t xml:space="preserve">  99 </w:t>
      </w:r>
      <w:r>
        <w:rPr>
          <w:rFonts w:ascii="宋体" w:hAnsi="宋体" w:cs="宋体"/>
          <w:bCs/>
          <w:sz w:val="24"/>
          <w:szCs w:val="24"/>
        </w:rPr>
        <w:t>%即</w:t>
      </w:r>
      <w:r>
        <w:rPr>
          <w:rFonts w:hint="eastAsia" w:ascii="宋体" w:hAnsi="宋体" w:cs="宋体"/>
          <w:bCs/>
          <w:sz w:val="24"/>
          <w:szCs w:val="24"/>
          <w:u w:val="single"/>
        </w:rPr>
        <w:t xml:space="preserve"> 361 </w:t>
      </w:r>
      <w:r>
        <w:rPr>
          <w:rFonts w:ascii="宋体" w:hAnsi="宋体" w:cs="宋体"/>
          <w:bCs/>
          <w:sz w:val="24"/>
          <w:szCs w:val="24"/>
        </w:rPr>
        <w:t>天以上，</w:t>
      </w:r>
      <w:r>
        <w:rPr>
          <w:rFonts w:hint="eastAsia" w:ascii="宋体" w:hAnsi="宋体" w:cs="宋体"/>
          <w:bCs/>
          <w:sz w:val="24"/>
          <w:szCs w:val="24"/>
        </w:rPr>
        <w:t>维保期</w:t>
      </w:r>
      <w:r>
        <w:rPr>
          <w:rFonts w:ascii="宋体" w:hAnsi="宋体" w:cs="宋体"/>
          <w:bCs/>
          <w:sz w:val="24"/>
          <w:szCs w:val="24"/>
        </w:rPr>
        <w:t>按</w:t>
      </w:r>
      <w:r>
        <w:rPr>
          <w:rFonts w:ascii="宋体" w:hAnsi="宋体" w:cs="宋体"/>
          <w:bCs/>
          <w:sz w:val="24"/>
          <w:szCs w:val="24"/>
          <w:u w:val="single"/>
        </w:rPr>
        <w:t>1:</w:t>
      </w:r>
      <w:r>
        <w:rPr>
          <w:rFonts w:hint="eastAsia" w:ascii="宋体" w:hAnsi="宋体" w:cs="宋体"/>
          <w:bCs/>
          <w:sz w:val="24"/>
          <w:szCs w:val="24"/>
          <w:u w:val="single"/>
        </w:rPr>
        <w:t xml:space="preserve">2 </w:t>
      </w:r>
      <w:r>
        <w:rPr>
          <w:rFonts w:ascii="宋体" w:hAnsi="宋体" w:cs="宋体"/>
          <w:bCs/>
          <w:sz w:val="24"/>
          <w:szCs w:val="24"/>
          <w:u w:val="single"/>
        </w:rPr>
        <w:t>顺延</w:t>
      </w:r>
      <w:r>
        <w:rPr>
          <w:rFonts w:ascii="宋体" w:hAnsi="宋体" w:cs="宋体"/>
          <w:bCs/>
          <w:sz w:val="24"/>
          <w:szCs w:val="24"/>
        </w:rPr>
        <w:t>（即以低于</w:t>
      </w:r>
      <w:r>
        <w:rPr>
          <w:rFonts w:hint="eastAsia" w:ascii="宋体" w:hAnsi="宋体" w:cs="宋体"/>
          <w:bCs/>
          <w:sz w:val="24"/>
          <w:szCs w:val="24"/>
          <w:u w:val="single"/>
        </w:rPr>
        <w:t xml:space="preserve">  361 </w:t>
      </w:r>
      <w:r>
        <w:rPr>
          <w:rFonts w:ascii="宋体" w:hAnsi="宋体" w:cs="宋体"/>
          <w:bCs/>
          <w:sz w:val="24"/>
          <w:szCs w:val="24"/>
        </w:rPr>
        <w:t>天的天数计算，</w:t>
      </w:r>
      <w:r>
        <w:rPr>
          <w:rFonts w:hint="eastAsia" w:ascii="宋体" w:hAnsi="宋体" w:cs="宋体"/>
          <w:bCs/>
          <w:sz w:val="24"/>
          <w:szCs w:val="24"/>
        </w:rPr>
        <w:t>正常运行率</w:t>
      </w:r>
      <w:r>
        <w:rPr>
          <w:rFonts w:ascii="宋体" w:hAnsi="宋体" w:cs="宋体"/>
          <w:bCs/>
          <w:sz w:val="24"/>
          <w:szCs w:val="24"/>
        </w:rPr>
        <w:t>每降低1天，</w:t>
      </w:r>
      <w:r>
        <w:rPr>
          <w:rFonts w:hint="eastAsia" w:ascii="宋体" w:hAnsi="宋体" w:cs="宋体"/>
          <w:bCs/>
          <w:sz w:val="24"/>
          <w:szCs w:val="24"/>
        </w:rPr>
        <w:t>维保期顺延</w:t>
      </w:r>
      <w:r>
        <w:rPr>
          <w:rFonts w:hint="eastAsia" w:ascii="宋体" w:hAnsi="宋体" w:cs="宋体"/>
          <w:bCs/>
          <w:sz w:val="24"/>
          <w:szCs w:val="24"/>
          <w:u w:val="single"/>
        </w:rPr>
        <w:t xml:space="preserve"> 2</w:t>
      </w:r>
      <w:r>
        <w:rPr>
          <w:rFonts w:ascii="宋体" w:hAnsi="宋体" w:cs="宋体"/>
          <w:bCs/>
          <w:sz w:val="24"/>
          <w:szCs w:val="24"/>
        </w:rPr>
        <w:t>天）。当</w:t>
      </w:r>
      <w:r>
        <w:rPr>
          <w:rFonts w:hint="eastAsia" w:ascii="宋体" w:hAnsi="宋体" w:cs="宋体"/>
          <w:bCs/>
          <w:sz w:val="24"/>
          <w:szCs w:val="24"/>
        </w:rPr>
        <w:t>正常运行率</w:t>
      </w:r>
      <w:r>
        <w:rPr>
          <w:rFonts w:ascii="宋体" w:hAnsi="宋体" w:cs="宋体"/>
          <w:bCs/>
          <w:sz w:val="24"/>
          <w:szCs w:val="24"/>
        </w:rPr>
        <w:t>达不到</w:t>
      </w:r>
      <w:r>
        <w:rPr>
          <w:rFonts w:hint="eastAsia" w:ascii="宋体" w:hAnsi="宋体" w:cs="宋体"/>
          <w:bCs/>
          <w:sz w:val="24"/>
          <w:szCs w:val="24"/>
          <w:u w:val="single"/>
        </w:rPr>
        <w:t xml:space="preserve">  99  </w:t>
      </w:r>
      <w:r>
        <w:rPr>
          <w:rFonts w:ascii="宋体" w:hAnsi="宋体" w:cs="宋体"/>
          <w:bCs/>
          <w:sz w:val="24"/>
          <w:szCs w:val="24"/>
        </w:rPr>
        <w:t>%即</w:t>
      </w:r>
      <w:r>
        <w:rPr>
          <w:rFonts w:hint="eastAsia" w:ascii="宋体" w:hAnsi="宋体" w:cs="宋体"/>
          <w:bCs/>
          <w:sz w:val="24"/>
          <w:szCs w:val="24"/>
          <w:u w:val="single"/>
        </w:rPr>
        <w:t xml:space="preserve"> 361  </w:t>
      </w:r>
      <w:r>
        <w:rPr>
          <w:rFonts w:ascii="宋体" w:hAnsi="宋体" w:cs="宋体"/>
          <w:bCs/>
          <w:sz w:val="24"/>
          <w:szCs w:val="24"/>
        </w:rPr>
        <w:t>天以上，除按上述规定顺延</w:t>
      </w:r>
      <w:r>
        <w:rPr>
          <w:rFonts w:hint="eastAsia" w:ascii="宋体" w:hAnsi="宋体" w:cs="宋体"/>
          <w:bCs/>
          <w:sz w:val="24"/>
          <w:szCs w:val="24"/>
        </w:rPr>
        <w:t>维保</w:t>
      </w:r>
      <w:r>
        <w:rPr>
          <w:rFonts w:ascii="宋体" w:hAnsi="宋体" w:cs="宋体"/>
          <w:bCs/>
          <w:sz w:val="24"/>
          <w:szCs w:val="24"/>
        </w:rPr>
        <w:t>期外，乙方按维保年度合同总金额的1‰/天向甲方支付违约金（即以低于</w:t>
      </w:r>
      <w:r>
        <w:rPr>
          <w:rFonts w:hint="eastAsia" w:ascii="宋体" w:hAnsi="宋体" w:cs="宋体"/>
          <w:bCs/>
          <w:sz w:val="24"/>
          <w:szCs w:val="24"/>
          <w:u w:val="single"/>
        </w:rPr>
        <w:t xml:space="preserve"> 361</w:t>
      </w:r>
      <w:r>
        <w:rPr>
          <w:rFonts w:ascii="宋体" w:hAnsi="宋体" w:cs="宋体"/>
          <w:bCs/>
          <w:sz w:val="24"/>
          <w:szCs w:val="24"/>
        </w:rPr>
        <w:t>天的天数计算）。</w:t>
      </w:r>
    </w:p>
    <w:p w14:paraId="1CC61FB1">
      <w:pPr>
        <w:tabs>
          <w:tab w:val="left" w:pos="0"/>
          <w:tab w:val="left" w:pos="426"/>
          <w:tab w:val="left" w:pos="709"/>
          <w:tab w:val="left" w:pos="5245"/>
        </w:tabs>
        <w:spacing w:line="360" w:lineRule="auto"/>
        <w:ind w:firstLine="480" w:firstLineChars="200"/>
        <w:rPr>
          <w:rFonts w:hint="eastAsia" w:ascii="宋体" w:hAnsi="宋体" w:cs="宋体"/>
          <w:bCs/>
          <w:sz w:val="24"/>
          <w:szCs w:val="24"/>
          <w:highlight w:val="yellow"/>
        </w:rPr>
      </w:pPr>
      <w:r>
        <w:rPr>
          <w:rFonts w:hint="eastAsia" w:ascii="宋体" w:hAnsi="宋体" w:cs="宋体"/>
          <w:bCs/>
          <w:sz w:val="24"/>
          <w:szCs w:val="24"/>
        </w:rPr>
        <w:t>2.4 服务方式：乙方到甲方现场进行维护，合同期内产生的一切费用均由乙方承担（包括但不限于人工费、差旅费等）。除合同约定的定期维护以外，乙方接到甲方要求服务的电话后，应在</w:t>
      </w:r>
      <w:r>
        <w:rPr>
          <w:rFonts w:hint="eastAsia" w:ascii="宋体" w:hAnsi="宋体" w:cs="宋体"/>
          <w:bCs/>
          <w:sz w:val="24"/>
          <w:szCs w:val="24"/>
          <w:u w:val="single"/>
        </w:rPr>
        <w:t xml:space="preserve"> 10 分钟</w:t>
      </w:r>
      <w:r>
        <w:rPr>
          <w:rFonts w:hint="eastAsia" w:ascii="宋体" w:hAnsi="宋体" w:cs="宋体"/>
          <w:bCs/>
          <w:sz w:val="24"/>
          <w:szCs w:val="24"/>
        </w:rPr>
        <w:t>内响应，</w:t>
      </w:r>
      <w:r>
        <w:rPr>
          <w:rFonts w:hint="eastAsia" w:ascii="宋体" w:hAnsi="宋体" w:cs="宋体"/>
          <w:bCs/>
          <w:sz w:val="24"/>
          <w:szCs w:val="24"/>
          <w:u w:val="single"/>
        </w:rPr>
        <w:t xml:space="preserve">2 </w:t>
      </w:r>
      <w:r>
        <w:rPr>
          <w:rFonts w:hint="eastAsia" w:ascii="宋体" w:hAnsi="宋体" w:cs="宋体"/>
          <w:bCs/>
          <w:sz w:val="24"/>
          <w:szCs w:val="24"/>
        </w:rPr>
        <w:t>小时内上门维保，并在</w:t>
      </w:r>
      <w:r>
        <w:rPr>
          <w:rFonts w:hint="eastAsia" w:ascii="宋体" w:hAnsi="宋体" w:cs="宋体"/>
          <w:bCs/>
          <w:sz w:val="24"/>
          <w:szCs w:val="24"/>
          <w:u w:val="single"/>
        </w:rPr>
        <w:t xml:space="preserve"> 24 </w:t>
      </w:r>
      <w:r>
        <w:rPr>
          <w:rFonts w:hint="eastAsia" w:ascii="宋体" w:hAnsi="宋体" w:cs="宋体"/>
          <w:bCs/>
          <w:sz w:val="24"/>
          <w:szCs w:val="24"/>
        </w:rPr>
        <w:t>小时内解决故障。乙方</w:t>
      </w:r>
      <w:r>
        <w:rPr>
          <w:rFonts w:hint="eastAsia" w:ascii="宋体" w:hAnsi="宋体" w:cs="宋体"/>
          <w:sz w:val="24"/>
          <w:szCs w:val="24"/>
        </w:rPr>
        <w:t>提供针对本项目的专人开发实施和技术支持服务（严禁服务过程产生的日常运维文档及配置数据等敏感数据交与第三方处理）。</w:t>
      </w:r>
    </w:p>
    <w:p w14:paraId="4980698E">
      <w:pPr>
        <w:spacing w:line="360" w:lineRule="auto"/>
        <w:ind w:firstLine="480" w:firstLineChars="200"/>
        <w:rPr>
          <w:rFonts w:ascii="宋体" w:hAnsi="宋体" w:cs="宋体"/>
          <w:bCs/>
          <w:sz w:val="24"/>
          <w:szCs w:val="24"/>
        </w:rPr>
      </w:pPr>
      <w:r>
        <w:rPr>
          <w:rFonts w:hint="eastAsia" w:ascii="宋体" w:hAnsi="宋体" w:cs="宋体"/>
          <w:bCs/>
          <w:sz w:val="24"/>
          <w:szCs w:val="24"/>
        </w:rPr>
        <w:t>2.5其他条款以采购（招标）文件要求和投标文件承诺为准。</w:t>
      </w:r>
    </w:p>
    <w:p w14:paraId="7451E3C6">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w:t>
      </w:r>
      <w:r>
        <w:rPr>
          <w:rFonts w:ascii="宋体" w:hAnsi="宋体" w:cs="宋体"/>
          <w:bCs/>
          <w:sz w:val="24"/>
          <w:szCs w:val="24"/>
        </w:rPr>
        <w:t>.</w:t>
      </w:r>
      <w:r>
        <w:rPr>
          <w:rFonts w:hint="eastAsia" w:ascii="宋体" w:hAnsi="宋体" w:cs="宋体"/>
          <w:bCs/>
          <w:sz w:val="24"/>
          <w:szCs w:val="24"/>
        </w:rPr>
        <w:t>6</w:t>
      </w:r>
      <w:r>
        <w:rPr>
          <w:rFonts w:ascii="宋体" w:hAnsi="宋体" w:cs="宋体"/>
          <w:bCs/>
          <w:sz w:val="24"/>
          <w:szCs w:val="24"/>
        </w:rPr>
        <w:t>乙方</w:t>
      </w:r>
      <w:r>
        <w:rPr>
          <w:rFonts w:hint="eastAsia" w:ascii="宋体" w:hAnsi="宋体" w:cs="宋体"/>
          <w:bCs/>
          <w:sz w:val="24"/>
          <w:szCs w:val="24"/>
        </w:rPr>
        <w:t>违反本合同保密义务而</w:t>
      </w:r>
      <w:r>
        <w:rPr>
          <w:rFonts w:ascii="宋体" w:hAnsi="宋体" w:cs="宋体"/>
          <w:bCs/>
          <w:sz w:val="24"/>
          <w:szCs w:val="24"/>
        </w:rPr>
        <w:t>产生的一切</w:t>
      </w:r>
      <w:r>
        <w:rPr>
          <w:rFonts w:hint="eastAsia" w:ascii="宋体" w:hAnsi="宋体" w:cs="宋体"/>
          <w:bCs/>
          <w:sz w:val="24"/>
          <w:szCs w:val="24"/>
        </w:rPr>
        <w:t>经济及</w:t>
      </w:r>
      <w:r>
        <w:rPr>
          <w:rFonts w:ascii="宋体" w:hAnsi="宋体" w:cs="宋体"/>
          <w:bCs/>
          <w:sz w:val="24"/>
          <w:szCs w:val="24"/>
        </w:rPr>
        <w:t>法律责任由乙方承担。</w:t>
      </w:r>
    </w:p>
    <w:p w14:paraId="2E29F698">
      <w:pPr>
        <w:spacing w:line="360" w:lineRule="auto"/>
        <w:ind w:firstLine="480" w:firstLineChars="200"/>
        <w:rPr>
          <w:rFonts w:hint="eastAsia" w:ascii="宋体" w:hAnsi="宋体" w:cs="宋体"/>
          <w:bCs/>
          <w:sz w:val="24"/>
          <w:szCs w:val="24"/>
          <w:u w:val="single"/>
        </w:rPr>
      </w:pPr>
      <w:r>
        <w:rPr>
          <w:rFonts w:hint="eastAsia" w:ascii="宋体" w:hAnsi="宋体" w:cs="宋体"/>
          <w:bCs/>
          <w:sz w:val="24"/>
          <w:szCs w:val="24"/>
        </w:rPr>
        <w:t>2.7 其他：</w:t>
      </w:r>
      <w:r>
        <w:rPr>
          <w:rFonts w:hint="eastAsia" w:ascii="宋体" w:hAnsi="宋体" w:cs="宋体"/>
          <w:bCs/>
          <w:sz w:val="24"/>
          <w:szCs w:val="24"/>
          <w:u w:val="single"/>
        </w:rPr>
        <w:t xml:space="preserve">          /                   </w:t>
      </w:r>
    </w:p>
    <w:p w14:paraId="07474CD1">
      <w:pPr>
        <w:spacing w:line="360" w:lineRule="auto"/>
        <w:rPr>
          <w:rFonts w:hint="eastAsia" w:ascii="宋体" w:hAnsi="宋体" w:cs="宋体"/>
          <w:b/>
          <w:sz w:val="24"/>
          <w:szCs w:val="24"/>
        </w:rPr>
      </w:pPr>
      <w:r>
        <w:rPr>
          <w:rFonts w:hint="eastAsia" w:ascii="宋体" w:hAnsi="宋体" w:cs="宋体"/>
          <w:b/>
          <w:sz w:val="24"/>
          <w:szCs w:val="24"/>
        </w:rPr>
        <w:t>3. 维保服务的要求与验收</w:t>
      </w:r>
    </w:p>
    <w:p w14:paraId="0EB9C360">
      <w:pPr>
        <w:pStyle w:val="41"/>
        <w:spacing w:line="360" w:lineRule="auto"/>
        <w:ind w:firstLine="480"/>
        <w:jc w:val="left"/>
        <w:rPr>
          <w:rFonts w:hint="eastAsia" w:ascii="宋体" w:hAnsi="宋体" w:cs="宋体"/>
          <w:bCs/>
          <w:sz w:val="24"/>
          <w:szCs w:val="24"/>
        </w:rPr>
      </w:pPr>
      <w:r>
        <w:rPr>
          <w:rFonts w:hint="eastAsia" w:ascii="宋体" w:hAnsi="宋体" w:cs="宋体"/>
          <w:bCs/>
          <w:sz w:val="24"/>
          <w:szCs w:val="24"/>
        </w:rPr>
        <w:t>3.1 维保服务作业应符合</w:t>
      </w:r>
      <w:r>
        <w:rPr>
          <w:rFonts w:hint="eastAsia" w:ascii="宋体" w:hAnsi="宋体" w:cs="宋体"/>
          <w:bCs/>
          <w:sz w:val="24"/>
          <w:szCs w:val="24"/>
          <w:lang w:eastAsia="zh-Hans"/>
        </w:rPr>
        <w:t>法律法规以及</w:t>
      </w:r>
      <w:r>
        <w:rPr>
          <w:rFonts w:hint="eastAsia" w:ascii="宋体" w:hAnsi="宋体" w:cs="宋体"/>
          <w:bCs/>
          <w:sz w:val="24"/>
          <w:szCs w:val="24"/>
        </w:rPr>
        <w:t>国家、地方、行业规范，确保系统处于状态良好、安全、稳定、持续运行的要求。</w:t>
      </w:r>
    </w:p>
    <w:p w14:paraId="0307016C">
      <w:pPr>
        <w:pStyle w:val="41"/>
        <w:spacing w:line="360" w:lineRule="auto"/>
        <w:ind w:firstLine="480"/>
        <w:jc w:val="left"/>
        <w:rPr>
          <w:rFonts w:hint="eastAsia" w:ascii="宋体" w:hAnsi="宋体" w:cs="宋体"/>
          <w:bCs/>
          <w:sz w:val="24"/>
          <w:szCs w:val="24"/>
        </w:rPr>
      </w:pPr>
      <w:r>
        <w:rPr>
          <w:rFonts w:hint="eastAsia" w:ascii="宋体" w:hAnsi="宋体" w:cs="宋体"/>
          <w:bCs/>
          <w:sz w:val="24"/>
          <w:szCs w:val="24"/>
        </w:rPr>
        <w:t>3.2 验收标准：服务验收以甲乙双方共同确认的系统处于正常运行状态为准</w:t>
      </w:r>
      <w:r>
        <w:rPr>
          <w:rFonts w:hint="eastAsia" w:ascii="宋体" w:hAnsi="宋体" w:cs="宋体"/>
          <w:bCs/>
          <w:sz w:val="24"/>
          <w:szCs w:val="24"/>
          <w:lang w:eastAsia="zh-Hans"/>
        </w:rPr>
        <w:t>，并</w:t>
      </w:r>
      <w:r>
        <w:rPr>
          <w:rFonts w:hint="eastAsia" w:ascii="宋体" w:hAnsi="宋体" w:cs="宋体"/>
          <w:bCs/>
          <w:sz w:val="24"/>
          <w:szCs w:val="24"/>
        </w:rPr>
        <w:t>向甲方移交操作说明、维护手册等技术相关文档。</w:t>
      </w:r>
    </w:p>
    <w:p w14:paraId="4EA533FB">
      <w:pPr>
        <w:pStyle w:val="41"/>
        <w:spacing w:line="360" w:lineRule="auto"/>
        <w:ind w:firstLine="480"/>
        <w:jc w:val="left"/>
        <w:rPr>
          <w:rFonts w:hint="eastAsia" w:ascii="宋体" w:hAnsi="宋体" w:cs="宋体"/>
          <w:sz w:val="24"/>
          <w:szCs w:val="24"/>
        </w:rPr>
      </w:pPr>
      <w:r>
        <w:rPr>
          <w:rFonts w:hint="eastAsia" w:ascii="宋体" w:hAnsi="宋体" w:cs="宋体"/>
          <w:bCs/>
          <w:sz w:val="24"/>
          <w:szCs w:val="24"/>
        </w:rPr>
        <w:t>3.3 每次维保服务工作结束并得到甲方认可后，双方均需填写并签署维保报告一式两份，甲乙各一份。乙方每次维保后应对系统的现状、甲方使用中需要注意的内容写入维保报告。</w:t>
      </w:r>
    </w:p>
    <w:p w14:paraId="375BE149">
      <w:pPr>
        <w:spacing w:line="360" w:lineRule="auto"/>
        <w:rPr>
          <w:rFonts w:hint="eastAsia" w:ascii="宋体" w:hAnsi="宋体" w:cs="宋体"/>
          <w:b/>
          <w:sz w:val="24"/>
          <w:szCs w:val="24"/>
        </w:rPr>
      </w:pPr>
      <w:r>
        <w:rPr>
          <w:rFonts w:hint="eastAsia" w:ascii="宋体" w:hAnsi="宋体" w:cs="宋体"/>
          <w:b/>
          <w:sz w:val="24"/>
          <w:szCs w:val="24"/>
        </w:rPr>
        <w:t>4. 服务期限</w:t>
      </w:r>
    </w:p>
    <w:p w14:paraId="1CF558FA">
      <w:pPr>
        <w:pStyle w:val="88"/>
        <w:spacing w:line="360" w:lineRule="auto"/>
        <w:ind w:firstLine="480"/>
        <w:jc w:val="left"/>
        <w:rPr>
          <w:rFonts w:ascii="宋体" w:hAnsi="宋体" w:cs="宋体"/>
          <w:bCs/>
          <w:sz w:val="24"/>
          <w:szCs w:val="24"/>
        </w:rPr>
      </w:pPr>
      <w:r>
        <w:rPr>
          <w:rFonts w:hint="eastAsia" w:ascii="宋体" w:hAnsi="宋体" w:cs="宋体"/>
          <w:bCs/>
          <w:sz w:val="24"/>
          <w:szCs w:val="24"/>
        </w:rPr>
        <w:t>合同服务期限：壹年，自</w:t>
      </w:r>
      <w:r>
        <w:rPr>
          <w:rFonts w:hint="eastAsia" w:ascii="宋体" w:hAnsi="宋体" w:cs="宋体"/>
          <w:bCs/>
          <w:sz w:val="24"/>
          <w:szCs w:val="24"/>
          <w:u w:val="single"/>
        </w:rPr>
        <w:t>202</w:t>
      </w:r>
      <w:ins w:id="1" w:author="孙军欢" w:date="2026-03-10T16:28:00Z">
        <w:r>
          <w:rPr>
            <w:rFonts w:hint="eastAsia" w:ascii="宋体" w:hAnsi="宋体" w:cs="宋体"/>
            <w:bCs/>
            <w:sz w:val="24"/>
            <w:szCs w:val="24"/>
            <w:u w:val="single"/>
            <w:lang w:val="en-US" w:eastAsia="zh-CN"/>
          </w:rPr>
          <w:t>6</w:t>
        </w:r>
      </w:ins>
      <w:r>
        <w:rPr>
          <w:rFonts w:hint="eastAsia" w:ascii="宋体" w:hAnsi="宋体" w:cs="宋体"/>
          <w:bCs/>
          <w:sz w:val="24"/>
          <w:szCs w:val="24"/>
        </w:rPr>
        <w:t>年</w:t>
      </w:r>
      <w:r>
        <w:rPr>
          <w:rFonts w:hint="eastAsia" w:ascii="宋体" w:hAnsi="宋体" w:cs="宋体"/>
          <w:bCs/>
          <w:sz w:val="24"/>
          <w:szCs w:val="24"/>
          <w:u w:val="single"/>
          <w:lang w:val="en-US" w:eastAsia="zh-CN"/>
        </w:rPr>
        <w:t xml:space="preserve"> </w:t>
      </w:r>
      <w:r>
        <w:rPr>
          <w:rFonts w:hint="eastAsia" w:ascii="宋体" w:hAnsi="宋体" w:cs="宋体"/>
          <w:bCs/>
          <w:sz w:val="24"/>
          <w:szCs w:val="24"/>
        </w:rPr>
        <w:t>月</w:t>
      </w:r>
      <w:r>
        <w:rPr>
          <w:rFonts w:hint="eastAsia" w:ascii="宋体" w:hAnsi="宋体" w:cs="宋体"/>
          <w:bCs/>
          <w:sz w:val="24"/>
          <w:szCs w:val="24"/>
          <w:u w:val="single"/>
          <w:lang w:val="en-US" w:eastAsia="zh-CN"/>
        </w:rPr>
        <w:t xml:space="preserve"> </w:t>
      </w:r>
      <w:r>
        <w:rPr>
          <w:rFonts w:hint="eastAsia" w:ascii="宋体" w:hAnsi="宋体" w:cs="宋体"/>
          <w:bCs/>
          <w:sz w:val="24"/>
          <w:szCs w:val="24"/>
        </w:rPr>
        <w:t>日起至</w:t>
      </w:r>
      <w:r>
        <w:rPr>
          <w:rFonts w:hint="eastAsia" w:ascii="宋体" w:hAnsi="宋体" w:cs="宋体"/>
          <w:bCs/>
          <w:sz w:val="24"/>
          <w:szCs w:val="24"/>
          <w:u w:val="single"/>
        </w:rPr>
        <w:t>202</w:t>
      </w:r>
      <w:ins w:id="2" w:author="孙军欢" w:date="2026-03-10T16:28:00Z">
        <w:r>
          <w:rPr>
            <w:rFonts w:hint="eastAsia" w:ascii="宋体" w:hAnsi="宋体" w:cs="宋体"/>
            <w:bCs/>
            <w:sz w:val="24"/>
            <w:szCs w:val="24"/>
            <w:u w:val="single"/>
            <w:lang w:val="en-US" w:eastAsia="zh-CN"/>
          </w:rPr>
          <w:t>7</w:t>
        </w:r>
      </w:ins>
      <w:r>
        <w:rPr>
          <w:rFonts w:hint="eastAsia" w:ascii="宋体" w:hAnsi="宋体" w:cs="宋体"/>
          <w:bCs/>
          <w:sz w:val="24"/>
          <w:szCs w:val="24"/>
        </w:rPr>
        <w:t>年</w:t>
      </w:r>
      <w:r>
        <w:rPr>
          <w:rFonts w:hint="eastAsia" w:ascii="宋体" w:hAnsi="宋体" w:cs="宋体"/>
          <w:bCs/>
          <w:sz w:val="24"/>
          <w:szCs w:val="24"/>
          <w:u w:val="single"/>
          <w:lang w:val="en-US" w:eastAsia="zh-CN"/>
        </w:rPr>
        <w:t xml:space="preserve"> </w:t>
      </w:r>
      <w:r>
        <w:rPr>
          <w:rFonts w:hint="eastAsia" w:ascii="宋体" w:hAnsi="宋体" w:cs="宋体"/>
          <w:bCs/>
          <w:sz w:val="24"/>
          <w:szCs w:val="24"/>
        </w:rPr>
        <w:t>月</w:t>
      </w:r>
      <w:r>
        <w:rPr>
          <w:rFonts w:hint="eastAsia" w:ascii="宋体" w:hAnsi="宋体" w:cs="宋体"/>
          <w:bCs/>
          <w:sz w:val="24"/>
          <w:szCs w:val="24"/>
          <w:u w:val="single"/>
          <w:lang w:val="en-US" w:eastAsia="zh-CN"/>
        </w:rPr>
        <w:t xml:space="preserve"> </w:t>
      </w:r>
      <w:r>
        <w:rPr>
          <w:rFonts w:hint="eastAsia" w:ascii="宋体" w:hAnsi="宋体" w:cs="宋体"/>
          <w:bCs/>
          <w:sz w:val="24"/>
          <w:szCs w:val="24"/>
        </w:rPr>
        <w:t>日止。本项目为长期服务类项目，服务期限最长不得超过</w:t>
      </w:r>
      <w:r>
        <w:rPr>
          <w:rFonts w:hint="eastAsia" w:ascii="宋体" w:hAnsi="宋体" w:cs="宋体"/>
          <w:bCs/>
          <w:sz w:val="24"/>
          <w:szCs w:val="24"/>
          <w:lang w:val="en-US" w:eastAsia="zh-CN"/>
        </w:rPr>
        <w:t>三十六个月</w:t>
      </w:r>
      <w:r>
        <w:rPr>
          <w:rFonts w:hint="eastAsia" w:ascii="宋体" w:hAnsi="宋体" w:cs="宋体"/>
          <w:bCs/>
          <w:sz w:val="24"/>
          <w:szCs w:val="24"/>
        </w:rPr>
        <w:t>，甲方可根据项目需求和乙方的履约考评情况决定下一年度是否续签，每次续签合同的服务期限为一年，最多可续签二次。本次签订合同的服务期限为第</w:t>
      </w:r>
      <w:r>
        <w:rPr>
          <w:rFonts w:hint="eastAsia" w:ascii="宋体" w:hAnsi="宋体" w:cs="宋体"/>
          <w:bCs/>
          <w:sz w:val="24"/>
          <w:szCs w:val="24"/>
          <w:u w:val="single"/>
        </w:rPr>
        <w:t xml:space="preserve"> </w:t>
      </w:r>
      <w:r>
        <w:rPr>
          <w:rFonts w:hint="eastAsia" w:ascii="宋体" w:hAnsi="宋体" w:cs="宋体"/>
          <w:bCs/>
          <w:sz w:val="24"/>
          <w:szCs w:val="24"/>
          <w:u w:val="single"/>
          <w:lang w:val="en-US" w:eastAsia="zh-CN"/>
        </w:rPr>
        <w:t xml:space="preserve"> </w:t>
      </w:r>
      <w:r>
        <w:rPr>
          <w:rFonts w:hint="eastAsia" w:ascii="宋体" w:hAnsi="宋体" w:cs="宋体"/>
          <w:bCs/>
          <w:sz w:val="24"/>
          <w:szCs w:val="24"/>
          <w:u w:val="single"/>
        </w:rPr>
        <w:t xml:space="preserve">  </w:t>
      </w:r>
      <w:r>
        <w:rPr>
          <w:rFonts w:hint="eastAsia" w:ascii="宋体" w:hAnsi="宋体" w:cs="宋体"/>
          <w:bCs/>
          <w:sz w:val="24"/>
          <w:szCs w:val="24"/>
        </w:rPr>
        <w:t>年维保服务期。</w:t>
      </w:r>
    </w:p>
    <w:p w14:paraId="04A4F1A4">
      <w:pPr>
        <w:pStyle w:val="88"/>
        <w:spacing w:line="360" w:lineRule="auto"/>
        <w:ind w:firstLine="480"/>
        <w:jc w:val="left"/>
        <w:rPr>
          <w:rFonts w:hint="eastAsia" w:ascii="宋体" w:hAnsi="宋体" w:cs="宋体"/>
          <w:bCs/>
          <w:sz w:val="24"/>
          <w:szCs w:val="24"/>
        </w:rPr>
      </w:pPr>
      <w:r>
        <w:rPr>
          <w:rFonts w:hint="eastAsia" w:ascii="宋体" w:hAnsi="宋体" w:cs="宋体"/>
          <w:bCs/>
          <w:sz w:val="24"/>
          <w:szCs w:val="24"/>
        </w:rPr>
        <w:t>合同期满前，甲方对乙方的履约情况进行评估，出具履约情况评估报告（详见附件），评估合格的，方可续签合同。</w:t>
      </w:r>
    </w:p>
    <w:p w14:paraId="4FE1C6FB">
      <w:pPr>
        <w:spacing w:line="360" w:lineRule="auto"/>
        <w:rPr>
          <w:rFonts w:hint="eastAsia" w:ascii="宋体" w:hAnsi="宋体" w:cs="宋体"/>
          <w:b/>
          <w:sz w:val="24"/>
          <w:szCs w:val="24"/>
        </w:rPr>
      </w:pPr>
      <w:r>
        <w:rPr>
          <w:rFonts w:hint="eastAsia" w:ascii="宋体" w:hAnsi="宋体" w:cs="宋体"/>
          <w:b/>
          <w:sz w:val="24"/>
          <w:szCs w:val="24"/>
        </w:rPr>
        <w:t>5. 合同价款及结算方式</w:t>
      </w:r>
    </w:p>
    <w:p w14:paraId="5B322EC4">
      <w:pPr>
        <w:tabs>
          <w:tab w:val="left" w:pos="0"/>
          <w:tab w:val="left" w:pos="540"/>
          <w:tab w:val="left" w:pos="5245"/>
        </w:tabs>
        <w:spacing w:line="360" w:lineRule="auto"/>
        <w:ind w:firstLine="484" w:firstLineChars="202"/>
        <w:rPr>
          <w:rFonts w:hint="eastAsia" w:ascii="宋体" w:hAnsi="宋体" w:cs="宋体"/>
          <w:sz w:val="24"/>
          <w:szCs w:val="24"/>
        </w:rPr>
      </w:pPr>
      <w:r>
        <w:rPr>
          <w:rFonts w:hint="eastAsia" w:ascii="宋体" w:hAnsi="宋体" w:cs="宋体"/>
          <w:bCs/>
          <w:sz w:val="24"/>
          <w:szCs w:val="24"/>
        </w:rPr>
        <w:t>5.1 合同总金额：本合同维保服务费用总价款为人民币</w:t>
      </w:r>
      <w:r>
        <w:rPr>
          <w:rFonts w:hint="eastAsia" w:ascii="宋体" w:hAnsi="宋体" w:cs="宋体"/>
          <w:bCs/>
          <w:sz w:val="24"/>
          <w:szCs w:val="24"/>
          <w:u w:val="single"/>
        </w:rPr>
        <w:t>元整</w:t>
      </w:r>
      <w:r>
        <w:rPr>
          <w:rFonts w:hint="eastAsia" w:ascii="宋体" w:hAnsi="宋体" w:cs="宋体"/>
          <w:bCs/>
          <w:sz w:val="24"/>
          <w:szCs w:val="24"/>
        </w:rPr>
        <w:t>（¥）。</w:t>
      </w:r>
      <w:r>
        <w:rPr>
          <w:rFonts w:hint="eastAsia" w:ascii="宋体" w:hAnsi="宋体" w:cs="宋体"/>
          <w:sz w:val="24"/>
          <w:szCs w:val="24"/>
        </w:rPr>
        <w:t>合同价款为包干总价，该包干总价为乙方按照合同约定完成合同全部义务的总价格，包括但不限于设备、运输、人工、管理、软件系统的二次开发、软件更新、升级、技术支持（包括远程、现场技术支持）、服务器、安装、调试、接口（包括对接甲方院内其他信息系统所涉及到的所有费用）、技术培训、保险、维保、人工、售后服务、利润、税金、政策性文件规定及合同包含的所有风险（包括但不限于国家和地方的法律法规政策变动风险、市场价格波动风险等）等全部费用。除本合同明确约定的费用外，甲方无需支付任何额外费用和承担任何额外义务。</w:t>
      </w:r>
    </w:p>
    <w:p w14:paraId="513B68EF">
      <w:pPr>
        <w:pStyle w:val="88"/>
        <w:spacing w:line="360" w:lineRule="auto"/>
        <w:ind w:firstLine="480"/>
        <w:rPr>
          <w:rFonts w:hint="eastAsia" w:ascii="宋体" w:hAnsi="宋体" w:cs="宋体"/>
          <w:bCs/>
          <w:sz w:val="24"/>
          <w:szCs w:val="24"/>
        </w:rPr>
      </w:pPr>
      <w:r>
        <w:rPr>
          <w:rFonts w:hint="eastAsia" w:ascii="宋体" w:hAnsi="宋体" w:cs="宋体"/>
          <w:bCs/>
          <w:sz w:val="24"/>
          <w:szCs w:val="24"/>
        </w:rPr>
        <w:t>5.2付款方式：</w:t>
      </w:r>
    </w:p>
    <w:p w14:paraId="343466BA">
      <w:pPr>
        <w:pStyle w:val="88"/>
        <w:spacing w:line="360" w:lineRule="auto"/>
        <w:ind w:firstLine="480"/>
        <w:rPr>
          <w:rFonts w:hint="eastAsia" w:ascii="宋体" w:hAnsi="宋体" w:cs="宋体"/>
          <w:bCs/>
          <w:sz w:val="24"/>
          <w:szCs w:val="24"/>
        </w:rPr>
      </w:pPr>
      <w:r>
        <w:rPr>
          <w:rFonts w:hint="eastAsia" w:ascii="宋体" w:hAnsi="宋体" w:cs="宋体"/>
          <w:bCs/>
          <w:sz w:val="24"/>
          <w:szCs w:val="24"/>
        </w:rPr>
        <w:t>（1）第一笔款：合同签订后满三个月，且完成首次维保经甲方验收合格后，乙方向甲方出具合同总金额50%的发票，自甲方财务收到乙方发票之日起</w:t>
      </w:r>
      <w:r>
        <w:rPr>
          <w:rFonts w:hint="eastAsia" w:ascii="宋体" w:hAnsi="宋体" w:cs="宋体"/>
          <w:bCs/>
          <w:sz w:val="24"/>
          <w:szCs w:val="24"/>
          <w:lang w:val="en-US" w:eastAsia="zh-CN"/>
        </w:rPr>
        <w:t>10个工作日内</w:t>
      </w:r>
      <w:r>
        <w:rPr>
          <w:rFonts w:hint="eastAsia" w:ascii="宋体" w:hAnsi="宋体" w:cs="宋体"/>
          <w:bCs/>
          <w:sz w:val="24"/>
          <w:szCs w:val="24"/>
        </w:rPr>
        <w:t>，甲方向乙方支付发票等额款项，即人民币</w:t>
      </w:r>
      <w:r>
        <w:rPr>
          <w:rFonts w:hint="eastAsia" w:ascii="宋体" w:hAnsi="宋体" w:cs="宋体"/>
          <w:bCs/>
          <w:sz w:val="24"/>
          <w:szCs w:val="24"/>
          <w:u w:val="single"/>
        </w:rPr>
        <w:t>元整</w:t>
      </w:r>
      <w:r>
        <w:rPr>
          <w:rFonts w:hint="eastAsia" w:ascii="宋体" w:hAnsi="宋体" w:cs="宋体"/>
          <w:bCs/>
          <w:sz w:val="24"/>
          <w:szCs w:val="24"/>
        </w:rPr>
        <w:t>（¥）；</w:t>
      </w:r>
    </w:p>
    <w:p w14:paraId="5033427D">
      <w:pPr>
        <w:pStyle w:val="88"/>
        <w:spacing w:line="360" w:lineRule="auto"/>
        <w:ind w:firstLine="480"/>
        <w:jc w:val="left"/>
        <w:rPr>
          <w:rFonts w:hint="eastAsia" w:ascii="宋体" w:hAnsi="宋体" w:cs="宋体"/>
          <w:bCs/>
          <w:sz w:val="24"/>
          <w:szCs w:val="24"/>
        </w:rPr>
      </w:pPr>
      <w:r>
        <w:rPr>
          <w:rFonts w:hint="eastAsia" w:ascii="宋体" w:hAnsi="宋体" w:cs="宋体"/>
          <w:bCs/>
          <w:sz w:val="24"/>
          <w:szCs w:val="24"/>
        </w:rPr>
        <w:t>（2）第二笔款：合同到期后满三个月，甲方根据本合同附件3履约考评结果，确定第二笔款结算金额：若年度平均分为80分及以上，甲方向乙方支付剩余50 %的合同款项，即人民币</w:t>
      </w:r>
      <w:r>
        <w:rPr>
          <w:rFonts w:hint="eastAsia" w:ascii="宋体" w:hAnsi="宋体" w:cs="宋体"/>
          <w:bCs/>
          <w:sz w:val="24"/>
          <w:szCs w:val="24"/>
          <w:u w:val="single"/>
        </w:rPr>
        <w:t>元整</w:t>
      </w:r>
      <w:r>
        <w:rPr>
          <w:rFonts w:hint="eastAsia" w:ascii="宋体" w:hAnsi="宋体" w:cs="宋体"/>
          <w:bCs/>
          <w:sz w:val="24"/>
          <w:szCs w:val="24"/>
        </w:rPr>
        <w:t>（¥），若年度平均分为80分以下，每减一分降一个百分点，每降一个百分点扣除合同总金额的百分之一。乙方向甲方出具与第二笔款结算金额等额的发票，自甲方财务收到乙方发票之日起</w:t>
      </w:r>
      <w:r>
        <w:rPr>
          <w:rFonts w:hint="eastAsia" w:ascii="宋体" w:hAnsi="宋体" w:cs="宋体"/>
          <w:bCs/>
          <w:sz w:val="24"/>
          <w:szCs w:val="24"/>
          <w:lang w:val="en-US" w:eastAsia="zh-CN"/>
        </w:rPr>
        <w:t>10个工作日</w:t>
      </w:r>
      <w:r>
        <w:rPr>
          <w:rFonts w:hint="eastAsia" w:ascii="宋体" w:hAnsi="宋体" w:cs="宋体"/>
          <w:bCs/>
          <w:sz w:val="24"/>
          <w:szCs w:val="24"/>
        </w:rPr>
        <w:t>内，甲方向乙方支付发票等额款项。</w:t>
      </w:r>
    </w:p>
    <w:p w14:paraId="054413D7">
      <w:pPr>
        <w:pStyle w:val="88"/>
        <w:spacing w:line="360" w:lineRule="auto"/>
        <w:ind w:firstLine="480"/>
        <w:rPr>
          <w:rFonts w:hint="eastAsia" w:ascii="宋体" w:hAnsi="宋体"/>
          <w:bCs/>
          <w:sz w:val="24"/>
          <w:szCs w:val="24"/>
        </w:rPr>
      </w:pPr>
      <w:r>
        <w:rPr>
          <w:rFonts w:hint="eastAsia" w:ascii="宋体" w:hAnsi="宋体"/>
          <w:bCs/>
          <w:sz w:val="24"/>
          <w:szCs w:val="24"/>
        </w:rPr>
        <w:t>5.3</w:t>
      </w:r>
      <w:r>
        <w:rPr>
          <w:rFonts w:hint="eastAsia" w:ascii="宋体" w:hAnsi="宋体"/>
          <w:sz w:val="24"/>
          <w:szCs w:val="24"/>
        </w:rPr>
        <w:t>乙方须出具合法有效的等额发票，否则甲方有权顺延付款。</w:t>
      </w:r>
    </w:p>
    <w:p w14:paraId="1B45FCE8">
      <w:pPr>
        <w:spacing w:line="360" w:lineRule="auto"/>
        <w:ind w:firstLine="480" w:firstLineChars="200"/>
        <w:rPr>
          <w:rFonts w:hint="eastAsia" w:ascii="宋体" w:hAnsi="宋体"/>
          <w:bCs/>
          <w:sz w:val="24"/>
          <w:szCs w:val="24"/>
        </w:rPr>
      </w:pPr>
      <w:r>
        <w:rPr>
          <w:rFonts w:hint="eastAsia" w:ascii="宋体" w:hAnsi="宋体"/>
          <w:bCs/>
          <w:sz w:val="24"/>
          <w:szCs w:val="24"/>
        </w:rPr>
        <w:t>5.4 乙方收款账户信息：</w:t>
      </w:r>
    </w:p>
    <w:p w14:paraId="0962CBE6">
      <w:pPr>
        <w:spacing w:line="360" w:lineRule="auto"/>
        <w:ind w:firstLine="480" w:firstLineChars="200"/>
        <w:rPr>
          <w:rFonts w:hint="eastAsia" w:ascii="宋体" w:hAnsi="宋体"/>
          <w:sz w:val="24"/>
          <w:szCs w:val="24"/>
        </w:rPr>
      </w:pPr>
      <w:r>
        <w:rPr>
          <w:rFonts w:hint="eastAsia" w:ascii="宋体" w:hAnsi="宋体"/>
          <w:sz w:val="24"/>
          <w:szCs w:val="24"/>
        </w:rPr>
        <w:t>户名：</w:t>
      </w:r>
    </w:p>
    <w:p w14:paraId="670B6A36">
      <w:pPr>
        <w:snapToGrid w:val="0"/>
        <w:spacing w:line="360" w:lineRule="auto"/>
        <w:ind w:firstLine="480" w:firstLineChars="200"/>
        <w:rPr>
          <w:rFonts w:hint="eastAsia" w:ascii="宋体" w:hAnsi="宋体"/>
          <w:sz w:val="24"/>
          <w:szCs w:val="24"/>
        </w:rPr>
      </w:pPr>
      <w:r>
        <w:rPr>
          <w:rFonts w:hint="eastAsia" w:ascii="宋体" w:hAnsi="宋体"/>
          <w:sz w:val="24"/>
          <w:szCs w:val="24"/>
        </w:rPr>
        <w:t>开户行：</w:t>
      </w:r>
    </w:p>
    <w:p w14:paraId="709DA72F">
      <w:pPr>
        <w:pStyle w:val="14"/>
        <w:spacing w:line="360" w:lineRule="auto"/>
        <w:ind w:firstLine="480" w:firstLineChars="200"/>
        <w:rPr>
          <w:rFonts w:hAnsi="宋体"/>
          <w:color w:val="000000"/>
          <w:sz w:val="24"/>
          <w:szCs w:val="24"/>
        </w:rPr>
      </w:pPr>
      <w:r>
        <w:rPr>
          <w:rFonts w:hint="eastAsia" w:hAnsi="宋体"/>
          <w:color w:val="000000"/>
          <w:sz w:val="24"/>
          <w:szCs w:val="24"/>
        </w:rPr>
        <w:t>账  号：</w:t>
      </w:r>
    </w:p>
    <w:p w14:paraId="2531B86A">
      <w:pPr>
        <w:widowControl/>
        <w:spacing w:line="360" w:lineRule="auto"/>
        <w:ind w:firstLine="480" w:firstLineChars="200"/>
        <w:rPr>
          <w:rFonts w:hint="eastAsia" w:ascii="宋体" w:hAnsi="宋体" w:cs="宋体"/>
          <w:bCs/>
          <w:sz w:val="24"/>
          <w:szCs w:val="24"/>
        </w:rPr>
      </w:pPr>
      <w:r>
        <w:rPr>
          <w:rFonts w:hint="eastAsia" w:ascii="宋体" w:hAnsi="宋体"/>
          <w:sz w:val="24"/>
          <w:szCs w:val="24"/>
        </w:rPr>
        <w:t>甲方向上述账户汇出款项后，即视为已履行付款义务。因乙方账户的原因（包括但不限于账号被注销、被冻结等）导致其无法收取款项的，由乙方承担相应后果。</w:t>
      </w:r>
    </w:p>
    <w:p w14:paraId="6E484CC5">
      <w:pPr>
        <w:spacing w:line="360" w:lineRule="auto"/>
        <w:rPr>
          <w:rFonts w:hint="eastAsia" w:ascii="宋体" w:hAnsi="宋体" w:cs="宋体"/>
          <w:b/>
          <w:bCs/>
          <w:sz w:val="24"/>
          <w:szCs w:val="24"/>
        </w:rPr>
      </w:pPr>
      <w:r>
        <w:rPr>
          <w:rFonts w:hint="eastAsia" w:ascii="宋体" w:hAnsi="宋体" w:cs="宋体"/>
          <w:b/>
          <w:bCs/>
          <w:sz w:val="24"/>
          <w:szCs w:val="24"/>
        </w:rPr>
        <w:t>6. 甲方的权利和义务</w:t>
      </w:r>
    </w:p>
    <w:p w14:paraId="70FC1983">
      <w:pPr>
        <w:widowControl/>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6.1 甲方有权对乙方的工作进行监督、检验，并提出意见。乙方维保服务考核不达标的，甲方有权扣减相应的维保费用，并有权要求乙方限期整改，限期整改不到位的，甲方有权单方解除合同。</w:t>
      </w:r>
    </w:p>
    <w:p w14:paraId="60521C9E">
      <w:pPr>
        <w:spacing w:line="360" w:lineRule="auto"/>
        <w:ind w:firstLine="480" w:firstLineChars="200"/>
        <w:outlineLvl w:val="0"/>
        <w:rPr>
          <w:rFonts w:hint="eastAsia" w:ascii="宋体" w:hAnsi="宋体" w:cs="宋体"/>
          <w:bCs/>
          <w:sz w:val="24"/>
          <w:szCs w:val="24"/>
        </w:rPr>
      </w:pPr>
      <w:r>
        <w:rPr>
          <w:rFonts w:hint="eastAsia" w:ascii="宋体" w:hAnsi="宋体" w:cs="宋体"/>
          <w:bCs/>
          <w:sz w:val="24"/>
          <w:szCs w:val="24"/>
        </w:rPr>
        <w:t>6.2 乙方完成维保服务并提交维保报告后，甲方应在</w:t>
      </w:r>
      <w:r>
        <w:rPr>
          <w:rFonts w:hint="eastAsia" w:ascii="宋体" w:hAnsi="宋体" w:cs="宋体"/>
          <w:bCs/>
          <w:sz w:val="24"/>
          <w:szCs w:val="24"/>
          <w:u w:val="single"/>
        </w:rPr>
        <w:t xml:space="preserve">  30  </w:t>
      </w:r>
      <w:r>
        <w:rPr>
          <w:rFonts w:hint="eastAsia" w:ascii="宋体" w:hAnsi="宋体" w:cs="宋体"/>
          <w:bCs/>
          <w:sz w:val="24"/>
          <w:szCs w:val="24"/>
        </w:rPr>
        <w:t>个工作日内检查验收，如验收合格，签署并向乙方反馈维保报告；如验收不合格，可要求乙方在</w:t>
      </w:r>
      <w:r>
        <w:rPr>
          <w:rFonts w:hint="eastAsia" w:ascii="宋体" w:hAnsi="宋体" w:cs="宋体"/>
          <w:bCs/>
          <w:sz w:val="24"/>
          <w:szCs w:val="24"/>
          <w:u w:val="single"/>
        </w:rPr>
        <w:t xml:space="preserve">  10 </w:t>
      </w:r>
      <w:r>
        <w:rPr>
          <w:rFonts w:hint="eastAsia" w:ascii="宋体" w:hAnsi="宋体" w:cs="宋体"/>
          <w:bCs/>
          <w:sz w:val="24"/>
          <w:szCs w:val="24"/>
        </w:rPr>
        <w:t>个工作日内返工并重新提交维保报告。</w:t>
      </w:r>
    </w:p>
    <w:p w14:paraId="79D6D1AF">
      <w:pPr>
        <w:spacing w:line="360" w:lineRule="auto"/>
        <w:ind w:firstLine="480" w:firstLineChars="200"/>
        <w:outlineLvl w:val="0"/>
        <w:rPr>
          <w:rFonts w:hint="eastAsia" w:ascii="宋体" w:hAnsi="宋体" w:cs="宋体"/>
          <w:bCs/>
          <w:sz w:val="24"/>
          <w:szCs w:val="24"/>
        </w:rPr>
      </w:pPr>
      <w:r>
        <w:rPr>
          <w:rFonts w:hint="eastAsia" w:ascii="宋体" w:hAnsi="宋体" w:cs="宋体"/>
          <w:bCs/>
          <w:sz w:val="24"/>
          <w:szCs w:val="24"/>
        </w:rPr>
        <w:t>6.3 在乙方严格按照本合同约定提供维保服务条件下，甲方应按照本合同约定及时支付服务费用。</w:t>
      </w:r>
    </w:p>
    <w:p w14:paraId="70B0355F">
      <w:pPr>
        <w:spacing w:line="360" w:lineRule="auto"/>
        <w:outlineLvl w:val="0"/>
        <w:rPr>
          <w:rFonts w:hint="eastAsia" w:ascii="宋体" w:hAnsi="宋体" w:cs="宋体"/>
          <w:b/>
          <w:bCs/>
          <w:sz w:val="24"/>
          <w:szCs w:val="24"/>
        </w:rPr>
      </w:pPr>
      <w:r>
        <w:rPr>
          <w:rFonts w:hint="eastAsia" w:ascii="宋体" w:hAnsi="宋体" w:cs="宋体"/>
          <w:b/>
          <w:bCs/>
          <w:sz w:val="24"/>
          <w:szCs w:val="24"/>
        </w:rPr>
        <w:t>7. 乙方的权利和义务</w:t>
      </w:r>
    </w:p>
    <w:p w14:paraId="3A16077A">
      <w:pPr>
        <w:pStyle w:val="88"/>
        <w:spacing w:line="360" w:lineRule="auto"/>
        <w:ind w:firstLine="480"/>
        <w:jc w:val="left"/>
        <w:rPr>
          <w:rFonts w:hint="eastAsia" w:ascii="宋体" w:hAnsi="宋体" w:cs="宋体"/>
          <w:bCs/>
          <w:sz w:val="24"/>
          <w:szCs w:val="24"/>
        </w:rPr>
      </w:pPr>
      <w:r>
        <w:rPr>
          <w:rFonts w:hint="eastAsia" w:ascii="宋体" w:hAnsi="宋体" w:cs="宋体"/>
          <w:bCs/>
          <w:sz w:val="24"/>
          <w:szCs w:val="24"/>
        </w:rPr>
        <w:t>7.1 乙方应保证系统的年正常运行时间在</w:t>
      </w:r>
      <w:r>
        <w:rPr>
          <w:rFonts w:hint="eastAsia" w:ascii="宋体" w:hAnsi="宋体" w:cs="宋体"/>
          <w:bCs/>
          <w:sz w:val="24"/>
          <w:szCs w:val="24"/>
          <w:u w:val="single"/>
        </w:rPr>
        <w:t xml:space="preserve"> </w:t>
      </w:r>
      <w:r>
        <w:rPr>
          <w:rFonts w:ascii="宋体" w:hAnsi="宋体" w:cs="宋体"/>
          <w:bCs/>
          <w:sz w:val="24"/>
          <w:szCs w:val="24"/>
          <w:u w:val="single"/>
        </w:rPr>
        <w:t xml:space="preserve">  </w:t>
      </w:r>
      <w:r>
        <w:rPr>
          <w:rFonts w:hint="eastAsia" w:ascii="宋体" w:hAnsi="宋体" w:cs="宋体"/>
          <w:bCs/>
          <w:sz w:val="24"/>
          <w:szCs w:val="24"/>
          <w:u w:val="single"/>
        </w:rPr>
        <w:t>361</w:t>
      </w:r>
      <w:r>
        <w:rPr>
          <w:rFonts w:ascii="宋体" w:hAnsi="宋体" w:cs="宋体"/>
          <w:bCs/>
          <w:sz w:val="24"/>
          <w:szCs w:val="24"/>
          <w:u w:val="single"/>
        </w:rPr>
        <w:t xml:space="preserve"> </w:t>
      </w:r>
      <w:r>
        <w:rPr>
          <w:rFonts w:hint="eastAsia" w:ascii="宋体" w:hAnsi="宋体" w:cs="宋体"/>
          <w:bCs/>
          <w:sz w:val="24"/>
          <w:szCs w:val="24"/>
        </w:rPr>
        <w:sym w:font="Wingdings 2" w:char="00A3"/>
      </w:r>
      <w:r>
        <w:rPr>
          <w:rFonts w:hint="eastAsia" w:ascii="宋体" w:hAnsi="宋体" w:cs="宋体"/>
          <w:bCs/>
          <w:sz w:val="24"/>
          <w:szCs w:val="24"/>
        </w:rPr>
        <w:t>工作日</w:t>
      </w:r>
      <w:r>
        <w:rPr>
          <w:rFonts w:hint="eastAsia" w:ascii="宋体" w:hAnsi="宋体"/>
          <w:sz w:val="24"/>
          <w:szCs w:val="24"/>
        </w:rPr>
        <w:sym w:font="Wingdings 2" w:char="0052"/>
      </w:r>
      <w:r>
        <w:rPr>
          <w:rFonts w:hint="eastAsia" w:ascii="宋体" w:hAnsi="宋体" w:cs="宋体"/>
          <w:bCs/>
          <w:sz w:val="24"/>
          <w:szCs w:val="24"/>
        </w:rPr>
        <w:t>自然日，如果系统年正常运行时间低于上述天数，则乙方应按低于天数的</w:t>
      </w:r>
      <w:r>
        <w:rPr>
          <w:rFonts w:hint="eastAsia" w:ascii="宋体" w:hAnsi="宋体" w:cs="宋体"/>
          <w:bCs/>
          <w:sz w:val="24"/>
          <w:szCs w:val="24"/>
          <w:u w:val="single"/>
        </w:rPr>
        <w:t xml:space="preserve"> 2   </w:t>
      </w:r>
      <w:r>
        <w:rPr>
          <w:rFonts w:hint="eastAsia" w:ascii="宋体" w:hAnsi="宋体" w:cs="宋体"/>
          <w:bCs/>
          <w:sz w:val="24"/>
          <w:szCs w:val="24"/>
        </w:rPr>
        <w:t>倍延长维保服务时间。</w:t>
      </w:r>
    </w:p>
    <w:p w14:paraId="4C56C16C">
      <w:pPr>
        <w:spacing w:line="360" w:lineRule="auto"/>
        <w:ind w:firstLine="480" w:firstLineChars="200"/>
        <w:outlineLvl w:val="0"/>
        <w:rPr>
          <w:rFonts w:hint="eastAsia" w:ascii="宋体" w:hAnsi="宋体" w:cs="宋体"/>
          <w:bCs/>
          <w:sz w:val="24"/>
          <w:szCs w:val="24"/>
        </w:rPr>
      </w:pPr>
      <w:r>
        <w:rPr>
          <w:rFonts w:hint="eastAsia" w:ascii="宋体" w:hAnsi="宋体" w:cs="宋体"/>
          <w:bCs/>
          <w:sz w:val="24"/>
          <w:szCs w:val="24"/>
        </w:rPr>
        <w:t>7.2 乙方应在维保期内保证系统处于良好状态（包括但不限于正常运行状态），达到本合同要求的标准。</w:t>
      </w:r>
    </w:p>
    <w:p w14:paraId="7EFEC152">
      <w:pPr>
        <w:widowControl/>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7.3 乙方应按照本合同的约定时间和要求进行维护，系统故障时乙方应按承诺的响应时间到场维修。如系统有突发性故障甲方需要紧急维保时，乙方应积极配合甲方尽快安排人员到场维修。</w:t>
      </w:r>
      <w:r>
        <w:rPr>
          <w:rFonts w:hint="eastAsia" w:ascii="宋体" w:hAnsi="宋体" w:cs="宋体"/>
          <w:color w:val="000000"/>
          <w:kern w:val="0"/>
          <w:sz w:val="24"/>
          <w:szCs w:val="24"/>
          <w:lang w:bidi="ar"/>
        </w:rPr>
        <w:t xml:space="preserve">合同期内，乙方应根据甲方实际情况实施维保，错开使用高峰时间，不得影响甲方日常工作。 </w:t>
      </w:r>
    </w:p>
    <w:p w14:paraId="77547B7A">
      <w:pPr>
        <w:spacing w:line="360" w:lineRule="auto"/>
        <w:ind w:firstLine="480" w:firstLineChars="200"/>
        <w:outlineLvl w:val="0"/>
        <w:rPr>
          <w:rFonts w:hint="eastAsia" w:ascii="宋体" w:hAnsi="宋体" w:cs="宋体"/>
          <w:bCs/>
          <w:sz w:val="24"/>
          <w:szCs w:val="24"/>
        </w:rPr>
      </w:pPr>
      <w:r>
        <w:rPr>
          <w:rFonts w:hint="eastAsia" w:ascii="宋体" w:hAnsi="宋体" w:cs="宋体"/>
          <w:bCs/>
          <w:sz w:val="24"/>
          <w:szCs w:val="24"/>
        </w:rPr>
        <w:t>7.4 每次维保服务工作结束后，乙方应及时向甲方提交维保报告，经甲方验收并签署维保报告后，本次维保服务方为完结。</w:t>
      </w:r>
    </w:p>
    <w:p w14:paraId="0EE88BF2">
      <w:pPr>
        <w:widowControl/>
        <w:spacing w:line="360" w:lineRule="auto"/>
        <w:ind w:firstLine="480" w:firstLineChars="200"/>
        <w:jc w:val="left"/>
        <w:rPr>
          <w:rFonts w:ascii="宋体" w:hAnsi="宋体" w:cs="宋体"/>
          <w:bCs/>
          <w:sz w:val="24"/>
          <w:szCs w:val="24"/>
        </w:rPr>
      </w:pPr>
      <w:r>
        <w:rPr>
          <w:rFonts w:hint="eastAsia" w:ascii="宋体" w:hAnsi="宋体" w:cs="宋体"/>
          <w:bCs/>
          <w:sz w:val="24"/>
          <w:szCs w:val="24"/>
        </w:rPr>
        <w:t>7.5 在履行本合同过程中，因乙方原因造成甲方经济损失的，由乙方承担全部责任。</w:t>
      </w:r>
      <w:r>
        <w:rPr>
          <w:rFonts w:hint="eastAsia" w:ascii="宋体" w:hAnsi="宋体" w:cs="宋体"/>
          <w:color w:val="000000"/>
          <w:kern w:val="0"/>
          <w:sz w:val="24"/>
          <w:szCs w:val="24"/>
          <w:lang w:bidi="ar"/>
        </w:rPr>
        <w:t>在合同期内由于系统故障引发的医疗纠纷，经</w:t>
      </w:r>
      <w:r>
        <w:rPr>
          <w:rFonts w:hint="eastAsia" w:ascii="宋体" w:hAnsi="宋体" w:cs="宋体"/>
          <w:color w:val="000000"/>
          <w:kern w:val="0"/>
          <w:sz w:val="24"/>
          <w:szCs w:val="24"/>
          <w:lang w:eastAsia="zh-Hans" w:bidi="ar"/>
        </w:rPr>
        <w:t>医疗纠纷调解委员会、</w:t>
      </w:r>
      <w:r>
        <w:rPr>
          <w:rFonts w:hint="eastAsia" w:ascii="宋体" w:hAnsi="宋体" w:cs="宋体"/>
          <w:color w:val="000000"/>
          <w:kern w:val="0"/>
          <w:sz w:val="24"/>
          <w:szCs w:val="24"/>
          <w:lang w:bidi="ar"/>
        </w:rPr>
        <w:t>医疗纠纷委员会或</w:t>
      </w:r>
      <w:r>
        <w:rPr>
          <w:rFonts w:hint="eastAsia" w:ascii="宋体" w:hAnsi="宋体" w:cs="宋体"/>
          <w:color w:val="000000"/>
          <w:kern w:val="0"/>
          <w:sz w:val="24"/>
          <w:szCs w:val="24"/>
          <w:lang w:eastAsia="zh-Hans" w:bidi="ar"/>
        </w:rPr>
        <w:t>鉴定机构</w:t>
      </w:r>
      <w:r>
        <w:rPr>
          <w:rFonts w:hint="eastAsia" w:ascii="宋体" w:hAnsi="宋体" w:cs="宋体"/>
          <w:color w:val="000000"/>
          <w:kern w:val="0"/>
          <w:sz w:val="24"/>
          <w:szCs w:val="24"/>
          <w:lang w:bidi="ar"/>
        </w:rPr>
        <w:t>等权威机构鉴定，属于乙方维保不当造成的原因，由乙方承担相应的责任。</w:t>
      </w:r>
    </w:p>
    <w:p w14:paraId="47DA9B4A">
      <w:pPr>
        <w:spacing w:line="360" w:lineRule="auto"/>
        <w:ind w:firstLine="480" w:firstLineChars="200"/>
        <w:outlineLvl w:val="0"/>
        <w:rPr>
          <w:rFonts w:hint="eastAsia" w:ascii="宋体" w:hAnsi="宋体" w:cs="宋体"/>
          <w:bCs/>
          <w:sz w:val="24"/>
          <w:szCs w:val="24"/>
        </w:rPr>
      </w:pPr>
      <w:r>
        <w:rPr>
          <w:rFonts w:ascii="宋体" w:hAnsi="宋体" w:cs="宋体"/>
          <w:bCs/>
          <w:sz w:val="24"/>
          <w:szCs w:val="24"/>
        </w:rPr>
        <w:t>7.</w:t>
      </w:r>
      <w:r>
        <w:rPr>
          <w:rFonts w:hint="eastAsia" w:ascii="宋体" w:hAnsi="宋体" w:cs="宋体"/>
          <w:bCs/>
          <w:sz w:val="24"/>
          <w:szCs w:val="24"/>
        </w:rPr>
        <w:t>6</w:t>
      </w:r>
      <w:r>
        <w:rPr>
          <w:rFonts w:ascii="宋体" w:hAnsi="宋体" w:cs="宋体"/>
          <w:bCs/>
          <w:sz w:val="24"/>
          <w:szCs w:val="24"/>
        </w:rPr>
        <w:t xml:space="preserve"> </w:t>
      </w:r>
      <w:r>
        <w:rPr>
          <w:rFonts w:hint="eastAsia" w:ascii="宋体" w:hAnsi="宋体" w:cs="宋体"/>
          <w:bCs/>
          <w:sz w:val="24"/>
          <w:szCs w:val="24"/>
        </w:rPr>
        <w:t>在维保服务过程中，乙方应做好安全防护措施，确保人身和财产安全。若维保过程发生事故或意外（包括但不限于人身安全事故或财产损失等），乙方承担全部责任（包括一切经济及法律责任）。</w:t>
      </w:r>
    </w:p>
    <w:p w14:paraId="34A50A6D">
      <w:pPr>
        <w:spacing w:line="360" w:lineRule="auto"/>
        <w:ind w:firstLine="480" w:firstLineChars="200"/>
        <w:outlineLvl w:val="0"/>
        <w:rPr>
          <w:rFonts w:hint="eastAsia" w:ascii="宋体" w:hAnsi="宋体" w:cs="宋体"/>
          <w:sz w:val="24"/>
          <w:szCs w:val="24"/>
        </w:rPr>
      </w:pPr>
      <w:r>
        <w:rPr>
          <w:rFonts w:ascii="宋体" w:hAnsi="宋体" w:cs="宋体"/>
          <w:bCs/>
          <w:sz w:val="24"/>
          <w:szCs w:val="24"/>
        </w:rPr>
        <w:t>7.</w:t>
      </w:r>
      <w:r>
        <w:rPr>
          <w:rFonts w:hint="eastAsia" w:ascii="宋体" w:hAnsi="宋体" w:cs="宋体"/>
          <w:bCs/>
          <w:sz w:val="24"/>
          <w:szCs w:val="24"/>
        </w:rPr>
        <w:t xml:space="preserve">7 </w:t>
      </w:r>
      <w:r>
        <w:rPr>
          <w:rFonts w:hint="eastAsia" w:ascii="宋体" w:hAnsi="宋体" w:cs="宋体"/>
          <w:sz w:val="24"/>
          <w:szCs w:val="24"/>
        </w:rPr>
        <w:t>乙方保证为甲方维保所提供的全部产品拥有合法的所有权或处分权，保证提供的产品或服务不侵犯第三人之著作权、商标权、专利权等知识产权或所有权、抵押权等物权或其他权利，不侵犯任何第三人的商业秘密或对任何第三人构成不正当竞争，若因此与第三人产生争议或纠纷甚至引发诉讼或仲裁的，由乙方承担全部责任，并负责赔偿甲方因此而遭受的全部损失。</w:t>
      </w:r>
    </w:p>
    <w:p w14:paraId="76B7C98F">
      <w:pPr>
        <w:spacing w:line="360" w:lineRule="auto"/>
        <w:ind w:firstLine="480" w:firstLineChars="200"/>
        <w:outlineLvl w:val="0"/>
        <w:rPr>
          <w:rFonts w:hint="eastAsia" w:ascii="宋体" w:hAnsi="宋体" w:cs="宋体"/>
          <w:bCs/>
          <w:sz w:val="24"/>
          <w:szCs w:val="24"/>
        </w:rPr>
      </w:pPr>
      <w:r>
        <w:rPr>
          <w:rFonts w:hint="eastAsia" w:ascii="宋体" w:hAnsi="宋体" w:cs="宋体"/>
          <w:bCs/>
          <w:sz w:val="24"/>
          <w:szCs w:val="24"/>
        </w:rPr>
        <w:t>7.8 乙方必须无条件接受甲方的监督考核。</w:t>
      </w:r>
    </w:p>
    <w:p w14:paraId="2CAD8CAE">
      <w:pPr>
        <w:pStyle w:val="2"/>
        <w:adjustRightInd w:val="0"/>
        <w:ind w:firstLine="480" w:firstLineChars="200"/>
        <w:rPr>
          <w:rFonts w:ascii="宋体" w:hAnsi="宋体"/>
          <w:sz w:val="24"/>
          <w:szCs w:val="24"/>
        </w:rPr>
      </w:pPr>
      <w:r>
        <w:rPr>
          <w:rFonts w:hint="eastAsia" w:ascii="宋体" w:hAnsi="宋体" w:cs="宋体"/>
          <w:bCs/>
          <w:sz w:val="24"/>
          <w:szCs w:val="24"/>
        </w:rPr>
        <w:t>7.</w:t>
      </w:r>
      <w:r>
        <w:rPr>
          <w:rFonts w:ascii="宋体" w:hAnsi="宋体" w:cs="宋体"/>
          <w:bCs/>
          <w:sz w:val="24"/>
          <w:szCs w:val="24"/>
        </w:rPr>
        <w:t>9乙方确认有足够的技术力量完成本项目，并保证乙方在签订本合同时已根据法律规定取得了履行本合同义务所需的相应的法定资质</w:t>
      </w:r>
      <w:r>
        <w:rPr>
          <w:rFonts w:hint="eastAsia" w:ascii="宋体" w:hAnsi="宋体" w:cs="宋体"/>
          <w:bCs/>
          <w:sz w:val="24"/>
          <w:szCs w:val="24"/>
          <w:lang w:eastAsia="zh-Hans"/>
        </w:rPr>
        <w:t>，</w:t>
      </w:r>
      <w:r>
        <w:rPr>
          <w:rFonts w:ascii="宋体" w:hAnsi="宋体" w:cs="宋体"/>
          <w:bCs/>
          <w:sz w:val="24"/>
          <w:szCs w:val="24"/>
        </w:rPr>
        <w:t>并确保该资质在合同期限内持续有效</w:t>
      </w:r>
      <w:r>
        <w:rPr>
          <w:rFonts w:hint="eastAsia" w:ascii="宋体" w:hAnsi="宋体" w:cs="宋体"/>
          <w:bCs/>
          <w:sz w:val="24"/>
          <w:szCs w:val="24"/>
          <w:lang w:eastAsia="zh-Hans"/>
        </w:rPr>
        <w:t>。同时，</w:t>
      </w:r>
      <w:r>
        <w:rPr>
          <w:rFonts w:hint="eastAsia" w:ascii="宋体" w:hAnsi="宋体" w:cs="宋体"/>
          <w:bCs/>
          <w:sz w:val="24"/>
          <w:szCs w:val="24"/>
        </w:rPr>
        <w:t>为确保项目的顺利实施，乙方应根据合同的约定安排合资格的技术人员履行合同义务，并保证项目技术人员的稳定。如确因工作安排或其他原因需要更换技术人员的，应提前一周以书面形式通知甲方，并征得甲方书面同意后方可变更。新更换人员的资历须不得低于被替换的人员。变更技术人员时，乙方务必做好工作交接，不对甲方正常业务运行产生影响。</w:t>
      </w:r>
    </w:p>
    <w:p w14:paraId="06DD55C0">
      <w:pPr>
        <w:spacing w:line="360" w:lineRule="auto"/>
        <w:rPr>
          <w:rFonts w:hint="eastAsia" w:ascii="宋体" w:hAnsi="宋体" w:cs="宋体"/>
          <w:b/>
          <w:bCs/>
          <w:sz w:val="24"/>
          <w:szCs w:val="24"/>
        </w:rPr>
      </w:pPr>
      <w:r>
        <w:rPr>
          <w:rFonts w:hint="eastAsia" w:ascii="宋体" w:hAnsi="宋体" w:cs="宋体"/>
          <w:b/>
          <w:bCs/>
          <w:sz w:val="24"/>
          <w:szCs w:val="24"/>
        </w:rPr>
        <w:t>8. 违约责任</w:t>
      </w:r>
    </w:p>
    <w:p w14:paraId="215E9DEA">
      <w:pPr>
        <w:tabs>
          <w:tab w:val="left" w:pos="5245"/>
        </w:tabs>
        <w:spacing w:line="360" w:lineRule="auto"/>
        <w:ind w:firstLine="480" w:firstLineChars="200"/>
        <w:rPr>
          <w:rFonts w:ascii="宋体" w:hAnsi="宋体" w:cs="宋体"/>
          <w:sz w:val="24"/>
          <w:szCs w:val="24"/>
        </w:rPr>
      </w:pPr>
      <w:r>
        <w:rPr>
          <w:rFonts w:hint="eastAsia" w:ascii="宋体" w:hAnsi="宋体" w:cs="宋体"/>
          <w:sz w:val="24"/>
          <w:szCs w:val="24"/>
        </w:rPr>
        <w:t>8.1乙方提供的维保服务须满足合同约定及甲方要求，乙方未按合同约定和甲方的要求履行义务或履行达不到合同约定或甲方要求的，甲方有权根据考核情况扣减相应费用。若因乙方原因造成信息安全事故或财产损失的（包括但不限于系统信息泄露等），乙方负责赔偿并承担一切经济及法律责任。</w:t>
      </w:r>
    </w:p>
    <w:p w14:paraId="2737736F">
      <w:pPr>
        <w:tabs>
          <w:tab w:val="left" w:pos="5245"/>
        </w:tabs>
        <w:spacing w:line="360" w:lineRule="auto"/>
        <w:ind w:firstLine="480" w:firstLineChars="200"/>
        <w:rPr>
          <w:rFonts w:hint="eastAsia" w:ascii="宋体" w:hAnsi="宋体" w:cs="宋体"/>
          <w:sz w:val="24"/>
          <w:szCs w:val="24"/>
        </w:rPr>
      </w:pPr>
      <w:r>
        <w:rPr>
          <w:rFonts w:hint="eastAsia" w:ascii="宋体" w:hAnsi="宋体" w:cs="宋体"/>
          <w:sz w:val="24"/>
          <w:szCs w:val="24"/>
        </w:rPr>
        <w:t>8.2因乙方及其人员的原因造成甲方或第三方损失的，由乙方负责赔偿并承担一切经济及法律责任。</w:t>
      </w:r>
    </w:p>
    <w:p w14:paraId="5DD4D8C0">
      <w:pPr>
        <w:pStyle w:val="2"/>
        <w:ind w:firstLine="480" w:firstLineChars="200"/>
        <w:rPr>
          <w:rFonts w:ascii="宋体" w:hAnsi="宋体" w:cs="宋体"/>
          <w:sz w:val="24"/>
          <w:szCs w:val="24"/>
        </w:rPr>
      </w:pPr>
      <w:r>
        <w:rPr>
          <w:rFonts w:hint="eastAsia" w:ascii="宋体" w:hAnsi="宋体" w:cs="宋体"/>
          <w:sz w:val="24"/>
          <w:szCs w:val="24"/>
        </w:rPr>
        <w:t xml:space="preserve">8.3 乙方所提供的维保服务不能实质性满足采购文件要求或不符合合同约定的，甲方有权拒绝签署维保报告，乙方须向甲方支付合同总金额5%/次的违约金，同时乙方须在甲方要求的时限内重新维保或完成整改。                                                                      </w:t>
      </w:r>
    </w:p>
    <w:p w14:paraId="2E6B03F7">
      <w:pPr>
        <w:spacing w:line="360" w:lineRule="auto"/>
        <w:ind w:firstLine="480" w:firstLineChars="200"/>
        <w:rPr>
          <w:rFonts w:hint="eastAsia" w:ascii="宋体" w:hAnsi="宋体" w:cs="宋体"/>
          <w:sz w:val="24"/>
          <w:szCs w:val="24"/>
        </w:rPr>
      </w:pPr>
      <w:r>
        <w:rPr>
          <w:rFonts w:hint="eastAsia" w:ascii="宋体" w:hAnsi="宋体" w:cs="宋体"/>
          <w:sz w:val="24"/>
          <w:szCs w:val="24"/>
        </w:rPr>
        <w:t>8.4 乙方逾期提供维保服务或未在甲方要求的时限内重新维保或整改的，乙方须向甲方支付逾期违约金，每逾期一日，须向甲方支付合同总金额5‰的违约金；</w:t>
      </w:r>
      <w:r>
        <w:rPr>
          <w:rFonts w:hint="eastAsia" w:ascii="宋体" w:hAnsi="宋体" w:cs="宋体"/>
          <w:bCs/>
          <w:color w:val="000000"/>
          <w:kern w:val="0"/>
          <w:sz w:val="24"/>
          <w:szCs w:val="24"/>
        </w:rPr>
        <w:t>且</w:t>
      </w:r>
      <w:r>
        <w:rPr>
          <w:rFonts w:hint="eastAsia" w:ascii="宋体" w:hAnsi="宋体"/>
          <w:bCs/>
          <w:sz w:val="24"/>
          <w:szCs w:val="24"/>
        </w:rPr>
        <w:t>甲方有权自行委托第三方提供甲方所需的维保服务，全部费用由乙方承担，造成甲方损失的，乙方还须承担赔偿责任。</w:t>
      </w:r>
      <w:r>
        <w:rPr>
          <w:rFonts w:hint="eastAsia" w:ascii="宋体" w:hAnsi="宋体" w:cs="宋体"/>
          <w:sz w:val="24"/>
          <w:szCs w:val="24"/>
        </w:rPr>
        <w:t>逾期超过</w:t>
      </w:r>
      <w:r>
        <w:rPr>
          <w:rFonts w:hint="eastAsia" w:ascii="宋体" w:hAnsi="宋体" w:cs="宋体"/>
          <w:sz w:val="24"/>
          <w:szCs w:val="24"/>
          <w:u w:val="single"/>
        </w:rPr>
        <w:t xml:space="preserve"> 30</w:t>
      </w:r>
      <w:r>
        <w:rPr>
          <w:rFonts w:hint="eastAsia" w:ascii="宋体" w:hAnsi="宋体" w:cs="宋体"/>
          <w:sz w:val="24"/>
          <w:szCs w:val="24"/>
        </w:rPr>
        <w:t>日的，乙方须向甲方另行支付合同总金额10%的违约金，且甲方有权单方解除合同，乙方须在收到甲方解除合同通知后3日内无条件退回甲方已经支付的全部款项。</w:t>
      </w:r>
    </w:p>
    <w:p w14:paraId="02EC7B12">
      <w:pPr>
        <w:widowControl/>
        <w:tabs>
          <w:tab w:val="left" w:pos="5245"/>
        </w:tabs>
        <w:spacing w:line="360" w:lineRule="auto"/>
        <w:ind w:firstLine="480" w:firstLineChars="200"/>
        <w:rPr>
          <w:rFonts w:hint="eastAsia" w:ascii="宋体" w:hAnsi="宋体" w:cs="宋体"/>
          <w:bCs/>
          <w:sz w:val="24"/>
          <w:szCs w:val="24"/>
        </w:rPr>
      </w:pPr>
      <w:r>
        <w:rPr>
          <w:rFonts w:hint="eastAsia" w:ascii="宋体" w:hAnsi="宋体" w:cs="宋体"/>
          <w:sz w:val="24"/>
          <w:szCs w:val="24"/>
        </w:rPr>
        <w:t>8.5若乙方履行义务不符合约定，经甲方书面提出后</w:t>
      </w:r>
      <w:r>
        <w:rPr>
          <w:rFonts w:hint="eastAsia" w:ascii="宋体" w:hAnsi="宋体" w:cs="宋体"/>
          <w:sz w:val="24"/>
          <w:szCs w:val="24"/>
          <w:u w:val="single"/>
        </w:rPr>
        <w:t xml:space="preserve"> 30 </w:t>
      </w:r>
      <w:r>
        <w:rPr>
          <w:rFonts w:hint="eastAsia" w:ascii="宋体" w:hAnsi="宋体" w:cs="宋体"/>
          <w:sz w:val="24"/>
          <w:szCs w:val="24"/>
        </w:rPr>
        <w:t>日内仍没有改正，或整改后仍达不到甲方要求的，甲方有权单方解除合同，乙方须承担违约责任。因乙方违约导致甲方提前解除合同的，乙方须退回甲方已经支付的全部款项，且应按本合同总金额10%的比例向甲方支付违约金，违约金不足以弥补甲方损失的，乙方还须继续赔偿</w:t>
      </w:r>
      <w:r>
        <w:rPr>
          <w:rFonts w:hint="eastAsia" w:ascii="宋体" w:hAnsi="宋体" w:cs="宋体"/>
          <w:bCs/>
          <w:sz w:val="24"/>
          <w:szCs w:val="24"/>
        </w:rPr>
        <w:t>。</w:t>
      </w:r>
    </w:p>
    <w:p w14:paraId="18B39013">
      <w:pPr>
        <w:spacing w:line="360" w:lineRule="auto"/>
        <w:ind w:firstLine="480" w:firstLineChars="200"/>
        <w:jc w:val="left"/>
        <w:rPr>
          <w:rFonts w:hint="eastAsia" w:ascii="宋体" w:hAnsi="宋体"/>
          <w:color w:val="000000"/>
          <w:sz w:val="24"/>
          <w:szCs w:val="24"/>
        </w:rPr>
      </w:pPr>
      <w:r>
        <w:rPr>
          <w:rFonts w:hint="eastAsia" w:ascii="宋体" w:hAnsi="宋体" w:cs="宋体"/>
          <w:bCs/>
          <w:color w:val="000000"/>
          <w:kern w:val="0"/>
          <w:sz w:val="24"/>
          <w:szCs w:val="24"/>
        </w:rPr>
        <w:t xml:space="preserve">8.6 </w:t>
      </w:r>
      <w:r>
        <w:rPr>
          <w:rFonts w:hint="eastAsia" w:ascii="宋体" w:hAnsi="宋体"/>
          <w:color w:val="000000"/>
          <w:sz w:val="24"/>
          <w:szCs w:val="24"/>
        </w:rPr>
        <w:t>有以下情形之一的，甲方有权单方解除合同，并不再支付当期合同款项，乙方应按合同总金额的30%向甲方支付违约金，且应另行赔偿甲方因此遭受的全部损失：</w:t>
      </w:r>
    </w:p>
    <w:p w14:paraId="56AA2513">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（1）乙方严重违约的，或乙方原因给甲方造成严重经济损失的；</w:t>
      </w:r>
    </w:p>
    <w:p w14:paraId="0B0686FF">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（2）乙方履行义务不符合合同约定或甲方要求的，经甲方提出后合理期限内仍未改正的，或乙方拒不改正、怠于改正的或乙方经两次改正仍达不到合同约定或甲方要求的；</w:t>
      </w:r>
    </w:p>
    <w:p w14:paraId="30335A4B">
      <w:pPr>
        <w:pStyle w:val="33"/>
        <w:spacing w:before="0" w:after="0" w:line="360" w:lineRule="auto"/>
        <w:ind w:firstLine="420" w:firstLineChars="200"/>
        <w:rPr>
          <w:rFonts w:hint="eastAsia" w:ascii="宋体" w:hAnsi="宋体" w:cs="宋体"/>
          <w:szCs w:val="24"/>
        </w:rPr>
      </w:pPr>
      <w:r>
        <w:rPr>
          <w:rFonts w:hint="eastAsia" w:ascii="宋体" w:hAnsi="宋体" w:cs="宋体"/>
          <w:color w:val="000000"/>
          <w:szCs w:val="24"/>
        </w:rPr>
        <w:t>（3）乙方未能按合同约定的时间提供服务累计超过</w:t>
      </w:r>
      <w:r>
        <w:rPr>
          <w:rFonts w:hint="eastAsia" w:ascii="宋体" w:hAnsi="宋体" w:cs="宋体"/>
          <w:color w:val="000000"/>
          <w:szCs w:val="24"/>
          <w:u w:val="single"/>
        </w:rPr>
        <w:t xml:space="preserve"> 2 </w:t>
      </w:r>
      <w:r>
        <w:rPr>
          <w:rFonts w:hint="eastAsia" w:ascii="宋体" w:hAnsi="宋体" w:cs="宋体"/>
          <w:color w:val="000000"/>
          <w:szCs w:val="24"/>
        </w:rPr>
        <w:t>次的（包括未能及时响应、解决故障的）；</w:t>
      </w:r>
    </w:p>
    <w:p w14:paraId="22FEB991">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（4）乙方在本合同有效期内丧失履行本合同的能力、经营资质的。</w:t>
      </w:r>
    </w:p>
    <w:p w14:paraId="453FD6A8">
      <w:pPr>
        <w:pStyle w:val="2"/>
        <w:ind w:firstLine="480" w:firstLineChars="200"/>
        <w:rPr>
          <w:rFonts w:hint="eastAsia" w:ascii="宋体" w:hAnsi="宋体" w:cs="宋体"/>
          <w:bCs/>
          <w:sz w:val="24"/>
          <w:szCs w:val="24"/>
        </w:rPr>
      </w:pPr>
      <w:r>
        <w:rPr>
          <w:rFonts w:hint="eastAsia" w:ascii="宋体" w:hAnsi="宋体"/>
          <w:color w:val="000000"/>
          <w:sz w:val="24"/>
          <w:szCs w:val="24"/>
        </w:rPr>
        <w:t>（5）其他：</w:t>
      </w:r>
      <w:r>
        <w:rPr>
          <w:rFonts w:hint="eastAsia" w:ascii="宋体" w:hAnsi="宋体" w:cs="宋体"/>
          <w:sz w:val="24"/>
          <w:szCs w:val="24"/>
          <w:u w:val="single"/>
        </w:rPr>
        <w:t xml:space="preserve">  /          </w:t>
      </w:r>
    </w:p>
    <w:p w14:paraId="347A0FA6">
      <w:pPr>
        <w:pStyle w:val="2"/>
        <w:widowControl/>
        <w:ind w:firstLine="480" w:firstLineChars="200"/>
        <w:rPr>
          <w:rFonts w:hint="eastAsia" w:ascii="宋体" w:hAnsi="宋体" w:cs="宋体"/>
          <w:sz w:val="24"/>
          <w:szCs w:val="24"/>
        </w:rPr>
      </w:pPr>
      <w:r>
        <w:rPr>
          <w:rFonts w:hint="eastAsia" w:ascii="宋体" w:hAnsi="宋体" w:cs="宋体"/>
          <w:sz w:val="24"/>
          <w:szCs w:val="24"/>
        </w:rPr>
        <w:t>8.7乙方保证提供的服务或服务配套的工具或技术</w:t>
      </w:r>
      <w:r>
        <w:rPr>
          <w:rFonts w:hint="eastAsia" w:ascii="宋体" w:hAnsi="宋体" w:cs="宋体"/>
          <w:sz w:val="24"/>
          <w:szCs w:val="24"/>
          <w:lang w:eastAsia="zh-Hans"/>
        </w:rPr>
        <w:t>、</w:t>
      </w:r>
      <w:r>
        <w:rPr>
          <w:rFonts w:hint="eastAsia" w:ascii="宋体" w:hAnsi="宋体" w:cs="宋体"/>
          <w:sz w:val="24"/>
          <w:szCs w:val="24"/>
        </w:rPr>
        <w:t>软件、系统</w:t>
      </w:r>
      <w:r>
        <w:rPr>
          <w:rFonts w:hint="eastAsia" w:ascii="宋体" w:hAnsi="宋体" w:cs="宋体"/>
          <w:sz w:val="24"/>
          <w:szCs w:val="24"/>
          <w:lang w:eastAsia="zh-Hans"/>
        </w:rPr>
        <w:t>、硬件设备等</w:t>
      </w:r>
      <w:r>
        <w:rPr>
          <w:rFonts w:hint="eastAsia" w:ascii="宋体" w:hAnsi="宋体" w:cs="宋体"/>
          <w:sz w:val="24"/>
          <w:szCs w:val="24"/>
        </w:rPr>
        <w:t>，不会产生因第三方提出的包括但不限于侵犯其专利权、商标权、工业设计权等知识产权或侵犯其所有权、抵押权等物权或其他权利而引发的纠纷。若有纠纷，乙方应承担全部责任（包括一切经济及法律责任），并赔偿给甲方造成的全部损失。</w:t>
      </w:r>
    </w:p>
    <w:p w14:paraId="16D50CAE">
      <w:pPr>
        <w:tabs>
          <w:tab w:val="left" w:pos="142"/>
        </w:tabs>
        <w:adjustRightInd w:val="0"/>
        <w:spacing w:line="360" w:lineRule="auto"/>
        <w:ind w:firstLine="480" w:firstLineChars="200"/>
        <w:rPr>
          <w:rFonts w:hint="eastAsia" w:ascii="宋体" w:hAnsi="宋体" w:cs="宋体"/>
          <w:sz w:val="24"/>
          <w:szCs w:val="24"/>
        </w:rPr>
      </w:pPr>
      <w:r>
        <w:rPr>
          <w:rFonts w:hint="eastAsia" w:ascii="宋体" w:hAnsi="宋体" w:cs="宋体"/>
          <w:sz w:val="24"/>
          <w:szCs w:val="24"/>
        </w:rPr>
        <w:t>8.8乙方不得以任何理由将其在本合同项下的权利或义务全部或部分转让给任何第三方，不得将本项目转包或者分包，否则甲方有权单方解除本合同，乙方须退还甲方已付的全部款项，并向甲方支付本合同总金额30%的违约金</w:t>
      </w:r>
      <w:r>
        <w:rPr>
          <w:rFonts w:hint="eastAsia" w:ascii="宋体" w:hAnsi="宋体"/>
          <w:color w:val="000000"/>
          <w:sz w:val="24"/>
          <w:szCs w:val="24"/>
        </w:rPr>
        <w:t>，违约金不足以弥补甲方损失的，乙方还须继续赔偿</w:t>
      </w:r>
      <w:r>
        <w:rPr>
          <w:rFonts w:hint="eastAsia" w:ascii="宋体" w:hAnsi="宋体" w:cs="宋体"/>
          <w:sz w:val="24"/>
          <w:szCs w:val="24"/>
        </w:rPr>
        <w:t>。</w:t>
      </w:r>
    </w:p>
    <w:p w14:paraId="7525C20D">
      <w:pPr>
        <w:pStyle w:val="2"/>
        <w:ind w:firstLine="480" w:firstLineChars="200"/>
        <w:rPr>
          <w:rFonts w:hint="eastAsia" w:ascii="宋体" w:hAnsi="宋体" w:cs="宋体"/>
          <w:sz w:val="24"/>
          <w:szCs w:val="24"/>
        </w:rPr>
      </w:pPr>
      <w:r>
        <w:rPr>
          <w:rFonts w:hint="eastAsia" w:ascii="宋体" w:hAnsi="宋体" w:cs="宋体"/>
          <w:sz w:val="24"/>
          <w:szCs w:val="24"/>
        </w:rPr>
        <w:t>8.9 乙方所提供的维保服务不符合采购文件、合同要求或其投标承诺的，或在投标阶段为中标而盲目虚假承诺、低价恶性竞争的，或在履行合同阶段通过偷工减料、以次充好获取利润的，甲方有权拒绝验收或付款，并交有关机关依法依规处理，全部责任由乙方自行承担。</w:t>
      </w:r>
    </w:p>
    <w:p w14:paraId="48307B0C">
      <w:pPr>
        <w:tabs>
          <w:tab w:val="left" w:pos="142"/>
        </w:tabs>
        <w:adjustRightInd w:val="0"/>
        <w:spacing w:line="360" w:lineRule="auto"/>
        <w:ind w:firstLine="480" w:firstLineChars="200"/>
        <w:rPr>
          <w:rFonts w:hint="eastAsia" w:ascii="宋体" w:hAnsi="宋体" w:cs="宋体"/>
          <w:sz w:val="24"/>
          <w:szCs w:val="24"/>
        </w:rPr>
      </w:pPr>
      <w:r>
        <w:rPr>
          <w:rFonts w:hint="eastAsia" w:ascii="宋体" w:hAnsi="宋体" w:cs="宋体"/>
          <w:sz w:val="24"/>
          <w:szCs w:val="24"/>
        </w:rPr>
        <w:t>8.10本项目（包括但不限于系统、配套软件等）因系统漏洞等原因被国家、省、市、区等各级行政相关部门通报的，乙方须配合甲方整改，并不得收取任何费用，直到达到政府相关部门要求为止；给甲方或第三方造成直接或间接经济损失的，由乙方负责赔偿并承担一切经济及法律责任。</w:t>
      </w:r>
    </w:p>
    <w:p w14:paraId="4E9ACA41">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8</w:t>
      </w:r>
      <w:r>
        <w:rPr>
          <w:rFonts w:ascii="宋体" w:hAnsi="宋体" w:cs="宋体"/>
          <w:color w:val="000000"/>
          <w:sz w:val="24"/>
          <w:szCs w:val="24"/>
        </w:rPr>
        <w:t>.</w:t>
      </w:r>
      <w:r>
        <w:rPr>
          <w:rFonts w:hint="eastAsia" w:ascii="宋体" w:hAnsi="宋体" w:cs="宋体"/>
          <w:color w:val="000000"/>
          <w:sz w:val="24"/>
          <w:szCs w:val="24"/>
        </w:rPr>
        <w:t>11</w:t>
      </w:r>
      <w:r>
        <w:rPr>
          <w:rFonts w:hint="eastAsia" w:ascii="宋体" w:hAnsi="宋体" w:cs="宋体"/>
          <w:color w:val="000000"/>
          <w:sz w:val="24"/>
          <w:szCs w:val="24"/>
          <w:lang w:eastAsia="zh-Hans"/>
        </w:rPr>
        <w:t>乙方未能在合同约定期限内响应或者提供相应维保服务的，或者因</w:t>
      </w:r>
      <w:r>
        <w:rPr>
          <w:rFonts w:hint="eastAsia" w:ascii="宋体" w:hAnsi="宋体" w:cs="宋体"/>
          <w:color w:val="000000"/>
          <w:sz w:val="24"/>
          <w:szCs w:val="24"/>
        </w:rPr>
        <w:t>维保</w:t>
      </w:r>
      <w:r>
        <w:rPr>
          <w:rFonts w:ascii="宋体" w:hAnsi="宋体" w:cs="宋体"/>
          <w:color w:val="000000"/>
          <w:sz w:val="24"/>
          <w:szCs w:val="24"/>
        </w:rPr>
        <w:t>造成故障扩大化</w:t>
      </w:r>
      <w:r>
        <w:rPr>
          <w:rFonts w:hint="eastAsia" w:ascii="宋体" w:hAnsi="宋体" w:cs="宋体"/>
          <w:color w:val="000000"/>
          <w:sz w:val="24"/>
          <w:szCs w:val="24"/>
        </w:rPr>
        <w:t>或</w:t>
      </w:r>
      <w:r>
        <w:rPr>
          <w:rFonts w:ascii="宋体" w:hAnsi="宋体" w:cs="宋体"/>
          <w:color w:val="000000"/>
          <w:sz w:val="24"/>
          <w:szCs w:val="24"/>
        </w:rPr>
        <w:t>由此引起损失</w:t>
      </w:r>
      <w:r>
        <w:rPr>
          <w:rFonts w:hint="eastAsia" w:ascii="宋体" w:hAnsi="宋体" w:cs="宋体"/>
          <w:color w:val="000000"/>
          <w:sz w:val="24"/>
          <w:szCs w:val="24"/>
        </w:rPr>
        <w:t>的</w:t>
      </w:r>
      <w:r>
        <w:rPr>
          <w:rFonts w:ascii="宋体" w:hAnsi="宋体" w:cs="宋体"/>
          <w:color w:val="000000"/>
          <w:sz w:val="24"/>
          <w:szCs w:val="24"/>
        </w:rPr>
        <w:t>，甲方有权</w:t>
      </w:r>
      <w:r>
        <w:rPr>
          <w:rFonts w:hint="eastAsia" w:ascii="宋体" w:hAnsi="宋体" w:cs="宋体"/>
          <w:color w:val="000000"/>
          <w:sz w:val="24"/>
          <w:szCs w:val="24"/>
        </w:rPr>
        <w:t>另行委托第三方进行维保处理，由此产生的全部费用及损失由乙方承担</w:t>
      </w:r>
      <w:r>
        <w:rPr>
          <w:rFonts w:ascii="宋体" w:hAnsi="宋体" w:cs="宋体"/>
          <w:color w:val="000000"/>
          <w:sz w:val="24"/>
          <w:szCs w:val="24"/>
        </w:rPr>
        <w:t>。</w:t>
      </w:r>
    </w:p>
    <w:p w14:paraId="220AE182">
      <w:pPr>
        <w:spacing w:line="360" w:lineRule="auto"/>
        <w:ind w:firstLine="480" w:firstLineChars="200"/>
        <w:jc w:val="left"/>
        <w:rPr>
          <w:rFonts w:hint="eastAsia" w:ascii="宋体" w:hAnsi="宋体"/>
          <w:sz w:val="24"/>
          <w:szCs w:val="24"/>
        </w:rPr>
      </w:pPr>
      <w:r>
        <w:rPr>
          <w:rFonts w:hint="eastAsia" w:ascii="宋体" w:hAnsi="宋体" w:cs="宋体"/>
          <w:bCs/>
          <w:color w:val="000000"/>
          <w:kern w:val="0"/>
          <w:sz w:val="24"/>
          <w:szCs w:val="24"/>
        </w:rPr>
        <w:t xml:space="preserve">8.12 </w:t>
      </w:r>
      <w:r>
        <w:rPr>
          <w:rFonts w:hint="eastAsia" w:ascii="宋体" w:hAnsi="宋体"/>
          <w:sz w:val="24"/>
          <w:szCs w:val="24"/>
        </w:rPr>
        <w:t>本合同所称之损失包括直接经济损失和合同履行后可以获得的利益及合理的调查费、</w:t>
      </w:r>
      <w:r>
        <w:rPr>
          <w:rFonts w:hint="eastAsia" w:ascii="宋体" w:hAnsi="宋体"/>
          <w:color w:val="000000"/>
          <w:sz w:val="24"/>
          <w:szCs w:val="24"/>
        </w:rPr>
        <w:t>评估费、公证费、诉讼费、交通费、</w:t>
      </w:r>
      <w:r>
        <w:rPr>
          <w:rFonts w:hint="eastAsia" w:ascii="宋体" w:hAnsi="宋体"/>
          <w:sz w:val="24"/>
          <w:szCs w:val="24"/>
        </w:rPr>
        <w:t>律师费</w:t>
      </w:r>
      <w:r>
        <w:rPr>
          <w:rFonts w:hint="eastAsia" w:ascii="宋体" w:hAnsi="宋体"/>
          <w:sz w:val="24"/>
          <w:szCs w:val="24"/>
          <w:lang w:eastAsia="zh-Hans"/>
        </w:rPr>
        <w:t>、财产保全费、担保费</w:t>
      </w:r>
      <w:r>
        <w:rPr>
          <w:rFonts w:hint="eastAsia" w:ascii="宋体" w:hAnsi="宋体"/>
          <w:sz w:val="24"/>
          <w:szCs w:val="24"/>
        </w:rPr>
        <w:t>等相关法律费用。</w:t>
      </w:r>
    </w:p>
    <w:p w14:paraId="1CEB52D7">
      <w:pPr>
        <w:spacing w:line="360" w:lineRule="auto"/>
        <w:jc w:val="left"/>
        <w:rPr>
          <w:rFonts w:hint="eastAsia" w:ascii="宋体" w:hAnsi="宋体"/>
          <w:b/>
          <w:bCs/>
          <w:color w:val="000000"/>
          <w:sz w:val="24"/>
          <w:szCs w:val="24"/>
        </w:rPr>
      </w:pPr>
      <w:r>
        <w:rPr>
          <w:rFonts w:hint="eastAsia" w:ascii="宋体" w:hAnsi="宋体"/>
          <w:b/>
          <w:bCs/>
          <w:color w:val="000000"/>
          <w:sz w:val="24"/>
          <w:szCs w:val="24"/>
        </w:rPr>
        <w:t>9. 保密责任</w:t>
      </w:r>
    </w:p>
    <w:p w14:paraId="7162F27B">
      <w:pPr>
        <w:tabs>
          <w:tab w:val="left" w:pos="5245"/>
        </w:tabs>
        <w:spacing w:line="360" w:lineRule="auto"/>
        <w:ind w:firstLine="480" w:firstLineChars="200"/>
        <w:rPr>
          <w:rFonts w:hint="eastAsia" w:ascii="宋体" w:hAnsi="宋体" w:cs="宋体"/>
          <w:sz w:val="24"/>
          <w:szCs w:val="24"/>
        </w:rPr>
      </w:pPr>
      <w:r>
        <w:rPr>
          <w:rFonts w:hint="eastAsia" w:ascii="宋体" w:hAnsi="宋体" w:cs="宋体"/>
          <w:sz w:val="24"/>
          <w:szCs w:val="24"/>
        </w:rPr>
        <w:t>双方确定因履行本合同应遵守的保密义务如下：</w:t>
      </w:r>
    </w:p>
    <w:p w14:paraId="4DFC44EF">
      <w:pPr>
        <w:tabs>
          <w:tab w:val="left" w:pos="5245"/>
        </w:tabs>
        <w:spacing w:line="360" w:lineRule="auto"/>
        <w:ind w:firstLine="480" w:firstLineChars="200"/>
        <w:rPr>
          <w:rFonts w:hint="eastAsia" w:ascii="宋体" w:hAnsi="宋体" w:cs="宋体"/>
          <w:sz w:val="24"/>
          <w:szCs w:val="24"/>
        </w:rPr>
      </w:pPr>
      <w:r>
        <w:rPr>
          <w:rFonts w:hint="eastAsia" w:ascii="宋体" w:hAnsi="宋体" w:cs="宋体"/>
          <w:bCs/>
          <w:sz w:val="24"/>
          <w:szCs w:val="24"/>
        </w:rPr>
        <w:t>见本合同附件1《保密协议》。</w:t>
      </w:r>
    </w:p>
    <w:p w14:paraId="5DB2FED1">
      <w:pPr>
        <w:spacing w:line="360" w:lineRule="auto"/>
        <w:jc w:val="left"/>
        <w:rPr>
          <w:rFonts w:hint="eastAsia" w:ascii="宋体" w:hAnsi="宋体"/>
          <w:b/>
          <w:bCs/>
          <w:color w:val="000000"/>
          <w:sz w:val="24"/>
          <w:szCs w:val="24"/>
        </w:rPr>
      </w:pPr>
      <w:r>
        <w:rPr>
          <w:rFonts w:hint="eastAsia" w:ascii="宋体" w:hAnsi="宋体"/>
          <w:b/>
          <w:bCs/>
          <w:color w:val="000000"/>
          <w:sz w:val="24"/>
          <w:szCs w:val="24"/>
        </w:rPr>
        <w:t>10. 不可抗力</w:t>
      </w:r>
    </w:p>
    <w:p w14:paraId="0A9A610A">
      <w:pPr>
        <w:widowControl/>
        <w:spacing w:line="360" w:lineRule="auto"/>
        <w:ind w:firstLine="480" w:firstLineChars="200"/>
        <w:jc w:val="left"/>
        <w:rPr>
          <w:rFonts w:hint="eastAsia" w:ascii="宋体" w:hAnsi="宋体" w:cs="宋体"/>
          <w:kern w:val="0"/>
          <w:sz w:val="24"/>
          <w:szCs w:val="24"/>
        </w:rPr>
      </w:pPr>
      <w:r>
        <w:rPr>
          <w:rFonts w:hint="eastAsia" w:ascii="宋体" w:hAnsi="宋体" w:cs="宋体"/>
          <w:sz w:val="24"/>
          <w:szCs w:val="24"/>
        </w:rPr>
        <w:t>任何一方由于不可抗力原因不能履行合同时，应在不可抗力发生后</w:t>
      </w:r>
      <w:r>
        <w:rPr>
          <w:rFonts w:hint="eastAsia" w:ascii="宋体" w:hAnsi="宋体" w:cs="宋体"/>
          <w:sz w:val="24"/>
          <w:szCs w:val="24"/>
          <w:u w:val="single"/>
        </w:rPr>
        <w:t xml:space="preserve"> 1</w:t>
      </w:r>
      <w:r>
        <w:rPr>
          <w:rFonts w:hint="eastAsia" w:ascii="宋体" w:hAnsi="宋体" w:cs="宋体"/>
          <w:sz w:val="24"/>
          <w:szCs w:val="24"/>
        </w:rPr>
        <w:t>日内向对方通报，以减轻可能给对方造成的损失，并在不可抗力发生后15日内</w:t>
      </w:r>
      <w:r>
        <w:rPr>
          <w:rFonts w:hint="eastAsia" w:ascii="宋体" w:hAnsi="宋体" w:cs="宋体"/>
          <w:kern w:val="0"/>
          <w:sz w:val="24"/>
          <w:szCs w:val="24"/>
        </w:rPr>
        <w:t>提供事件详情以及合同不能履行或部分不能履行或需要延期履行的理由的有效证明文件，按事件对履行合同的影响程度，由双方协商决定是否解除合同、部分免除履行合同的责任或延期履行。</w:t>
      </w:r>
    </w:p>
    <w:p w14:paraId="59C4F10F">
      <w:pPr>
        <w:spacing w:line="360" w:lineRule="auto"/>
        <w:jc w:val="left"/>
        <w:rPr>
          <w:rFonts w:hint="eastAsia" w:ascii="宋体" w:hAnsi="宋体"/>
          <w:b/>
          <w:bCs/>
          <w:color w:val="000000"/>
          <w:sz w:val="24"/>
          <w:szCs w:val="24"/>
        </w:rPr>
      </w:pPr>
      <w:r>
        <w:rPr>
          <w:rFonts w:hint="eastAsia" w:ascii="宋体" w:hAnsi="宋体"/>
          <w:b/>
          <w:bCs/>
          <w:color w:val="000000"/>
          <w:sz w:val="24"/>
          <w:szCs w:val="24"/>
        </w:rPr>
        <w:t>11.适用法律与争议解决</w:t>
      </w:r>
    </w:p>
    <w:p w14:paraId="00640A47">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11.1本合同的成立、有效性、解释、履行、签署、修订和终止以及争议的解决均应适用中华人民共和国法律。</w:t>
      </w:r>
    </w:p>
    <w:p w14:paraId="57064A75">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11.2如果任何争议或权利要求起因于本合同或与本合同有关或与本合同的解释、违约、终止或效力有关，都应由双方通过友好协商解决。双方通过协商不能解决争议，则双方同意向甲方所在地人民法院提起诉讼。</w:t>
      </w:r>
    </w:p>
    <w:p w14:paraId="258D7213">
      <w:pPr>
        <w:spacing w:line="360" w:lineRule="auto"/>
        <w:ind w:firstLine="480" w:firstLineChars="200"/>
        <w:jc w:val="left"/>
        <w:rPr>
          <w:rFonts w:hint="eastAsia" w:ascii="宋体" w:hAnsi="宋体"/>
          <w:b/>
          <w:bCs/>
          <w:color w:val="000000"/>
          <w:sz w:val="24"/>
          <w:szCs w:val="24"/>
        </w:rPr>
      </w:pPr>
      <w:r>
        <w:rPr>
          <w:rFonts w:hint="eastAsia" w:ascii="宋体" w:hAnsi="宋体"/>
          <w:color w:val="000000"/>
          <w:sz w:val="24"/>
          <w:szCs w:val="24"/>
        </w:rPr>
        <w:t>11.3诉讼进行过程中，除双方有争议的部分外，本合同其他部分仍然有效，双方应继续履行。</w:t>
      </w:r>
    </w:p>
    <w:p w14:paraId="77BB7E1C">
      <w:pPr>
        <w:spacing w:line="360" w:lineRule="auto"/>
        <w:jc w:val="left"/>
        <w:rPr>
          <w:rFonts w:hint="eastAsia" w:ascii="宋体" w:hAnsi="宋体"/>
          <w:b/>
          <w:bCs/>
          <w:color w:val="000000"/>
          <w:sz w:val="24"/>
          <w:szCs w:val="24"/>
        </w:rPr>
      </w:pPr>
      <w:r>
        <w:rPr>
          <w:rFonts w:hint="eastAsia" w:ascii="宋体" w:hAnsi="宋体"/>
          <w:b/>
          <w:bCs/>
          <w:color w:val="000000"/>
          <w:sz w:val="24"/>
          <w:szCs w:val="24"/>
        </w:rPr>
        <w:t>12. 通知与送达</w:t>
      </w:r>
    </w:p>
    <w:p w14:paraId="04C3FE6E">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一方在本合同履行过程中向对方发出或者提供的所有通知、文件、文书、资料等；均以本合同所列明的地址送达。一方如果迁址、变更电话，应当书面通知对方，未履行书面通知义务的，一方按原地址邮寄相关材料或通知相关信息即视为已履行送达义务。当面交付上述材料的，在交付之时视为送达；以邮寄方式交付的，寄出、发出或者投邮后即视为送达。</w:t>
      </w:r>
    </w:p>
    <w:p w14:paraId="6533CC59">
      <w:pPr>
        <w:spacing w:line="360" w:lineRule="auto"/>
        <w:jc w:val="left"/>
        <w:rPr>
          <w:rFonts w:hint="eastAsia" w:ascii="宋体" w:hAnsi="宋体"/>
          <w:b/>
          <w:bCs/>
          <w:color w:val="000000"/>
          <w:sz w:val="24"/>
          <w:szCs w:val="24"/>
        </w:rPr>
      </w:pPr>
      <w:r>
        <w:rPr>
          <w:rFonts w:hint="eastAsia" w:ascii="宋体" w:hAnsi="宋体"/>
          <w:b/>
          <w:bCs/>
          <w:color w:val="000000"/>
          <w:sz w:val="24"/>
          <w:szCs w:val="24"/>
        </w:rPr>
        <w:t>13. 合同的生效及其他</w:t>
      </w:r>
    </w:p>
    <w:p w14:paraId="6A7C448B">
      <w:pPr>
        <w:pStyle w:val="14"/>
        <w:spacing w:line="360" w:lineRule="auto"/>
        <w:ind w:firstLine="480" w:firstLineChars="200"/>
        <w:rPr>
          <w:rFonts w:hint="eastAsia" w:hAnsi="宋体"/>
          <w:color w:val="000000"/>
          <w:sz w:val="24"/>
          <w:szCs w:val="24"/>
        </w:rPr>
      </w:pPr>
      <w:r>
        <w:rPr>
          <w:rFonts w:hint="eastAsia" w:hAnsi="宋体"/>
          <w:color w:val="000000"/>
          <w:sz w:val="24"/>
          <w:szCs w:val="24"/>
        </w:rPr>
        <w:t>13.1</w:t>
      </w:r>
      <w:r>
        <w:rPr>
          <w:rFonts w:hint="eastAsia" w:hAnsi="宋体" w:cs="宋体"/>
          <w:sz w:val="24"/>
          <w:szCs w:val="24"/>
        </w:rPr>
        <w:t>本合同所有附件、招标（采购）文件、投标文件均为合同的有效组成部分，与本合同具有同等法律效力，解释顺序为：（1）合同及其附件；（2）招标（采购）文件；（3）投标文件。</w:t>
      </w:r>
    </w:p>
    <w:p w14:paraId="4122F77D">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13.2本合同未尽事宜，应由双方友好协商解决。如需对本合同及其附件作任何修改或补充，双方经协商一致可签订补充协议。补充协议与本合同有不一致的，以补充协议为准。 </w:t>
      </w:r>
    </w:p>
    <w:p w14:paraId="66464B6F">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13.3附件为本合同不可分割的部分。若附件与合同正文有任何不一致，以合同正文为准。</w:t>
      </w:r>
    </w:p>
    <w:p w14:paraId="1586A211">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13.4 本合同一式</w:t>
      </w:r>
      <w:r>
        <w:rPr>
          <w:rFonts w:hint="eastAsia" w:ascii="宋体" w:hAnsi="宋体"/>
          <w:color w:val="000000"/>
          <w:sz w:val="24"/>
          <w:szCs w:val="24"/>
          <w:u w:val="single"/>
        </w:rPr>
        <w:t xml:space="preserve"> 陆 </w:t>
      </w:r>
      <w:r>
        <w:rPr>
          <w:rFonts w:hint="eastAsia" w:ascii="宋体" w:hAnsi="宋体"/>
          <w:color w:val="000000"/>
          <w:sz w:val="24"/>
          <w:szCs w:val="24"/>
        </w:rPr>
        <w:t>份，自双方</w:t>
      </w:r>
      <w:r>
        <w:rPr>
          <w:rFonts w:hint="eastAsia" w:ascii="宋体" w:hAnsi="宋体"/>
          <w:bCs/>
          <w:color w:val="000000"/>
          <w:sz w:val="24"/>
          <w:szCs w:val="24"/>
        </w:rPr>
        <w:t>签字盖章之日起生效，</w:t>
      </w:r>
      <w:r>
        <w:rPr>
          <w:rFonts w:hint="eastAsia" w:ascii="宋体" w:hAnsi="宋体"/>
          <w:color w:val="000000"/>
          <w:sz w:val="24"/>
          <w:szCs w:val="24"/>
        </w:rPr>
        <w:t>甲方执</w:t>
      </w:r>
      <w:r>
        <w:rPr>
          <w:rFonts w:hint="eastAsia" w:ascii="宋体" w:hAnsi="宋体"/>
          <w:color w:val="000000"/>
          <w:sz w:val="24"/>
          <w:szCs w:val="24"/>
          <w:u w:val="single"/>
        </w:rPr>
        <w:t xml:space="preserve"> 肆 </w:t>
      </w:r>
      <w:r>
        <w:rPr>
          <w:rFonts w:hint="eastAsia" w:ascii="宋体" w:hAnsi="宋体"/>
          <w:color w:val="000000"/>
          <w:sz w:val="24"/>
          <w:szCs w:val="24"/>
        </w:rPr>
        <w:t>份、乙方执</w:t>
      </w:r>
      <w:r>
        <w:rPr>
          <w:rFonts w:hint="eastAsia" w:ascii="宋体" w:hAnsi="宋体"/>
          <w:color w:val="000000"/>
          <w:sz w:val="24"/>
          <w:szCs w:val="24"/>
          <w:u w:val="single"/>
        </w:rPr>
        <w:t xml:space="preserve"> 贰 </w:t>
      </w:r>
      <w:r>
        <w:rPr>
          <w:rFonts w:hint="eastAsia" w:ascii="宋体" w:hAnsi="宋体"/>
          <w:color w:val="000000"/>
          <w:sz w:val="24"/>
          <w:szCs w:val="24"/>
        </w:rPr>
        <w:t>份，均具有同等法律效力。</w:t>
      </w:r>
    </w:p>
    <w:p w14:paraId="25963F5C">
      <w:pPr>
        <w:pStyle w:val="33"/>
        <w:spacing w:before="0" w:after="0" w:line="360" w:lineRule="auto"/>
        <w:ind w:firstLine="422" w:firstLineChars="200"/>
        <w:rPr>
          <w:rFonts w:hint="eastAsia" w:ascii="宋体" w:hAnsi="宋体"/>
          <w:b/>
          <w:bCs/>
          <w:szCs w:val="24"/>
        </w:rPr>
      </w:pPr>
      <w:r>
        <w:rPr>
          <w:rFonts w:hint="eastAsia" w:ascii="宋体" w:hAnsi="宋体"/>
          <w:b/>
          <w:color w:val="000000"/>
          <w:szCs w:val="24"/>
        </w:rPr>
        <w:t>附件1：</w:t>
      </w:r>
      <w:r>
        <w:rPr>
          <w:rFonts w:hint="eastAsia" w:ascii="宋体" w:hAnsi="宋体"/>
          <w:bCs/>
          <w:color w:val="000000"/>
          <w:szCs w:val="24"/>
        </w:rPr>
        <w:t>保密协议</w:t>
      </w:r>
    </w:p>
    <w:p w14:paraId="661B635A">
      <w:pPr>
        <w:spacing w:line="360" w:lineRule="auto"/>
        <w:ind w:firstLine="482" w:firstLineChars="200"/>
        <w:rPr>
          <w:rFonts w:hint="eastAsia" w:ascii="宋体" w:hAnsi="宋体" w:cs="宋体"/>
          <w:bCs/>
          <w:sz w:val="24"/>
          <w:szCs w:val="24"/>
        </w:rPr>
      </w:pPr>
      <w:r>
        <w:rPr>
          <w:rFonts w:hint="eastAsia" w:ascii="宋体" w:hAnsi="宋体"/>
          <w:b/>
          <w:bCs/>
          <w:sz w:val="24"/>
          <w:szCs w:val="24"/>
        </w:rPr>
        <w:t>附件2</w:t>
      </w:r>
      <w:r>
        <w:rPr>
          <w:rFonts w:hint="eastAsia" w:ascii="宋体" w:hAnsi="宋体"/>
          <w:bCs/>
          <w:sz w:val="24"/>
          <w:szCs w:val="24"/>
        </w:rPr>
        <w:t>：维保细则</w:t>
      </w:r>
    </w:p>
    <w:p w14:paraId="140FECEC">
      <w:pPr>
        <w:spacing w:line="360" w:lineRule="auto"/>
        <w:ind w:firstLine="482" w:firstLineChars="200"/>
        <w:jc w:val="left"/>
        <w:rPr>
          <w:rFonts w:hint="eastAsia" w:ascii="宋体" w:hAnsi="宋体"/>
          <w:color w:val="000000"/>
          <w:sz w:val="24"/>
          <w:szCs w:val="24"/>
        </w:rPr>
      </w:pPr>
      <w:r>
        <w:rPr>
          <w:rFonts w:hint="eastAsia" w:ascii="宋体" w:hAnsi="宋体"/>
          <w:b/>
          <w:color w:val="000000"/>
          <w:sz w:val="24"/>
          <w:szCs w:val="24"/>
        </w:rPr>
        <w:t>附件3</w:t>
      </w:r>
      <w:r>
        <w:rPr>
          <w:rFonts w:hint="eastAsia" w:ascii="宋体" w:hAnsi="宋体"/>
          <w:color w:val="000000"/>
          <w:sz w:val="24"/>
          <w:szCs w:val="24"/>
        </w:rPr>
        <w:t>：履约考评</w:t>
      </w:r>
    </w:p>
    <w:p w14:paraId="00C5CAA9">
      <w:pPr>
        <w:spacing w:line="360" w:lineRule="auto"/>
        <w:rPr>
          <w:rFonts w:hint="eastAsia" w:ascii="宋体" w:hAnsi="宋体"/>
          <w:color w:val="000000"/>
          <w:sz w:val="24"/>
          <w:szCs w:val="24"/>
        </w:rPr>
      </w:pPr>
      <w:r>
        <w:rPr>
          <w:rFonts w:hint="eastAsia" w:ascii="宋体" w:hAnsi="宋体"/>
          <w:color w:val="000000"/>
          <w:sz w:val="24"/>
          <w:szCs w:val="24"/>
        </w:rPr>
        <w:t>（以下无正文）</w:t>
      </w:r>
    </w:p>
    <w:p w14:paraId="6D90E1D8">
      <w:pPr>
        <w:pStyle w:val="2"/>
        <w:rPr>
          <w:rFonts w:hint="eastAsia" w:ascii="宋体" w:hAnsi="宋体"/>
          <w:sz w:val="24"/>
          <w:szCs w:val="24"/>
        </w:rPr>
      </w:pPr>
    </w:p>
    <w:p w14:paraId="4993BCAA">
      <w:pPr>
        <w:spacing w:line="360" w:lineRule="auto"/>
        <w:rPr>
          <w:rFonts w:hint="eastAsia" w:ascii="宋体" w:hAnsi="宋体"/>
          <w:sz w:val="24"/>
          <w:szCs w:val="24"/>
        </w:rPr>
      </w:pPr>
    </w:p>
    <w:p w14:paraId="409B4E07">
      <w:pPr>
        <w:pStyle w:val="2"/>
        <w:rPr>
          <w:rFonts w:hint="eastAsia" w:ascii="宋体" w:hAnsi="宋体"/>
          <w:sz w:val="24"/>
          <w:szCs w:val="24"/>
        </w:rPr>
      </w:pPr>
    </w:p>
    <w:p w14:paraId="04856111">
      <w:pPr>
        <w:spacing w:line="360" w:lineRule="auto"/>
        <w:rPr>
          <w:rFonts w:hint="eastAsia" w:ascii="宋体" w:hAnsi="宋体"/>
          <w:sz w:val="24"/>
          <w:szCs w:val="24"/>
        </w:rPr>
      </w:pPr>
    </w:p>
    <w:tbl>
      <w:tblPr>
        <w:tblStyle w:val="26"/>
        <w:tblW w:w="9180" w:type="dxa"/>
        <w:tblInd w:w="0" w:type="dxa"/>
        <w:tblLayout w:type="fixed"/>
        <w:tblCellMar>
          <w:top w:w="0" w:type="dxa"/>
          <w:left w:w="108" w:type="dxa"/>
          <w:bottom w:w="0" w:type="dxa"/>
          <w:right w:w="108" w:type="dxa"/>
        </w:tblCellMar>
      </w:tblPr>
      <w:tblGrid>
        <w:gridCol w:w="4863"/>
        <w:gridCol w:w="4317"/>
      </w:tblGrid>
      <w:tr w14:paraId="3BF5C499">
        <w:tblPrEx>
          <w:tblCellMar>
            <w:top w:w="0" w:type="dxa"/>
            <w:left w:w="108" w:type="dxa"/>
            <w:bottom w:w="0" w:type="dxa"/>
            <w:right w:w="108" w:type="dxa"/>
          </w:tblCellMar>
        </w:tblPrEx>
        <w:tc>
          <w:tcPr>
            <w:tcW w:w="4863" w:type="dxa"/>
            <w:noWrap w:val="0"/>
            <w:vAlign w:val="top"/>
          </w:tcPr>
          <w:p w14:paraId="18B4E032">
            <w:pPr>
              <w:spacing w:line="360" w:lineRule="auto"/>
              <w:rPr>
                <w:rFonts w:ascii="宋体" w:hAnsi="宋体" w:cs="Arial"/>
                <w:sz w:val="24"/>
                <w:szCs w:val="24"/>
              </w:rPr>
            </w:pPr>
            <w:r>
              <w:rPr>
                <w:rFonts w:hint="eastAsia" w:ascii="宋体" w:hAnsi="宋体" w:cs="Arial"/>
                <w:sz w:val="24"/>
                <w:szCs w:val="24"/>
              </w:rPr>
              <w:t>甲方：</w:t>
            </w:r>
            <w:r>
              <w:rPr>
                <w:rFonts w:hint="eastAsia" w:ascii="宋体" w:hAnsi="宋体"/>
                <w:bCs/>
                <w:sz w:val="24"/>
                <w:szCs w:val="24"/>
              </w:rPr>
              <w:t>中山大学附属第八医院（深圳福田）</w:t>
            </w:r>
          </w:p>
        </w:tc>
        <w:tc>
          <w:tcPr>
            <w:tcW w:w="4317" w:type="dxa"/>
            <w:noWrap w:val="0"/>
            <w:vAlign w:val="center"/>
          </w:tcPr>
          <w:p w14:paraId="2A35B937">
            <w:pPr>
              <w:spacing w:line="360" w:lineRule="auto"/>
              <w:rPr>
                <w:rFonts w:hint="default" w:ascii="宋体" w:hAnsi="宋体" w:cs="Arial" w:eastAsiaTheme="minorEastAsia"/>
                <w:sz w:val="24"/>
                <w:szCs w:val="24"/>
                <w:lang w:val="en-US" w:eastAsia="zh-CN"/>
              </w:rPr>
            </w:pPr>
            <w:r>
              <w:rPr>
                <w:rFonts w:hint="eastAsia" w:ascii="宋体" w:hAnsi="宋体" w:cs="Arial"/>
                <w:sz w:val="24"/>
                <w:szCs w:val="24"/>
              </w:rPr>
              <w:t>乙方：</w:t>
            </w:r>
            <w:r>
              <w:rPr>
                <w:rFonts w:hint="eastAsia" w:ascii="宋体" w:hAnsi="宋体"/>
                <w:color w:val="000000"/>
                <w:sz w:val="24"/>
                <w:szCs w:val="24"/>
                <w:u w:val="single"/>
                <w:lang w:val="en-US" w:eastAsia="zh-CN"/>
              </w:rPr>
              <w:t xml:space="preserve">             </w:t>
            </w:r>
          </w:p>
        </w:tc>
      </w:tr>
      <w:tr w14:paraId="3A05B598">
        <w:tblPrEx>
          <w:tblCellMar>
            <w:top w:w="0" w:type="dxa"/>
            <w:left w:w="108" w:type="dxa"/>
            <w:bottom w:w="0" w:type="dxa"/>
            <w:right w:w="108" w:type="dxa"/>
          </w:tblCellMar>
        </w:tblPrEx>
        <w:tc>
          <w:tcPr>
            <w:tcW w:w="4863" w:type="dxa"/>
            <w:noWrap w:val="0"/>
            <w:vAlign w:val="top"/>
          </w:tcPr>
          <w:p w14:paraId="2A58F4FE">
            <w:pPr>
              <w:spacing w:line="360" w:lineRule="auto"/>
              <w:rPr>
                <w:rFonts w:ascii="宋体" w:hAnsi="宋体" w:cs="Arial"/>
                <w:sz w:val="24"/>
                <w:szCs w:val="24"/>
              </w:rPr>
            </w:pPr>
            <w:r>
              <w:rPr>
                <w:rFonts w:hint="eastAsia" w:ascii="宋体" w:hAnsi="宋体" w:cs="Arial"/>
                <w:sz w:val="24"/>
                <w:szCs w:val="24"/>
              </w:rPr>
              <w:t>法定代表人（签字）：</w:t>
            </w:r>
          </w:p>
        </w:tc>
        <w:tc>
          <w:tcPr>
            <w:tcW w:w="4317" w:type="dxa"/>
            <w:noWrap w:val="0"/>
            <w:vAlign w:val="top"/>
          </w:tcPr>
          <w:p w14:paraId="0C20E50C">
            <w:pPr>
              <w:spacing w:line="360" w:lineRule="auto"/>
              <w:rPr>
                <w:rFonts w:ascii="宋体" w:hAnsi="宋体" w:cs="Arial"/>
                <w:bCs/>
                <w:sz w:val="24"/>
                <w:szCs w:val="24"/>
              </w:rPr>
            </w:pPr>
            <w:r>
              <w:rPr>
                <w:rFonts w:hint="eastAsia" w:ascii="宋体" w:hAnsi="宋体" w:cs="Arial"/>
                <w:bCs/>
                <w:sz w:val="24"/>
                <w:szCs w:val="24"/>
              </w:rPr>
              <w:t>法定代表人（签字）：</w:t>
            </w:r>
          </w:p>
        </w:tc>
      </w:tr>
      <w:tr w14:paraId="3A80C6E1">
        <w:tblPrEx>
          <w:tblCellMar>
            <w:top w:w="0" w:type="dxa"/>
            <w:left w:w="108" w:type="dxa"/>
            <w:bottom w:w="0" w:type="dxa"/>
            <w:right w:w="108" w:type="dxa"/>
          </w:tblCellMar>
        </w:tblPrEx>
        <w:tc>
          <w:tcPr>
            <w:tcW w:w="4863" w:type="dxa"/>
            <w:noWrap w:val="0"/>
            <w:vAlign w:val="top"/>
          </w:tcPr>
          <w:p w14:paraId="25154BC0">
            <w:pPr>
              <w:spacing w:line="360" w:lineRule="auto"/>
              <w:rPr>
                <w:rFonts w:hint="eastAsia" w:ascii="宋体" w:hAnsi="宋体" w:cs="Arial"/>
                <w:sz w:val="24"/>
                <w:szCs w:val="24"/>
              </w:rPr>
            </w:pPr>
            <w:r>
              <w:rPr>
                <w:rFonts w:hint="eastAsia" w:ascii="宋体" w:hAnsi="宋体" w:cs="Arial"/>
                <w:sz w:val="24"/>
                <w:szCs w:val="24"/>
              </w:rPr>
              <w:t>授权代表（签字）：</w:t>
            </w:r>
          </w:p>
        </w:tc>
        <w:tc>
          <w:tcPr>
            <w:tcW w:w="4317" w:type="dxa"/>
            <w:noWrap w:val="0"/>
            <w:vAlign w:val="top"/>
          </w:tcPr>
          <w:p w14:paraId="278435BD">
            <w:pPr>
              <w:spacing w:line="360" w:lineRule="auto"/>
              <w:rPr>
                <w:rFonts w:hint="eastAsia" w:ascii="宋体" w:hAnsi="宋体" w:cs="Arial"/>
                <w:bCs/>
                <w:sz w:val="24"/>
                <w:szCs w:val="24"/>
              </w:rPr>
            </w:pPr>
            <w:r>
              <w:rPr>
                <w:rFonts w:hint="eastAsia" w:ascii="宋体" w:hAnsi="宋体" w:cs="Arial"/>
                <w:bCs/>
                <w:sz w:val="24"/>
                <w:szCs w:val="24"/>
              </w:rPr>
              <w:t>授权代表（签字）：</w:t>
            </w:r>
          </w:p>
        </w:tc>
      </w:tr>
      <w:tr w14:paraId="297DC05D">
        <w:tblPrEx>
          <w:tblCellMar>
            <w:top w:w="0" w:type="dxa"/>
            <w:left w:w="108" w:type="dxa"/>
            <w:bottom w:w="0" w:type="dxa"/>
            <w:right w:w="108" w:type="dxa"/>
          </w:tblCellMar>
        </w:tblPrEx>
        <w:tc>
          <w:tcPr>
            <w:tcW w:w="4863" w:type="dxa"/>
            <w:noWrap w:val="0"/>
            <w:vAlign w:val="top"/>
          </w:tcPr>
          <w:p w14:paraId="1FF771F1">
            <w:pPr>
              <w:spacing w:line="360" w:lineRule="auto"/>
              <w:rPr>
                <w:rFonts w:ascii="宋体" w:hAnsi="宋体" w:cs="Arial"/>
                <w:sz w:val="24"/>
                <w:szCs w:val="24"/>
              </w:rPr>
            </w:pPr>
            <w:r>
              <w:rPr>
                <w:rFonts w:hint="eastAsia" w:ascii="宋体" w:hAnsi="宋体" w:cs="Arial"/>
                <w:sz w:val="24"/>
                <w:szCs w:val="24"/>
              </w:rPr>
              <w:t xml:space="preserve">签订日期：      </w:t>
            </w:r>
            <w:r>
              <w:rPr>
                <w:rFonts w:ascii="宋体" w:hAnsi="宋体" w:cs="Arial"/>
                <w:sz w:val="24"/>
                <w:szCs w:val="24"/>
              </w:rPr>
              <w:t xml:space="preserve">年 </w:t>
            </w:r>
            <w:r>
              <w:rPr>
                <w:rFonts w:hint="eastAsia" w:ascii="宋体" w:hAnsi="宋体" w:cs="Arial"/>
                <w:sz w:val="24"/>
                <w:szCs w:val="24"/>
              </w:rPr>
              <w:t xml:space="preserve"> </w:t>
            </w:r>
            <w:r>
              <w:rPr>
                <w:rFonts w:ascii="宋体" w:hAnsi="宋体" w:cs="Arial"/>
                <w:sz w:val="24"/>
                <w:szCs w:val="24"/>
              </w:rPr>
              <w:t>月</w:t>
            </w:r>
            <w:r>
              <w:rPr>
                <w:rFonts w:hint="eastAsia" w:ascii="宋体" w:hAnsi="宋体" w:cs="Arial"/>
                <w:sz w:val="24"/>
                <w:szCs w:val="24"/>
              </w:rPr>
              <w:t xml:space="preserve">  </w:t>
            </w:r>
            <w:r>
              <w:rPr>
                <w:rFonts w:ascii="宋体" w:hAnsi="宋体" w:cs="Arial"/>
                <w:sz w:val="24"/>
                <w:szCs w:val="24"/>
              </w:rPr>
              <w:t>日</w:t>
            </w:r>
          </w:p>
        </w:tc>
        <w:tc>
          <w:tcPr>
            <w:tcW w:w="4317" w:type="dxa"/>
            <w:noWrap w:val="0"/>
            <w:vAlign w:val="top"/>
          </w:tcPr>
          <w:p w14:paraId="4B5AD4AA">
            <w:pPr>
              <w:spacing w:line="360" w:lineRule="auto"/>
              <w:rPr>
                <w:rFonts w:ascii="宋体" w:hAnsi="宋体" w:cs="Arial"/>
                <w:sz w:val="24"/>
                <w:szCs w:val="24"/>
              </w:rPr>
            </w:pPr>
            <w:r>
              <w:rPr>
                <w:rFonts w:hint="eastAsia" w:ascii="宋体" w:hAnsi="宋体" w:cs="Arial"/>
                <w:sz w:val="24"/>
                <w:szCs w:val="24"/>
              </w:rPr>
              <w:t xml:space="preserve">签订日期：      </w:t>
            </w:r>
            <w:r>
              <w:rPr>
                <w:rFonts w:ascii="宋体" w:hAnsi="宋体" w:cs="Arial"/>
                <w:sz w:val="24"/>
                <w:szCs w:val="24"/>
              </w:rPr>
              <w:t xml:space="preserve">年 </w:t>
            </w:r>
            <w:r>
              <w:rPr>
                <w:rFonts w:hint="eastAsia" w:ascii="宋体" w:hAnsi="宋体" w:cs="Arial"/>
                <w:sz w:val="24"/>
                <w:szCs w:val="24"/>
              </w:rPr>
              <w:t xml:space="preserve"> </w:t>
            </w:r>
            <w:r>
              <w:rPr>
                <w:rFonts w:ascii="宋体" w:hAnsi="宋体" w:cs="Arial"/>
                <w:sz w:val="24"/>
                <w:szCs w:val="24"/>
              </w:rPr>
              <w:t>月</w:t>
            </w:r>
            <w:r>
              <w:rPr>
                <w:rFonts w:hint="eastAsia" w:ascii="宋体" w:hAnsi="宋体" w:cs="Arial"/>
                <w:sz w:val="24"/>
                <w:szCs w:val="24"/>
              </w:rPr>
              <w:t xml:space="preserve">  </w:t>
            </w:r>
            <w:r>
              <w:rPr>
                <w:rFonts w:ascii="宋体" w:hAnsi="宋体" w:cs="Arial"/>
                <w:sz w:val="24"/>
                <w:szCs w:val="24"/>
              </w:rPr>
              <w:t>日</w:t>
            </w:r>
          </w:p>
        </w:tc>
      </w:tr>
    </w:tbl>
    <w:p w14:paraId="73AD6C35">
      <w:pPr>
        <w:rPr>
          <w:rFonts w:hint="eastAsia" w:ascii="宋体" w:hAnsi="宋体"/>
          <w:color w:val="000000"/>
          <w:sz w:val="28"/>
          <w:szCs w:val="28"/>
        </w:rPr>
      </w:pPr>
    </w:p>
    <w:p w14:paraId="3B827B92">
      <w:pPr>
        <w:spacing w:before="156" w:beforeLines="50" w:after="156" w:afterLines="50" w:line="400" w:lineRule="exact"/>
        <w:ind w:left="549" w:hanging="548" w:hangingChars="196"/>
        <w:rPr>
          <w:rFonts w:hint="eastAsia" w:ascii="宋体" w:hAnsi="宋体"/>
          <w:bCs/>
          <w:sz w:val="28"/>
          <w:szCs w:val="28"/>
        </w:rPr>
      </w:pPr>
    </w:p>
    <w:p w14:paraId="443FD6CB">
      <w:pPr>
        <w:pStyle w:val="33"/>
        <w:rPr>
          <w:rFonts w:hint="eastAsia" w:ascii="宋体" w:hAnsi="宋体"/>
          <w:bCs/>
          <w:sz w:val="28"/>
          <w:szCs w:val="28"/>
        </w:rPr>
      </w:pPr>
    </w:p>
    <w:p w14:paraId="57B2049B">
      <w:pPr>
        <w:spacing w:line="360" w:lineRule="auto"/>
        <w:rPr>
          <w:rFonts w:hint="eastAsia" w:ascii="宋体" w:hAnsi="宋体" w:cs="宋体"/>
          <w:b/>
          <w:bCs/>
          <w:sz w:val="28"/>
          <w:szCs w:val="28"/>
        </w:rPr>
      </w:pPr>
    </w:p>
    <w:p w14:paraId="534A72FB">
      <w:pPr>
        <w:spacing w:line="360" w:lineRule="auto"/>
        <w:rPr>
          <w:rFonts w:hint="eastAsia" w:ascii="宋体" w:hAnsi="宋体" w:cs="宋体"/>
          <w:b/>
          <w:bCs/>
          <w:sz w:val="28"/>
          <w:szCs w:val="28"/>
        </w:rPr>
      </w:pPr>
    </w:p>
    <w:p w14:paraId="59B3E43A">
      <w:pPr>
        <w:pStyle w:val="2"/>
        <w:rPr>
          <w:rFonts w:hint="eastAsia"/>
        </w:rPr>
      </w:pPr>
    </w:p>
    <w:p w14:paraId="780E05C6">
      <w:pPr>
        <w:rPr>
          <w:rFonts w:hint="eastAsia"/>
        </w:rPr>
      </w:pPr>
    </w:p>
    <w:p w14:paraId="167B99D0">
      <w:pPr>
        <w:pStyle w:val="2"/>
        <w:rPr>
          <w:rFonts w:hint="eastAsia"/>
        </w:rPr>
      </w:pPr>
    </w:p>
    <w:p w14:paraId="484A7E87">
      <w:pPr>
        <w:rPr>
          <w:rFonts w:hint="eastAsia"/>
        </w:rPr>
      </w:pPr>
    </w:p>
    <w:p w14:paraId="0C96B104">
      <w:pPr>
        <w:pStyle w:val="2"/>
        <w:rPr>
          <w:rFonts w:hint="eastAsia"/>
        </w:rPr>
      </w:pPr>
    </w:p>
    <w:p w14:paraId="7645C62F">
      <w:pPr>
        <w:rPr>
          <w:rFonts w:hint="eastAsia"/>
        </w:rPr>
      </w:pPr>
    </w:p>
    <w:p w14:paraId="56A0364F">
      <w:pPr>
        <w:spacing w:line="360" w:lineRule="auto"/>
        <w:rPr>
          <w:rFonts w:hint="eastAsia" w:ascii="宋体" w:hAnsi="宋体" w:cs="宋体"/>
          <w:b/>
          <w:bCs/>
          <w:sz w:val="28"/>
          <w:szCs w:val="28"/>
        </w:rPr>
      </w:pPr>
    </w:p>
    <w:p w14:paraId="77C6DC56">
      <w:pPr>
        <w:spacing w:line="360" w:lineRule="auto"/>
        <w:rPr>
          <w:rFonts w:hint="eastAsia" w:ascii="宋体" w:hAnsi="宋体" w:cs="宋体"/>
          <w:b/>
          <w:bCs/>
          <w:sz w:val="28"/>
          <w:szCs w:val="28"/>
        </w:rPr>
      </w:pPr>
    </w:p>
    <w:p w14:paraId="7E2BABF6">
      <w:pPr>
        <w:pStyle w:val="2"/>
        <w:rPr>
          <w:rFonts w:hint="eastAsia" w:ascii="宋体" w:hAnsi="宋体" w:cs="宋体"/>
          <w:b/>
          <w:bCs/>
          <w:sz w:val="28"/>
          <w:szCs w:val="28"/>
        </w:rPr>
      </w:pPr>
    </w:p>
    <w:p w14:paraId="79A202E9">
      <w:pPr>
        <w:rPr>
          <w:rFonts w:hint="eastAsia"/>
        </w:rPr>
      </w:pPr>
    </w:p>
    <w:p w14:paraId="5E9DFD18">
      <w:pPr>
        <w:spacing w:line="360" w:lineRule="auto"/>
        <w:rPr>
          <w:rFonts w:ascii="宋体" w:hAnsi="宋体" w:cs="宋体"/>
          <w:b/>
          <w:bCs/>
          <w:sz w:val="24"/>
          <w:szCs w:val="24"/>
        </w:rPr>
      </w:pPr>
      <w:r>
        <w:rPr>
          <w:rFonts w:hint="eastAsia" w:ascii="宋体" w:hAnsi="宋体" w:cs="宋体"/>
          <w:b/>
          <w:bCs/>
          <w:sz w:val="24"/>
          <w:szCs w:val="24"/>
        </w:rPr>
        <w:t>附件1</w:t>
      </w:r>
    </w:p>
    <w:p w14:paraId="2A97BA6E">
      <w:pPr>
        <w:spacing w:line="360" w:lineRule="auto"/>
        <w:jc w:val="center"/>
        <w:rPr>
          <w:rFonts w:ascii="宋体" w:hAnsi="宋体" w:cs="宋体"/>
          <w:b/>
          <w:bCs/>
          <w:sz w:val="24"/>
          <w:szCs w:val="24"/>
        </w:rPr>
      </w:pPr>
      <w:r>
        <w:rPr>
          <w:rFonts w:hint="eastAsia" w:ascii="宋体" w:hAnsi="宋体" w:cs="宋体"/>
          <w:b/>
          <w:bCs/>
          <w:sz w:val="24"/>
          <w:szCs w:val="24"/>
        </w:rPr>
        <w:t>保 密 协 议</w:t>
      </w:r>
    </w:p>
    <w:p w14:paraId="7DCCB8CC">
      <w:pPr>
        <w:spacing w:line="360" w:lineRule="auto"/>
        <w:jc w:val="center"/>
        <w:rPr>
          <w:rFonts w:ascii="宋体" w:hAnsi="宋体" w:cs="宋体"/>
          <w:b/>
          <w:bCs/>
          <w:sz w:val="24"/>
          <w:szCs w:val="24"/>
        </w:rPr>
      </w:pPr>
    </w:p>
    <w:p w14:paraId="769C1759">
      <w:pPr>
        <w:spacing w:line="360" w:lineRule="auto"/>
        <w:ind w:firstLine="240" w:firstLineChars="100"/>
        <w:rPr>
          <w:rFonts w:ascii="宋体" w:hAnsi="宋体" w:cs="宋体"/>
          <w:sz w:val="24"/>
          <w:szCs w:val="24"/>
          <w:u w:val="single"/>
        </w:rPr>
      </w:pPr>
      <w:r>
        <w:rPr>
          <w:rFonts w:hint="eastAsia" w:ascii="宋体" w:hAnsi="宋体" w:cs="宋体"/>
          <w:sz w:val="24"/>
          <w:szCs w:val="24"/>
        </w:rPr>
        <w:t>甲方：</w:t>
      </w:r>
      <w:r>
        <w:rPr>
          <w:rFonts w:hint="eastAsia" w:ascii="宋体" w:hAnsi="宋体" w:cs="宋体"/>
          <w:bCs/>
          <w:sz w:val="24"/>
          <w:szCs w:val="24"/>
          <w:u w:val="single"/>
        </w:rPr>
        <w:t>中山大学附属第八医院（深圳福田）</w:t>
      </w:r>
    </w:p>
    <w:p w14:paraId="3230B48B">
      <w:pPr>
        <w:spacing w:line="360" w:lineRule="auto"/>
        <w:ind w:firstLine="240" w:firstLineChars="100"/>
        <w:rPr>
          <w:rFonts w:ascii="宋体" w:hAnsi="宋体" w:cs="宋体"/>
          <w:sz w:val="24"/>
          <w:szCs w:val="24"/>
          <w:u w:val="single"/>
        </w:rPr>
      </w:pPr>
      <w:r>
        <w:rPr>
          <w:rFonts w:hint="eastAsia" w:ascii="宋体" w:hAnsi="宋体" w:cs="宋体"/>
          <w:sz w:val="24"/>
          <w:szCs w:val="24"/>
        </w:rPr>
        <w:t>乙方：</w:t>
      </w:r>
      <w:r>
        <w:rPr>
          <w:rFonts w:hint="eastAsia" w:ascii="宋体" w:hAnsi="宋体"/>
          <w:color w:val="000000"/>
          <w:sz w:val="24"/>
          <w:szCs w:val="24"/>
          <w:u w:val="single"/>
          <w:lang w:val="en-US" w:eastAsia="zh-CN"/>
        </w:rPr>
        <w:t xml:space="preserve">     </w:t>
      </w:r>
      <w:r>
        <w:rPr>
          <w:rFonts w:hint="eastAsia" w:ascii="宋体" w:hAnsi="宋体" w:cs="宋体"/>
          <w:sz w:val="24"/>
          <w:szCs w:val="24"/>
          <w:u w:val="single"/>
        </w:rPr>
        <w:t xml:space="preserve">   </w:t>
      </w:r>
    </w:p>
    <w:p w14:paraId="78D7BE9B">
      <w:pPr>
        <w:spacing w:line="360" w:lineRule="auto"/>
        <w:ind w:firstLine="480" w:firstLineChars="200"/>
        <w:rPr>
          <w:rFonts w:ascii="宋体" w:hAnsi="宋体" w:cs="宋体"/>
          <w:sz w:val="24"/>
          <w:szCs w:val="24"/>
          <w:u w:val="single"/>
        </w:rPr>
      </w:pPr>
    </w:p>
    <w:p w14:paraId="6CC8FEAA">
      <w:pPr>
        <w:spacing w:line="360" w:lineRule="auto"/>
        <w:ind w:firstLine="480" w:firstLineChars="200"/>
        <w:rPr>
          <w:rFonts w:ascii="宋体" w:hAnsi="宋体" w:cs="宋体"/>
          <w:sz w:val="24"/>
          <w:szCs w:val="24"/>
        </w:rPr>
      </w:pPr>
      <w:r>
        <w:rPr>
          <w:rFonts w:hint="eastAsia" w:ascii="宋体" w:hAnsi="宋体" w:cs="宋体"/>
          <w:sz w:val="24"/>
          <w:szCs w:val="24"/>
        </w:rPr>
        <w:t>鉴于甲、乙方签订了《</w:t>
      </w:r>
      <w:r>
        <w:rPr>
          <w:rFonts w:hint="eastAsia" w:ascii="宋体" w:hAnsi="宋体" w:cs="宋体"/>
          <w:bCs/>
          <w:sz w:val="24"/>
          <w:szCs w:val="24"/>
          <w:u w:val="single"/>
        </w:rPr>
        <w:t>中山大学附属第八医院（深圳福田）电子签名证书维护服务</w:t>
      </w:r>
      <w:r>
        <w:rPr>
          <w:rFonts w:hint="eastAsia" w:ascii="宋体" w:hAnsi="宋体" w:cs="宋体"/>
          <w:bCs/>
          <w:color w:val="000000"/>
          <w:sz w:val="24"/>
          <w:szCs w:val="24"/>
          <w:u w:val="single"/>
        </w:rPr>
        <w:t>合同</w:t>
      </w:r>
      <w:r>
        <w:rPr>
          <w:rFonts w:hint="eastAsia" w:ascii="宋体" w:hAnsi="宋体" w:cs="宋体"/>
          <w:sz w:val="24"/>
          <w:szCs w:val="24"/>
        </w:rPr>
        <w:t>》</w:t>
      </w:r>
      <w:r>
        <w:rPr>
          <w:rFonts w:hint="eastAsia" w:ascii="宋体" w:hAnsi="宋体" w:cs="宋体"/>
          <w:bCs/>
          <w:sz w:val="24"/>
          <w:szCs w:val="24"/>
        </w:rPr>
        <w:t>（项目编号：</w:t>
      </w:r>
      <w:r>
        <w:rPr>
          <w:rFonts w:hint="eastAsia" w:ascii="宋体" w:hAnsi="宋体" w:cs="宋体"/>
          <w:bCs/>
          <w:sz w:val="24"/>
          <w:szCs w:val="24"/>
          <w:u w:val="single"/>
        </w:rPr>
        <w:t>ZCB-202</w:t>
      </w:r>
      <w:r>
        <w:rPr>
          <w:rFonts w:hint="eastAsia" w:ascii="宋体" w:hAnsi="宋体" w:cs="宋体"/>
          <w:bCs/>
          <w:sz w:val="24"/>
          <w:szCs w:val="24"/>
          <w:u w:val="single"/>
          <w:lang w:val="en-US" w:eastAsia="zh-CN"/>
        </w:rPr>
        <w:t>6</w:t>
      </w:r>
      <w:r>
        <w:rPr>
          <w:rFonts w:hint="eastAsia" w:ascii="宋体" w:hAnsi="宋体" w:cs="宋体"/>
          <w:bCs/>
          <w:sz w:val="24"/>
          <w:szCs w:val="24"/>
          <w:u w:val="single"/>
        </w:rPr>
        <w:t>-HQ-0</w:t>
      </w:r>
      <w:r>
        <w:rPr>
          <w:rFonts w:hint="eastAsia" w:ascii="宋体" w:hAnsi="宋体" w:cs="宋体"/>
          <w:bCs/>
          <w:sz w:val="24"/>
          <w:szCs w:val="24"/>
          <w:u w:val="single"/>
          <w:lang w:val="en-US" w:eastAsia="zh-CN"/>
        </w:rPr>
        <w:t>11</w:t>
      </w:r>
      <w:r>
        <w:rPr>
          <w:rFonts w:hint="eastAsia" w:ascii="宋体" w:hAnsi="宋体" w:cs="宋体"/>
          <w:bCs/>
          <w:sz w:val="24"/>
          <w:szCs w:val="24"/>
        </w:rPr>
        <w:t>，</w:t>
      </w:r>
      <w:r>
        <w:rPr>
          <w:rFonts w:hint="eastAsia" w:ascii="宋体" w:hAnsi="宋体" w:cs="宋体"/>
          <w:sz w:val="24"/>
          <w:szCs w:val="24"/>
        </w:rPr>
        <w:t>下称主合同）。 因乙方为甲方提供服务和履行职务，已经(或将要)知悉甲方的工作秘密。为了明确乙方的保密义务，有效保护甲方的工作秘密，防止该工作秘密被公开披露或以任何形式泄漏，根据《中华人民共和国民法典》、《中华人民共和国反不正当竞争法》等相关法律法规及国务院有关部委和广东省的规定，甲乙双方本着平等、自愿、公平和诚实信用的原则在深圳市福田区签订本保密协议。</w:t>
      </w:r>
    </w:p>
    <w:p w14:paraId="3D1449BF">
      <w:pPr>
        <w:spacing w:line="360" w:lineRule="auto"/>
        <w:ind w:firstLine="487" w:firstLineChars="202"/>
        <w:rPr>
          <w:rFonts w:ascii="宋体" w:hAnsi="宋体" w:cs="宋体"/>
          <w:b/>
          <w:sz w:val="24"/>
          <w:szCs w:val="24"/>
        </w:rPr>
      </w:pPr>
      <w:r>
        <w:rPr>
          <w:rFonts w:hint="eastAsia" w:ascii="宋体" w:hAnsi="宋体" w:cs="宋体"/>
          <w:b/>
          <w:sz w:val="24"/>
          <w:szCs w:val="24"/>
        </w:rPr>
        <w:t>1.工作秘密</w:t>
      </w:r>
    </w:p>
    <w:p w14:paraId="3F27EE7B">
      <w:pPr>
        <w:spacing w:line="360" w:lineRule="auto"/>
        <w:ind w:firstLine="484" w:firstLineChars="202"/>
        <w:rPr>
          <w:rFonts w:ascii="宋体" w:hAnsi="宋体" w:cs="宋体"/>
          <w:sz w:val="24"/>
          <w:szCs w:val="24"/>
        </w:rPr>
      </w:pPr>
      <w:r>
        <w:rPr>
          <w:rFonts w:hint="eastAsia" w:ascii="宋体" w:hAnsi="宋体" w:cs="宋体"/>
          <w:sz w:val="24"/>
          <w:szCs w:val="24"/>
        </w:rPr>
        <w:t>1.1本协议所称工作秘密包括但不限于：甲方信息系统中的甲方数据、业务数据、网络拓扑、设备配置、信息化项目、人力资源、核酸采样、核酸检测及其他技术信息的各类文档、信息、数据等。乙方对此工作秘密承担保密义务；未经甲方同意不得对外转让或泄漏的内容。双方确认，甲方已对上述工作秘密采取了合理的保密措施。乙方有责任对本协议的内容进行保密。</w:t>
      </w:r>
    </w:p>
    <w:p w14:paraId="793FDD0B">
      <w:pPr>
        <w:spacing w:line="360" w:lineRule="auto"/>
        <w:ind w:firstLine="484" w:firstLineChars="202"/>
        <w:rPr>
          <w:rFonts w:ascii="宋体" w:hAnsi="宋体" w:cs="宋体"/>
          <w:sz w:val="24"/>
          <w:szCs w:val="24"/>
        </w:rPr>
      </w:pPr>
      <w:r>
        <w:rPr>
          <w:rFonts w:hint="eastAsia" w:ascii="宋体" w:hAnsi="宋体" w:cs="宋体"/>
          <w:sz w:val="24"/>
          <w:szCs w:val="24"/>
        </w:rPr>
        <w:t>1.2甲方依照法律规定(如在缔约过程中知悉其他相对人的工作秘密)和在有关协议的约定(如技术合同)中对外承担保密义务的事项，也属本保密协议所称的工作秘密。</w:t>
      </w:r>
    </w:p>
    <w:p w14:paraId="2F453A8C">
      <w:pPr>
        <w:spacing w:line="360" w:lineRule="auto"/>
        <w:ind w:firstLine="484" w:firstLineChars="202"/>
        <w:rPr>
          <w:rFonts w:ascii="宋体" w:hAnsi="宋体" w:cs="宋体"/>
          <w:sz w:val="24"/>
          <w:szCs w:val="24"/>
        </w:rPr>
      </w:pPr>
      <w:r>
        <w:rPr>
          <w:rFonts w:hint="eastAsia" w:ascii="宋体" w:hAnsi="宋体" w:cs="宋体"/>
          <w:sz w:val="24"/>
          <w:szCs w:val="24"/>
        </w:rPr>
        <w:t>1.3甲方为完成项目提供的任何其他信息资料并且在提供时未说明是公开信息；乙方应当视为保密的口头和书面信息，而不论该等信息是否被指定为保密的；未经甲方书面许可乙方无权单方面对第三方公开的信息均属本保密协议所称的工作秘密。</w:t>
      </w:r>
    </w:p>
    <w:p w14:paraId="2B9F0E4D">
      <w:pPr>
        <w:spacing w:line="360" w:lineRule="auto"/>
        <w:ind w:firstLine="484" w:firstLineChars="202"/>
        <w:rPr>
          <w:rFonts w:ascii="宋体" w:hAnsi="宋体" w:cs="宋体"/>
          <w:sz w:val="24"/>
          <w:szCs w:val="24"/>
        </w:rPr>
      </w:pPr>
      <w:r>
        <w:rPr>
          <w:rFonts w:hint="eastAsia" w:ascii="宋体" w:hAnsi="宋体" w:cs="宋体"/>
          <w:sz w:val="24"/>
          <w:szCs w:val="24"/>
        </w:rPr>
        <w:t>1.4在乙方履行项目过程中，某一信息的泄露会造成下列后果之一的，也属于甲方秘密：</w:t>
      </w:r>
    </w:p>
    <w:p w14:paraId="269BCD64">
      <w:pPr>
        <w:spacing w:line="360" w:lineRule="auto"/>
        <w:ind w:firstLine="484" w:firstLineChars="202"/>
        <w:rPr>
          <w:rFonts w:ascii="宋体" w:hAnsi="宋体" w:cs="宋体"/>
          <w:sz w:val="24"/>
          <w:szCs w:val="24"/>
        </w:rPr>
      </w:pPr>
      <w:r>
        <w:rPr>
          <w:rFonts w:hint="eastAsia" w:ascii="宋体" w:hAnsi="宋体" w:cs="宋体"/>
          <w:sz w:val="24"/>
          <w:szCs w:val="24"/>
        </w:rPr>
        <w:t>1.4.1使甲方利益受到损害的事项；</w:t>
      </w:r>
    </w:p>
    <w:p w14:paraId="37925765">
      <w:pPr>
        <w:spacing w:line="360" w:lineRule="auto"/>
        <w:ind w:firstLine="484" w:firstLineChars="202"/>
        <w:rPr>
          <w:rFonts w:ascii="宋体" w:hAnsi="宋体" w:cs="宋体"/>
          <w:sz w:val="24"/>
          <w:szCs w:val="24"/>
        </w:rPr>
      </w:pPr>
      <w:r>
        <w:rPr>
          <w:rFonts w:hint="eastAsia" w:ascii="宋体" w:hAnsi="宋体" w:cs="宋体"/>
          <w:sz w:val="24"/>
          <w:szCs w:val="24"/>
        </w:rPr>
        <w:t>1.4.2影响甲方对外交流顺利进行的事项；</w:t>
      </w:r>
    </w:p>
    <w:p w14:paraId="43AB9D04">
      <w:pPr>
        <w:spacing w:line="360" w:lineRule="auto"/>
        <w:ind w:firstLine="484" w:firstLineChars="202"/>
        <w:rPr>
          <w:rFonts w:ascii="宋体" w:hAnsi="宋体" w:cs="宋体"/>
          <w:sz w:val="24"/>
          <w:szCs w:val="24"/>
        </w:rPr>
      </w:pPr>
      <w:r>
        <w:rPr>
          <w:rFonts w:hint="eastAsia" w:ascii="宋体" w:hAnsi="宋体" w:cs="宋体"/>
          <w:sz w:val="24"/>
          <w:szCs w:val="24"/>
        </w:rPr>
        <w:t>1.4.3影响甲方对外承担保密义务的事项。</w:t>
      </w:r>
    </w:p>
    <w:p w14:paraId="765CF694">
      <w:pPr>
        <w:spacing w:line="360" w:lineRule="auto"/>
        <w:ind w:firstLine="487" w:firstLineChars="202"/>
        <w:rPr>
          <w:rFonts w:ascii="宋体" w:hAnsi="宋体" w:cs="宋体"/>
          <w:b/>
          <w:sz w:val="24"/>
          <w:szCs w:val="24"/>
        </w:rPr>
      </w:pPr>
    </w:p>
    <w:p w14:paraId="5F668253">
      <w:pPr>
        <w:spacing w:line="360" w:lineRule="auto"/>
        <w:ind w:firstLine="487" w:firstLineChars="202"/>
        <w:rPr>
          <w:rFonts w:ascii="宋体" w:hAnsi="宋体" w:cs="宋体"/>
          <w:b/>
          <w:sz w:val="24"/>
          <w:szCs w:val="24"/>
        </w:rPr>
      </w:pPr>
      <w:r>
        <w:rPr>
          <w:rFonts w:hint="eastAsia" w:ascii="宋体" w:hAnsi="宋体" w:cs="宋体"/>
          <w:b/>
          <w:sz w:val="24"/>
          <w:szCs w:val="24"/>
        </w:rPr>
        <w:t>2.保密义务人</w:t>
      </w:r>
    </w:p>
    <w:p w14:paraId="37D64EFE">
      <w:pPr>
        <w:spacing w:line="360" w:lineRule="auto"/>
        <w:ind w:firstLine="484" w:firstLineChars="202"/>
        <w:rPr>
          <w:rFonts w:ascii="宋体" w:hAnsi="宋体" w:cs="宋体"/>
          <w:b/>
          <w:sz w:val="24"/>
          <w:szCs w:val="24"/>
        </w:rPr>
      </w:pPr>
      <w:r>
        <w:rPr>
          <w:rFonts w:hint="eastAsia" w:ascii="宋体" w:hAnsi="宋体" w:cs="宋体"/>
          <w:sz w:val="24"/>
          <w:szCs w:val="24"/>
        </w:rPr>
        <w:t xml:space="preserve">乙方为本协议所称的保密义务人，包括但不限于乙方雇员、代理人、顾问等。 </w:t>
      </w:r>
    </w:p>
    <w:p w14:paraId="6F20C38B">
      <w:pPr>
        <w:spacing w:line="360" w:lineRule="auto"/>
        <w:ind w:firstLine="487" w:firstLineChars="202"/>
        <w:rPr>
          <w:rFonts w:ascii="宋体" w:hAnsi="宋体" w:cs="宋体"/>
          <w:b/>
          <w:sz w:val="24"/>
          <w:szCs w:val="24"/>
        </w:rPr>
      </w:pPr>
      <w:r>
        <w:rPr>
          <w:rFonts w:hint="eastAsia" w:ascii="宋体" w:hAnsi="宋体" w:cs="宋体"/>
          <w:b/>
          <w:sz w:val="24"/>
          <w:szCs w:val="24"/>
        </w:rPr>
        <w:t>3.保密义务人的保密义务</w:t>
      </w:r>
    </w:p>
    <w:p w14:paraId="35613B8A">
      <w:pPr>
        <w:spacing w:line="360" w:lineRule="auto"/>
        <w:ind w:firstLine="484" w:firstLineChars="202"/>
        <w:rPr>
          <w:rFonts w:ascii="宋体" w:hAnsi="宋体" w:cs="宋体"/>
          <w:sz w:val="24"/>
          <w:szCs w:val="24"/>
        </w:rPr>
      </w:pPr>
      <w:r>
        <w:rPr>
          <w:rFonts w:hint="eastAsia" w:ascii="宋体" w:hAnsi="宋体" w:cs="宋体"/>
          <w:sz w:val="24"/>
          <w:szCs w:val="24"/>
        </w:rPr>
        <w:t>3.1乙方应保证保密义务人对甲方工作秘密严格保守，保证甲方工作秘密不被披露或使用，无论保密义务人有无过错，无论意外或过失。即使这些信息甚至可能是全部地由保密义务人本人因工作而构思或取得的。</w:t>
      </w:r>
    </w:p>
    <w:p w14:paraId="57945582">
      <w:pPr>
        <w:spacing w:line="360" w:lineRule="auto"/>
        <w:ind w:firstLine="484" w:firstLineChars="202"/>
        <w:rPr>
          <w:rFonts w:ascii="宋体" w:hAnsi="宋体" w:cs="宋体"/>
          <w:sz w:val="24"/>
          <w:szCs w:val="24"/>
        </w:rPr>
      </w:pPr>
      <w:r>
        <w:rPr>
          <w:rFonts w:hint="eastAsia" w:ascii="宋体" w:hAnsi="宋体" w:cs="宋体"/>
          <w:sz w:val="24"/>
          <w:szCs w:val="24"/>
        </w:rPr>
        <w:t>3.2在服务关系存续期间，乙方保证保密义务人未经授权，不得以任何理由、任何目的擅自披露、使用工作秘密、制造再现工作秘密的器材、取走与工作秘密有关的物件、信息、数据等；不得刺探与本职工作或本身业务无关的工作秘密；不得直接或间接地向乙方内部、外部的无关人员泄露；不得向不承担保密义务的任何第三人披露甲方的工作秘密；不得允许(出借、赠与、出租、转让等处分甲方工作秘密的行为皆属于“允许”)或协助不承担保密义务的任何第三人使用甲方的工作秘密；不得复制或公开包含甲方工作秘密的文件或文件副本；对因工作所保管、接触的有关甲方的文件应妥善对待，未经许可不得超出工作范围使用。</w:t>
      </w:r>
    </w:p>
    <w:p w14:paraId="6F801D28">
      <w:pPr>
        <w:spacing w:line="360" w:lineRule="auto"/>
        <w:ind w:firstLine="484" w:firstLineChars="202"/>
        <w:rPr>
          <w:rFonts w:ascii="宋体" w:hAnsi="宋体" w:cs="宋体"/>
          <w:sz w:val="24"/>
          <w:szCs w:val="24"/>
        </w:rPr>
      </w:pPr>
      <w:r>
        <w:rPr>
          <w:rFonts w:hint="eastAsia" w:ascii="宋体" w:hAnsi="宋体" w:cs="宋体"/>
          <w:sz w:val="24"/>
          <w:szCs w:val="24"/>
        </w:rPr>
        <w:t>3.3如果发现工作秘密被泄露或者自己过失泄露工作秘密，乙方应当采取有效措施防止泄密进一步扩大，并及时向甲方报告。</w:t>
      </w:r>
    </w:p>
    <w:p w14:paraId="532C441E">
      <w:pPr>
        <w:spacing w:line="360" w:lineRule="auto"/>
        <w:ind w:firstLine="484" w:firstLineChars="202"/>
        <w:rPr>
          <w:rFonts w:ascii="宋体" w:hAnsi="宋体" w:cs="宋体"/>
          <w:sz w:val="24"/>
          <w:szCs w:val="24"/>
        </w:rPr>
      </w:pPr>
      <w:r>
        <w:rPr>
          <w:rFonts w:hint="eastAsia" w:ascii="宋体" w:hAnsi="宋体" w:cs="宋体"/>
          <w:sz w:val="24"/>
          <w:szCs w:val="24"/>
        </w:rPr>
        <w:t>3.4服务关系结束后，乙方应将与工作有关的技术资料、程序源代码等交还甲方。未经甲方书面授权，乙方永久不得擅自披露甲方的工作秘密。</w:t>
      </w:r>
    </w:p>
    <w:p w14:paraId="1E153939">
      <w:pPr>
        <w:spacing w:line="360" w:lineRule="auto"/>
        <w:ind w:firstLine="484" w:firstLineChars="202"/>
        <w:rPr>
          <w:rFonts w:ascii="宋体" w:hAnsi="宋体" w:cs="宋体"/>
          <w:sz w:val="24"/>
          <w:szCs w:val="24"/>
        </w:rPr>
      </w:pPr>
      <w:r>
        <w:rPr>
          <w:rFonts w:hint="eastAsia" w:ascii="宋体" w:hAnsi="宋体" w:cs="宋体"/>
          <w:sz w:val="24"/>
          <w:szCs w:val="24"/>
        </w:rPr>
        <w:t>3.5乙方保证所有有机会接触到甲方保密信息的参与成员，受不低于本合同要求的保密协议要求，且协议的保密期限为长期，除非甲方书面明确信息为可公开的信息外。</w:t>
      </w:r>
    </w:p>
    <w:p w14:paraId="44F7BC5D">
      <w:pPr>
        <w:spacing w:line="360" w:lineRule="auto"/>
        <w:ind w:firstLine="484" w:firstLineChars="202"/>
        <w:rPr>
          <w:rFonts w:ascii="宋体" w:hAnsi="宋体" w:cs="宋体"/>
          <w:sz w:val="24"/>
          <w:szCs w:val="24"/>
        </w:rPr>
      </w:pPr>
      <w:r>
        <w:rPr>
          <w:rFonts w:hint="eastAsia" w:ascii="宋体" w:hAnsi="宋体" w:cs="宋体"/>
          <w:sz w:val="24"/>
          <w:szCs w:val="24"/>
        </w:rPr>
        <w:t>3.6乙方人员是否在职、劳动合同是否履行完毕，均不影响其保密义务的承担。</w:t>
      </w:r>
    </w:p>
    <w:p w14:paraId="7535814C">
      <w:pPr>
        <w:spacing w:line="360" w:lineRule="auto"/>
        <w:ind w:firstLine="484" w:firstLineChars="202"/>
        <w:rPr>
          <w:rFonts w:ascii="宋体" w:hAnsi="宋体" w:cs="宋体"/>
          <w:b/>
          <w:sz w:val="24"/>
          <w:szCs w:val="24"/>
        </w:rPr>
      </w:pPr>
      <w:r>
        <w:rPr>
          <w:rFonts w:hint="eastAsia" w:ascii="宋体" w:hAnsi="宋体" w:cs="宋体"/>
          <w:sz w:val="24"/>
          <w:szCs w:val="24"/>
        </w:rPr>
        <w:t>3.7乙方同意并承诺，未经甲方书面许可，乙方不得将甲方工作秘密通过移动介质、网络、云等方式存储、转移至院外、向外界传播等。</w:t>
      </w:r>
    </w:p>
    <w:p w14:paraId="67D9F307">
      <w:pPr>
        <w:spacing w:line="360" w:lineRule="auto"/>
        <w:ind w:firstLine="487" w:firstLineChars="202"/>
        <w:rPr>
          <w:rFonts w:ascii="宋体" w:hAnsi="宋体" w:cs="宋体"/>
          <w:b/>
          <w:sz w:val="24"/>
          <w:szCs w:val="24"/>
        </w:rPr>
      </w:pPr>
      <w:r>
        <w:rPr>
          <w:rFonts w:hint="eastAsia" w:ascii="宋体" w:hAnsi="宋体" w:cs="宋体"/>
          <w:b/>
          <w:sz w:val="24"/>
          <w:szCs w:val="24"/>
        </w:rPr>
        <w:t>4.保密义务的终止</w:t>
      </w:r>
    </w:p>
    <w:p w14:paraId="148CA19D">
      <w:pPr>
        <w:spacing w:line="360" w:lineRule="auto"/>
        <w:ind w:firstLine="484" w:firstLineChars="202"/>
        <w:rPr>
          <w:rFonts w:ascii="宋体" w:hAnsi="宋体" w:cs="宋体"/>
          <w:b/>
          <w:sz w:val="24"/>
          <w:szCs w:val="24"/>
        </w:rPr>
      </w:pPr>
      <w:r>
        <w:rPr>
          <w:rFonts w:hint="eastAsia" w:ascii="宋体" w:hAnsi="宋体" w:cs="宋体"/>
          <w:bCs/>
          <w:sz w:val="24"/>
          <w:szCs w:val="24"/>
        </w:rPr>
        <w:t>本保密协议的期限为长期永久有效，乙方的保密义务不因本项目的服务期限到期而终止。</w:t>
      </w:r>
    </w:p>
    <w:p w14:paraId="4D17936F">
      <w:pPr>
        <w:spacing w:line="360" w:lineRule="auto"/>
        <w:ind w:firstLine="487" w:firstLineChars="202"/>
        <w:rPr>
          <w:rFonts w:ascii="宋体" w:hAnsi="宋体" w:cs="宋体"/>
          <w:b/>
          <w:sz w:val="24"/>
          <w:szCs w:val="24"/>
        </w:rPr>
      </w:pPr>
      <w:r>
        <w:rPr>
          <w:rFonts w:hint="eastAsia" w:ascii="宋体" w:hAnsi="宋体" w:cs="宋体"/>
          <w:b/>
          <w:sz w:val="24"/>
          <w:szCs w:val="24"/>
        </w:rPr>
        <w:t>5.违约责任</w:t>
      </w:r>
    </w:p>
    <w:p w14:paraId="2156232E">
      <w:pPr>
        <w:spacing w:line="360" w:lineRule="auto"/>
        <w:ind w:firstLine="484" w:firstLineChars="202"/>
        <w:rPr>
          <w:rFonts w:ascii="宋体" w:hAnsi="宋体" w:cs="宋体"/>
          <w:b/>
          <w:sz w:val="24"/>
          <w:szCs w:val="24"/>
        </w:rPr>
      </w:pPr>
      <w:r>
        <w:rPr>
          <w:rFonts w:hint="eastAsia" w:ascii="宋体" w:hAnsi="宋体" w:cs="宋体"/>
          <w:sz w:val="24"/>
          <w:szCs w:val="24"/>
        </w:rPr>
        <w:t>乙方违反本协议，应按主合同金额的</w:t>
      </w:r>
      <w:r>
        <w:rPr>
          <w:rFonts w:hint="eastAsia" w:ascii="宋体" w:hAnsi="宋体" w:cs="宋体"/>
          <w:sz w:val="24"/>
          <w:szCs w:val="24"/>
          <w:u w:val="single"/>
        </w:rPr>
        <w:t xml:space="preserve"> 20 </w:t>
      </w:r>
      <w:r>
        <w:rPr>
          <w:rFonts w:hint="eastAsia" w:ascii="宋体" w:hAnsi="宋体" w:cs="宋体"/>
          <w:sz w:val="24"/>
          <w:szCs w:val="24"/>
        </w:rPr>
        <w:t>%向甲方支付违约金；违约金不足以弥补甲方损失的，由乙方另行进行赔偿，甲方损失范围包括但不限于：甲方实际经济损失、律师费、调查费、采取补救措施所引起的所有费用和损失、乙方及其泄密对象因违约行为的获益等。</w:t>
      </w:r>
    </w:p>
    <w:p w14:paraId="176153F7">
      <w:pPr>
        <w:spacing w:line="360" w:lineRule="auto"/>
        <w:ind w:firstLine="487" w:firstLineChars="202"/>
        <w:rPr>
          <w:rFonts w:ascii="宋体" w:hAnsi="宋体" w:cs="宋体"/>
          <w:b/>
          <w:sz w:val="24"/>
          <w:szCs w:val="24"/>
        </w:rPr>
      </w:pPr>
      <w:r>
        <w:rPr>
          <w:rFonts w:hint="eastAsia" w:ascii="宋体" w:hAnsi="宋体" w:cs="宋体"/>
          <w:b/>
          <w:sz w:val="24"/>
          <w:szCs w:val="24"/>
        </w:rPr>
        <w:t>6.争议的解决方法</w:t>
      </w:r>
    </w:p>
    <w:p w14:paraId="088C0CC8">
      <w:pPr>
        <w:spacing w:line="360" w:lineRule="auto"/>
        <w:ind w:firstLine="484" w:firstLineChars="202"/>
        <w:rPr>
          <w:rFonts w:ascii="宋体" w:hAnsi="宋体" w:cs="宋体"/>
          <w:b/>
          <w:sz w:val="24"/>
          <w:szCs w:val="24"/>
        </w:rPr>
      </w:pPr>
      <w:r>
        <w:rPr>
          <w:rFonts w:hint="eastAsia" w:ascii="宋体" w:hAnsi="宋体" w:cs="宋体"/>
          <w:sz w:val="24"/>
          <w:szCs w:val="24"/>
        </w:rPr>
        <w:t>因执行本协议而发生纠纷的，可以由双方协商解决或共同委托双方信任的第三方调解。协商、调解不成，或者一方不愿意协商、调解的，按照主合同约定的争议处理方式处理。</w:t>
      </w:r>
    </w:p>
    <w:p w14:paraId="6EE56BED">
      <w:pPr>
        <w:spacing w:line="360" w:lineRule="auto"/>
        <w:ind w:firstLine="487" w:firstLineChars="202"/>
        <w:rPr>
          <w:rFonts w:ascii="宋体" w:hAnsi="宋体" w:cs="宋体"/>
          <w:b/>
          <w:sz w:val="24"/>
          <w:szCs w:val="24"/>
        </w:rPr>
      </w:pPr>
      <w:r>
        <w:rPr>
          <w:rFonts w:hint="eastAsia" w:ascii="宋体" w:hAnsi="宋体" w:cs="宋体"/>
          <w:b/>
          <w:sz w:val="24"/>
          <w:szCs w:val="24"/>
        </w:rPr>
        <w:t>7.双方确认</w:t>
      </w:r>
    </w:p>
    <w:p w14:paraId="4207F08A">
      <w:pPr>
        <w:spacing w:line="360" w:lineRule="auto"/>
        <w:ind w:firstLine="484" w:firstLineChars="202"/>
        <w:rPr>
          <w:rFonts w:ascii="宋体" w:hAnsi="宋体" w:cs="宋体"/>
          <w:sz w:val="24"/>
          <w:szCs w:val="24"/>
        </w:rPr>
      </w:pPr>
      <w:r>
        <w:rPr>
          <w:rFonts w:hint="eastAsia" w:ascii="宋体" w:hAnsi="宋体" w:cs="宋体"/>
          <w:sz w:val="24"/>
          <w:szCs w:val="24"/>
        </w:rPr>
        <w:t>7.1在签署本协议前，双方已经详细审阅了协议的内容，并完全了解协议各条款的法律含义。</w:t>
      </w:r>
    </w:p>
    <w:p w14:paraId="5A027044">
      <w:pPr>
        <w:spacing w:line="360" w:lineRule="auto"/>
        <w:ind w:firstLine="484" w:firstLineChars="202"/>
        <w:rPr>
          <w:rFonts w:ascii="宋体" w:hAnsi="宋体" w:cs="宋体"/>
          <w:b/>
          <w:sz w:val="24"/>
          <w:szCs w:val="24"/>
        </w:rPr>
      </w:pPr>
      <w:r>
        <w:rPr>
          <w:rFonts w:hint="eastAsia" w:ascii="宋体" w:hAnsi="宋体" w:cs="宋体"/>
          <w:sz w:val="24"/>
          <w:szCs w:val="24"/>
        </w:rPr>
        <w:t>7.2双方在本协议履行过程中相互发出或者提供的所有通知、文件、文书、资料等，均以本协议所列明的地址送达。一方如果迁址或者变更电话，应当及时通知对方，否则自行承担相应后果。</w:t>
      </w:r>
    </w:p>
    <w:p w14:paraId="14747B85">
      <w:pPr>
        <w:spacing w:line="360" w:lineRule="auto"/>
        <w:ind w:firstLine="487" w:firstLineChars="202"/>
        <w:rPr>
          <w:rFonts w:ascii="宋体" w:hAnsi="宋体" w:cs="宋体"/>
          <w:b/>
          <w:sz w:val="24"/>
          <w:szCs w:val="24"/>
        </w:rPr>
      </w:pPr>
      <w:r>
        <w:rPr>
          <w:rFonts w:hint="eastAsia" w:ascii="宋体" w:hAnsi="宋体" w:cs="宋体"/>
          <w:b/>
          <w:sz w:val="24"/>
          <w:szCs w:val="24"/>
        </w:rPr>
        <w:t>8.协议的效力和变更</w:t>
      </w:r>
    </w:p>
    <w:p w14:paraId="4FC9A635">
      <w:pPr>
        <w:spacing w:line="360" w:lineRule="auto"/>
        <w:ind w:firstLine="484" w:firstLineChars="202"/>
        <w:rPr>
          <w:rFonts w:ascii="宋体" w:hAnsi="宋体" w:cs="宋体"/>
          <w:sz w:val="24"/>
          <w:szCs w:val="24"/>
        </w:rPr>
      </w:pPr>
      <w:r>
        <w:rPr>
          <w:rFonts w:hint="eastAsia" w:ascii="宋体" w:hAnsi="宋体" w:cs="宋体"/>
          <w:sz w:val="24"/>
          <w:szCs w:val="24"/>
        </w:rPr>
        <w:t>8.1本协议自双方签字盖章之日起生效。</w:t>
      </w:r>
    </w:p>
    <w:p w14:paraId="556E8EF6">
      <w:pPr>
        <w:spacing w:line="360" w:lineRule="auto"/>
        <w:ind w:firstLine="484" w:firstLineChars="202"/>
        <w:rPr>
          <w:rFonts w:ascii="宋体" w:hAnsi="宋体" w:cs="宋体"/>
          <w:sz w:val="24"/>
          <w:szCs w:val="24"/>
        </w:rPr>
      </w:pPr>
      <w:r>
        <w:rPr>
          <w:rFonts w:hint="eastAsia" w:ascii="宋体" w:hAnsi="宋体" w:cs="宋体"/>
          <w:sz w:val="24"/>
          <w:szCs w:val="24"/>
        </w:rPr>
        <w:t>8.2本协议的任何修改必须经过双方的书面同意。</w:t>
      </w:r>
    </w:p>
    <w:p w14:paraId="03FB0B5C">
      <w:pPr>
        <w:spacing w:line="360" w:lineRule="auto"/>
        <w:ind w:firstLine="484" w:firstLineChars="202"/>
        <w:rPr>
          <w:rFonts w:ascii="宋体" w:hAnsi="宋体" w:cs="宋体"/>
          <w:b/>
          <w:sz w:val="24"/>
          <w:szCs w:val="24"/>
        </w:rPr>
      </w:pPr>
      <w:r>
        <w:rPr>
          <w:rFonts w:hint="eastAsia" w:ascii="宋体" w:hAnsi="宋体" w:cs="宋体"/>
          <w:sz w:val="24"/>
          <w:szCs w:val="24"/>
        </w:rPr>
        <w:t>8.3本协议为主合同不可缺少之部分，与主合同具有同等法律效力。</w:t>
      </w:r>
    </w:p>
    <w:p w14:paraId="7AD7E7D5">
      <w:pPr>
        <w:spacing w:line="360" w:lineRule="auto"/>
        <w:ind w:firstLine="484" w:firstLineChars="202"/>
        <w:rPr>
          <w:rFonts w:hint="eastAsia" w:ascii="宋体" w:hAnsi="宋体" w:cs="宋体"/>
          <w:sz w:val="24"/>
          <w:szCs w:val="24"/>
        </w:rPr>
      </w:pPr>
      <w:r>
        <w:rPr>
          <w:rFonts w:hint="eastAsia" w:ascii="宋体" w:hAnsi="宋体" w:cs="宋体"/>
          <w:sz w:val="24"/>
          <w:szCs w:val="24"/>
        </w:rPr>
        <w:t>9.本协议一式</w:t>
      </w:r>
      <w:r>
        <w:rPr>
          <w:rFonts w:hint="eastAsia" w:ascii="宋体" w:hAnsi="宋体" w:cs="宋体"/>
          <w:sz w:val="24"/>
          <w:szCs w:val="24"/>
          <w:u w:val="single"/>
        </w:rPr>
        <w:t xml:space="preserve"> 陆 </w:t>
      </w:r>
      <w:r>
        <w:rPr>
          <w:rFonts w:hint="eastAsia" w:ascii="宋体" w:hAnsi="宋体" w:cs="宋体"/>
          <w:bCs/>
          <w:sz w:val="24"/>
          <w:szCs w:val="24"/>
        </w:rPr>
        <w:t>份，</w:t>
      </w:r>
      <w:r>
        <w:rPr>
          <w:rFonts w:hint="eastAsia" w:ascii="宋体" w:hAnsi="宋体" w:cs="宋体"/>
          <w:sz w:val="24"/>
          <w:szCs w:val="24"/>
        </w:rPr>
        <w:t>其中甲方执</w:t>
      </w:r>
      <w:r>
        <w:rPr>
          <w:rFonts w:hint="eastAsia" w:ascii="宋体" w:hAnsi="宋体" w:cs="宋体"/>
          <w:sz w:val="24"/>
          <w:szCs w:val="24"/>
          <w:u w:val="single"/>
        </w:rPr>
        <w:t xml:space="preserve"> 肆 </w:t>
      </w:r>
      <w:r>
        <w:rPr>
          <w:rFonts w:hint="eastAsia" w:ascii="宋体" w:hAnsi="宋体" w:cs="宋体"/>
          <w:sz w:val="24"/>
          <w:szCs w:val="24"/>
        </w:rPr>
        <w:t>份，乙方执</w:t>
      </w:r>
      <w:r>
        <w:rPr>
          <w:rFonts w:hint="eastAsia" w:ascii="宋体" w:hAnsi="宋体" w:cs="宋体"/>
          <w:sz w:val="24"/>
          <w:szCs w:val="24"/>
          <w:u w:val="single"/>
        </w:rPr>
        <w:t xml:space="preserve">  贰  </w:t>
      </w:r>
      <w:r>
        <w:rPr>
          <w:rFonts w:hint="eastAsia" w:ascii="宋体" w:hAnsi="宋体" w:cs="宋体"/>
          <w:sz w:val="24"/>
          <w:szCs w:val="24"/>
        </w:rPr>
        <w:t>份，具有同等法律效力。</w:t>
      </w:r>
    </w:p>
    <w:p w14:paraId="18C0A87B">
      <w:pPr>
        <w:pStyle w:val="2"/>
        <w:rPr>
          <w:rFonts w:hint="eastAsia"/>
        </w:rPr>
      </w:pPr>
    </w:p>
    <w:p w14:paraId="323B7AE1">
      <w:pPr>
        <w:spacing w:line="360" w:lineRule="auto"/>
        <w:ind w:firstLine="484" w:firstLineChars="202"/>
        <w:rPr>
          <w:rFonts w:ascii="宋体" w:hAnsi="宋体" w:cs="宋体"/>
          <w:sz w:val="24"/>
          <w:szCs w:val="24"/>
        </w:rPr>
      </w:pPr>
      <w:r>
        <w:rPr>
          <w:rFonts w:hint="eastAsia" w:ascii="宋体" w:hAnsi="宋体" w:cs="宋体"/>
          <w:sz w:val="24"/>
          <w:szCs w:val="24"/>
        </w:rPr>
        <w:t>（以下无正文）</w:t>
      </w:r>
    </w:p>
    <w:p w14:paraId="28A1AD72">
      <w:pPr>
        <w:spacing w:before="240" w:line="360" w:lineRule="auto"/>
        <w:rPr>
          <w:rFonts w:hint="eastAsia" w:ascii="宋体" w:hAnsi="宋体" w:cs="宋体"/>
          <w:bCs/>
          <w:sz w:val="24"/>
          <w:szCs w:val="24"/>
        </w:rPr>
      </w:pPr>
    </w:p>
    <w:p w14:paraId="0B757307">
      <w:pPr>
        <w:spacing w:before="240" w:line="360" w:lineRule="auto"/>
        <w:rPr>
          <w:rFonts w:hint="eastAsia" w:ascii="宋体" w:hAnsi="宋体" w:cs="宋体"/>
          <w:bCs/>
          <w:sz w:val="24"/>
          <w:szCs w:val="24"/>
        </w:rPr>
      </w:pPr>
    </w:p>
    <w:p w14:paraId="251E68B4">
      <w:pPr>
        <w:spacing w:before="240" w:line="360" w:lineRule="auto"/>
        <w:rPr>
          <w:rFonts w:hint="eastAsia" w:ascii="宋体" w:hAnsi="宋体" w:cs="宋体"/>
          <w:bCs/>
          <w:sz w:val="24"/>
          <w:szCs w:val="24"/>
        </w:rPr>
      </w:pPr>
    </w:p>
    <w:p w14:paraId="741AE1B7">
      <w:pPr>
        <w:spacing w:before="240" w:line="360" w:lineRule="auto"/>
        <w:rPr>
          <w:rFonts w:hint="eastAsia" w:ascii="宋体" w:hAnsi="宋体" w:cs="宋体"/>
          <w:bCs/>
          <w:sz w:val="24"/>
          <w:szCs w:val="24"/>
        </w:rPr>
      </w:pPr>
    </w:p>
    <w:p w14:paraId="20F8053F">
      <w:pPr>
        <w:spacing w:before="240" w:line="360" w:lineRule="auto"/>
        <w:rPr>
          <w:rFonts w:hint="eastAsia" w:ascii="宋体" w:hAnsi="宋体" w:cs="宋体" w:eastAsiaTheme="minorEastAsia"/>
          <w:bCs/>
          <w:sz w:val="24"/>
          <w:szCs w:val="24"/>
          <w:lang w:eastAsia="zh-CN"/>
        </w:rPr>
      </w:pPr>
      <w:r>
        <w:rPr>
          <w:rFonts w:hint="eastAsia" w:ascii="宋体" w:hAnsi="宋体" w:cs="宋体"/>
          <w:bCs/>
          <w:sz w:val="24"/>
          <w:szCs w:val="24"/>
        </w:rPr>
        <w:t>甲方：中山大学附属第八医院（深圳福田） 乙方:</w:t>
      </w:r>
      <w:r>
        <w:rPr>
          <w:rFonts w:hint="eastAsia" w:ascii="宋体" w:hAnsi="宋体" w:cs="宋体"/>
          <w:sz w:val="24"/>
          <w:szCs w:val="24"/>
        </w:rPr>
        <w:t xml:space="preserve"> </w:t>
      </w:r>
      <w:r>
        <w:rPr>
          <w:rFonts w:hint="eastAsia" w:ascii="宋体" w:hAnsi="宋体" w:cs="宋体"/>
          <w:bCs/>
          <w:sz w:val="24"/>
          <w:szCs w:val="24"/>
          <w:lang w:val="en-US" w:eastAsia="zh-CN"/>
        </w:rPr>
        <w:t xml:space="preserve"> </w:t>
      </w:r>
    </w:p>
    <w:p w14:paraId="53A1257C">
      <w:pPr>
        <w:spacing w:before="240" w:line="360" w:lineRule="auto"/>
        <w:rPr>
          <w:rFonts w:ascii="宋体" w:hAnsi="宋体" w:cs="宋体"/>
          <w:sz w:val="24"/>
          <w:szCs w:val="24"/>
        </w:rPr>
      </w:pPr>
      <w:r>
        <w:rPr>
          <w:rFonts w:hint="eastAsia" w:ascii="宋体" w:hAnsi="宋体" w:cs="宋体"/>
          <w:sz w:val="24"/>
          <w:szCs w:val="24"/>
        </w:rPr>
        <w:t>法定代表人（签字）：                   法定代表人（签字）：</w:t>
      </w:r>
    </w:p>
    <w:p w14:paraId="3567D3FD">
      <w:pPr>
        <w:spacing w:before="240" w:line="360" w:lineRule="auto"/>
        <w:rPr>
          <w:rFonts w:ascii="宋体" w:hAnsi="宋体" w:cs="宋体"/>
          <w:sz w:val="24"/>
          <w:szCs w:val="24"/>
        </w:rPr>
      </w:pPr>
      <w:r>
        <w:rPr>
          <w:rFonts w:hint="eastAsia" w:ascii="宋体" w:hAnsi="宋体" w:cs="宋体"/>
          <w:sz w:val="24"/>
          <w:szCs w:val="24"/>
        </w:rPr>
        <w:t>委托代理人（签字）：                   委托代理人（签字）：</w:t>
      </w:r>
    </w:p>
    <w:p w14:paraId="56E50F92">
      <w:pPr>
        <w:spacing w:before="240" w:line="360" w:lineRule="auto"/>
        <w:rPr>
          <w:rFonts w:ascii="宋体" w:hAnsi="宋体" w:cs="宋体"/>
          <w:bCs/>
          <w:sz w:val="24"/>
          <w:szCs w:val="24"/>
        </w:rPr>
      </w:pPr>
      <w:r>
        <w:rPr>
          <w:rFonts w:hint="eastAsia" w:ascii="宋体" w:hAnsi="宋体" w:cs="宋体"/>
          <w:bCs/>
          <w:sz w:val="24"/>
          <w:szCs w:val="24"/>
        </w:rPr>
        <w:t>项目联系人</w:t>
      </w:r>
      <w:r>
        <w:rPr>
          <w:rFonts w:hint="eastAsia" w:ascii="宋体" w:hAnsi="宋体" w:cs="宋体"/>
          <w:sz w:val="24"/>
          <w:szCs w:val="24"/>
        </w:rPr>
        <w:t>（签字）</w:t>
      </w:r>
      <w:r>
        <w:rPr>
          <w:rFonts w:hint="eastAsia" w:ascii="宋体" w:hAnsi="宋体" w:cs="宋体"/>
          <w:bCs/>
          <w:sz w:val="24"/>
          <w:szCs w:val="24"/>
        </w:rPr>
        <w:t>：                   项目联系人</w:t>
      </w:r>
      <w:r>
        <w:rPr>
          <w:rFonts w:hint="eastAsia" w:ascii="宋体" w:hAnsi="宋体" w:cs="宋体"/>
          <w:sz w:val="24"/>
          <w:szCs w:val="24"/>
        </w:rPr>
        <w:t>（签字）</w:t>
      </w:r>
      <w:r>
        <w:rPr>
          <w:rFonts w:hint="eastAsia" w:ascii="宋体" w:hAnsi="宋体" w:cs="宋体"/>
          <w:bCs/>
          <w:sz w:val="24"/>
          <w:szCs w:val="24"/>
        </w:rPr>
        <w:t xml:space="preserve">：    </w:t>
      </w:r>
    </w:p>
    <w:p w14:paraId="326F9600">
      <w:pPr>
        <w:spacing w:line="360" w:lineRule="auto"/>
        <w:rPr>
          <w:rFonts w:ascii="宋体" w:hAnsi="宋体" w:cs="宋体"/>
          <w:bCs/>
          <w:sz w:val="24"/>
          <w:szCs w:val="24"/>
        </w:rPr>
      </w:pPr>
      <w:r>
        <w:rPr>
          <w:rFonts w:hint="eastAsia" w:ascii="宋体" w:hAnsi="宋体" w:cs="宋体"/>
          <w:bCs/>
          <w:sz w:val="24"/>
          <w:szCs w:val="24"/>
        </w:rPr>
        <w:t>签订日期：     年  月  日             签订日期：     年  月  日</w:t>
      </w:r>
    </w:p>
    <w:p w14:paraId="7C8C210C">
      <w:pPr>
        <w:spacing w:before="156" w:beforeLines="50" w:after="156" w:afterLines="50" w:line="400" w:lineRule="exact"/>
        <w:rPr>
          <w:rFonts w:hint="eastAsia" w:ascii="宋体" w:hAnsi="宋体"/>
          <w:bCs/>
          <w:sz w:val="28"/>
          <w:szCs w:val="28"/>
          <w:highlight w:val="yellow"/>
        </w:rPr>
      </w:pPr>
    </w:p>
    <w:p w14:paraId="643CB462">
      <w:pPr>
        <w:pStyle w:val="2"/>
        <w:rPr>
          <w:rFonts w:hint="eastAsia" w:ascii="宋体" w:hAnsi="宋体"/>
          <w:bCs/>
          <w:sz w:val="28"/>
          <w:szCs w:val="28"/>
          <w:highlight w:val="yellow"/>
        </w:rPr>
      </w:pPr>
    </w:p>
    <w:p w14:paraId="2696D404">
      <w:pPr>
        <w:rPr>
          <w:rFonts w:hint="eastAsia" w:ascii="宋体" w:hAnsi="宋体"/>
          <w:bCs/>
          <w:sz w:val="28"/>
          <w:szCs w:val="28"/>
          <w:highlight w:val="yellow"/>
        </w:rPr>
      </w:pPr>
    </w:p>
    <w:p w14:paraId="6E69C373">
      <w:pPr>
        <w:pStyle w:val="2"/>
        <w:rPr>
          <w:rFonts w:hint="eastAsia" w:ascii="宋体" w:hAnsi="宋体"/>
          <w:bCs/>
          <w:sz w:val="28"/>
          <w:szCs w:val="28"/>
          <w:highlight w:val="yellow"/>
        </w:rPr>
      </w:pPr>
    </w:p>
    <w:p w14:paraId="77927D3A">
      <w:pPr>
        <w:rPr>
          <w:rFonts w:hint="eastAsia"/>
          <w:highlight w:val="yellow"/>
        </w:rPr>
      </w:pPr>
    </w:p>
    <w:p w14:paraId="68F2FEDA">
      <w:pPr>
        <w:pStyle w:val="2"/>
        <w:rPr>
          <w:rFonts w:hint="eastAsia"/>
          <w:highlight w:val="yellow"/>
        </w:rPr>
      </w:pPr>
    </w:p>
    <w:p w14:paraId="03A0F092">
      <w:pPr>
        <w:rPr>
          <w:rFonts w:hint="eastAsia"/>
          <w:highlight w:val="yellow"/>
        </w:rPr>
      </w:pPr>
    </w:p>
    <w:p w14:paraId="4E0893DD">
      <w:pPr>
        <w:pStyle w:val="2"/>
        <w:rPr>
          <w:rFonts w:hint="eastAsia"/>
          <w:highlight w:val="yellow"/>
        </w:rPr>
      </w:pPr>
    </w:p>
    <w:p w14:paraId="4AB1C6D6">
      <w:pPr>
        <w:rPr>
          <w:rFonts w:hint="eastAsia"/>
          <w:highlight w:val="yellow"/>
        </w:rPr>
      </w:pPr>
    </w:p>
    <w:p w14:paraId="76E08357">
      <w:pPr>
        <w:pStyle w:val="2"/>
        <w:rPr>
          <w:rFonts w:hint="eastAsia"/>
          <w:highlight w:val="yellow"/>
        </w:rPr>
      </w:pPr>
    </w:p>
    <w:p w14:paraId="27894382">
      <w:pPr>
        <w:rPr>
          <w:rFonts w:hint="eastAsia"/>
          <w:highlight w:val="yellow"/>
        </w:rPr>
      </w:pPr>
    </w:p>
    <w:p w14:paraId="48AB04E7">
      <w:pPr>
        <w:pStyle w:val="2"/>
        <w:rPr>
          <w:rFonts w:hint="eastAsia"/>
          <w:highlight w:val="yellow"/>
        </w:rPr>
      </w:pPr>
    </w:p>
    <w:p w14:paraId="469D10D1">
      <w:pPr>
        <w:rPr>
          <w:rFonts w:hint="eastAsia"/>
          <w:highlight w:val="yellow"/>
        </w:rPr>
      </w:pPr>
    </w:p>
    <w:p w14:paraId="5F08E581">
      <w:pPr>
        <w:pStyle w:val="2"/>
        <w:rPr>
          <w:rFonts w:hint="eastAsia"/>
          <w:highlight w:val="yellow"/>
        </w:rPr>
      </w:pPr>
    </w:p>
    <w:p w14:paraId="3B245542">
      <w:pPr>
        <w:rPr>
          <w:rFonts w:hint="eastAsia"/>
          <w:highlight w:val="yellow"/>
        </w:rPr>
      </w:pPr>
    </w:p>
    <w:p w14:paraId="694F1B5F">
      <w:pPr>
        <w:pStyle w:val="2"/>
        <w:rPr>
          <w:rFonts w:hint="eastAsia"/>
          <w:highlight w:val="yellow"/>
        </w:rPr>
      </w:pPr>
    </w:p>
    <w:p w14:paraId="385A9931">
      <w:pPr>
        <w:rPr>
          <w:rFonts w:hint="eastAsia"/>
          <w:highlight w:val="yellow"/>
        </w:rPr>
      </w:pPr>
    </w:p>
    <w:p w14:paraId="5C12FE06">
      <w:pPr>
        <w:pStyle w:val="2"/>
        <w:rPr>
          <w:rFonts w:hint="eastAsia"/>
          <w:highlight w:val="yellow"/>
        </w:rPr>
      </w:pPr>
    </w:p>
    <w:p w14:paraId="4C81A454">
      <w:pPr>
        <w:rPr>
          <w:rFonts w:hint="eastAsia"/>
          <w:highlight w:val="yellow"/>
        </w:rPr>
      </w:pPr>
    </w:p>
    <w:p w14:paraId="032F28F9">
      <w:pPr>
        <w:pStyle w:val="2"/>
        <w:rPr>
          <w:rFonts w:hint="eastAsia"/>
          <w:highlight w:val="yellow"/>
        </w:rPr>
      </w:pPr>
    </w:p>
    <w:p w14:paraId="4002DB67">
      <w:pPr>
        <w:rPr>
          <w:rFonts w:hint="eastAsia"/>
          <w:highlight w:val="yellow"/>
        </w:rPr>
      </w:pPr>
    </w:p>
    <w:p w14:paraId="076217EF">
      <w:pPr>
        <w:rPr>
          <w:rFonts w:hint="eastAsia"/>
          <w:highlight w:val="yellow"/>
        </w:rPr>
      </w:pPr>
    </w:p>
    <w:p w14:paraId="39ACD519"/>
    <w:p w14:paraId="6C28B845">
      <w:pPr>
        <w:pStyle w:val="2"/>
        <w:rPr>
          <w:rFonts w:hint="eastAsia"/>
        </w:rPr>
      </w:pPr>
    </w:p>
    <w:p w14:paraId="3069CFD1">
      <w:pPr>
        <w:pStyle w:val="41"/>
        <w:spacing w:line="360" w:lineRule="auto"/>
        <w:ind w:firstLine="0" w:firstLineChars="0"/>
        <w:outlineLvl w:val="2"/>
        <w:rPr>
          <w:rFonts w:hint="eastAsia" w:ascii="宋体" w:hAnsi="宋体" w:cs="宋体"/>
          <w:b/>
          <w:sz w:val="24"/>
          <w:szCs w:val="24"/>
        </w:rPr>
      </w:pPr>
      <w:r>
        <w:rPr>
          <w:rFonts w:hint="eastAsia" w:ascii="宋体" w:hAnsi="宋体" w:cs="宋体"/>
          <w:b/>
          <w:sz w:val="24"/>
          <w:szCs w:val="24"/>
        </w:rPr>
        <w:t>附件2：维保细则（含技术要求）</w:t>
      </w:r>
    </w:p>
    <w:p w14:paraId="50A306F9">
      <w:pPr>
        <w:pStyle w:val="41"/>
        <w:numPr>
          <w:ilvl w:val="0"/>
          <w:numId w:val="18"/>
        </w:numPr>
        <w:spacing w:line="360" w:lineRule="auto"/>
        <w:ind w:firstLineChars="0"/>
        <w:outlineLvl w:val="2"/>
        <w:rPr>
          <w:rFonts w:hint="eastAsia" w:ascii="宋体" w:hAnsi="宋体" w:cs="宋体"/>
          <w:b/>
          <w:sz w:val="24"/>
          <w:szCs w:val="24"/>
        </w:rPr>
      </w:pPr>
      <w:r>
        <w:rPr>
          <w:rFonts w:hint="eastAsia" w:ascii="宋体" w:hAnsi="宋体" w:cs="宋体"/>
          <w:b/>
          <w:sz w:val="24"/>
          <w:szCs w:val="24"/>
        </w:rPr>
        <w:t>技术参数</w:t>
      </w:r>
    </w:p>
    <w:tbl>
      <w:tblPr>
        <w:tblStyle w:val="2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1418"/>
        <w:gridCol w:w="5670"/>
      </w:tblGrid>
      <w:tr w14:paraId="57AE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04" w:type="dxa"/>
            <w:noWrap w:val="0"/>
            <w:vAlign w:val="center"/>
          </w:tcPr>
          <w:p w14:paraId="4C2C5C30">
            <w:pPr>
              <w:jc w:val="center"/>
              <w:rPr>
                <w:rFonts w:ascii="宋体" w:hAnsi="宋体" w:cs="宋体"/>
                <w:b/>
                <w:bCs/>
                <w:szCs w:val="21"/>
              </w:rPr>
            </w:pPr>
            <w:r>
              <w:rPr>
                <w:rFonts w:hint="eastAsia" w:ascii="宋体" w:hAnsi="宋体" w:cs="宋体"/>
                <w:b/>
                <w:bCs/>
                <w:szCs w:val="21"/>
              </w:rPr>
              <w:t>序号</w:t>
            </w:r>
          </w:p>
        </w:tc>
        <w:tc>
          <w:tcPr>
            <w:tcW w:w="1134" w:type="dxa"/>
            <w:noWrap w:val="0"/>
            <w:vAlign w:val="center"/>
          </w:tcPr>
          <w:p w14:paraId="6F2FEED3">
            <w:pPr>
              <w:jc w:val="center"/>
              <w:rPr>
                <w:rFonts w:ascii="宋体" w:hAnsi="宋体" w:cs="宋体"/>
                <w:b/>
                <w:bCs/>
                <w:szCs w:val="21"/>
              </w:rPr>
            </w:pPr>
            <w:r>
              <w:rPr>
                <w:rFonts w:hint="eastAsia" w:ascii="宋体" w:hAnsi="宋体" w:cs="宋体"/>
                <w:b/>
                <w:bCs/>
                <w:szCs w:val="21"/>
              </w:rPr>
              <w:t>项目</w:t>
            </w:r>
          </w:p>
        </w:tc>
        <w:tc>
          <w:tcPr>
            <w:tcW w:w="1418" w:type="dxa"/>
            <w:noWrap w:val="0"/>
            <w:vAlign w:val="center"/>
          </w:tcPr>
          <w:p w14:paraId="0BCB6948">
            <w:pPr>
              <w:jc w:val="center"/>
              <w:rPr>
                <w:rFonts w:ascii="宋体" w:hAnsi="宋体" w:cs="宋体"/>
                <w:b/>
                <w:bCs/>
                <w:szCs w:val="21"/>
              </w:rPr>
            </w:pPr>
            <w:r>
              <w:rPr>
                <w:rFonts w:hint="eastAsia" w:ascii="宋体" w:hAnsi="宋体" w:cs="宋体"/>
                <w:b/>
                <w:bCs/>
                <w:szCs w:val="21"/>
              </w:rPr>
              <w:t>明细</w:t>
            </w:r>
          </w:p>
        </w:tc>
        <w:tc>
          <w:tcPr>
            <w:tcW w:w="5670" w:type="dxa"/>
            <w:noWrap w:val="0"/>
            <w:vAlign w:val="center"/>
          </w:tcPr>
          <w:p w14:paraId="4288E1EB">
            <w:pPr>
              <w:jc w:val="center"/>
              <w:rPr>
                <w:rFonts w:ascii="宋体" w:hAnsi="宋体" w:cs="宋体"/>
                <w:b/>
                <w:bCs/>
                <w:szCs w:val="21"/>
              </w:rPr>
            </w:pPr>
            <w:r>
              <w:rPr>
                <w:rFonts w:hint="eastAsia" w:ascii="宋体" w:hAnsi="宋体" w:cs="宋体"/>
                <w:b/>
                <w:bCs/>
                <w:szCs w:val="21"/>
              </w:rPr>
              <w:t>技术参数</w:t>
            </w:r>
          </w:p>
        </w:tc>
      </w:tr>
      <w:tr w14:paraId="138C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4" w:type="dxa"/>
            <w:vMerge w:val="restart"/>
            <w:noWrap w:val="0"/>
            <w:vAlign w:val="center"/>
          </w:tcPr>
          <w:p w14:paraId="3E0CC307">
            <w:pPr>
              <w:jc w:val="center"/>
              <w:rPr>
                <w:rFonts w:ascii="宋体" w:hAnsi="宋体" w:cs="宋体"/>
                <w:szCs w:val="21"/>
              </w:rPr>
            </w:pPr>
            <w:r>
              <w:rPr>
                <w:rFonts w:hint="eastAsia" w:ascii="宋体" w:hAnsi="宋体" w:cs="宋体"/>
                <w:szCs w:val="21"/>
              </w:rPr>
              <w:t>1</w:t>
            </w:r>
          </w:p>
        </w:tc>
        <w:tc>
          <w:tcPr>
            <w:tcW w:w="1134" w:type="dxa"/>
            <w:vMerge w:val="restart"/>
            <w:noWrap w:val="0"/>
            <w:vAlign w:val="center"/>
          </w:tcPr>
          <w:p w14:paraId="5A032852">
            <w:pPr>
              <w:jc w:val="center"/>
              <w:rPr>
                <w:rFonts w:ascii="宋体" w:hAnsi="宋体" w:cs="宋体"/>
                <w:szCs w:val="21"/>
              </w:rPr>
            </w:pPr>
            <w:r>
              <w:rPr>
                <w:rFonts w:hint="eastAsia" w:ascii="宋体" w:hAnsi="宋体" w:cs="宋体"/>
                <w:szCs w:val="21"/>
              </w:rPr>
              <w:t>数字证书运维服务</w:t>
            </w:r>
          </w:p>
        </w:tc>
        <w:tc>
          <w:tcPr>
            <w:tcW w:w="1418" w:type="dxa"/>
            <w:vMerge w:val="restart"/>
            <w:noWrap w:val="0"/>
            <w:vAlign w:val="center"/>
          </w:tcPr>
          <w:p w14:paraId="14393021">
            <w:pPr>
              <w:pStyle w:val="41"/>
              <w:numPr>
                <w:ilvl w:val="1"/>
                <w:numId w:val="7"/>
              </w:numPr>
              <w:ind w:left="355" w:firstLineChars="0"/>
              <w:rPr>
                <w:rFonts w:ascii="宋体" w:hAnsi="宋体" w:cs="宋体"/>
                <w:szCs w:val="21"/>
              </w:rPr>
            </w:pPr>
            <w:r>
              <w:rPr>
                <w:rFonts w:hint="eastAsia" w:ascii="宋体" w:hAnsi="宋体" w:cs="宋体"/>
                <w:szCs w:val="21"/>
              </w:rPr>
              <w:t>整体要求</w:t>
            </w:r>
          </w:p>
        </w:tc>
        <w:tc>
          <w:tcPr>
            <w:tcW w:w="5670" w:type="dxa"/>
            <w:noWrap w:val="0"/>
            <w:vAlign w:val="center"/>
          </w:tcPr>
          <w:p w14:paraId="7B2C4B93">
            <w:pPr>
              <w:spacing w:line="288" w:lineRule="auto"/>
              <w:jc w:val="left"/>
              <w:rPr>
                <w:rFonts w:ascii="宋体" w:hAnsi="宋体" w:cs="宋体"/>
                <w:szCs w:val="21"/>
              </w:rPr>
            </w:pPr>
            <w:r>
              <w:rPr>
                <w:rFonts w:hint="eastAsia" w:ascii="宋体" w:hAnsi="宋体" w:cs="宋体"/>
                <w:szCs w:val="21"/>
              </w:rPr>
              <w:t>更新甲方现有的云签署个人证书。</w:t>
            </w:r>
          </w:p>
        </w:tc>
      </w:tr>
      <w:tr w14:paraId="0C5E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Merge w:val="continue"/>
            <w:noWrap w:val="0"/>
            <w:vAlign w:val="center"/>
          </w:tcPr>
          <w:p w14:paraId="597474BE">
            <w:pPr>
              <w:jc w:val="center"/>
              <w:rPr>
                <w:rFonts w:ascii="宋体" w:hAnsi="宋体" w:cs="宋体"/>
                <w:szCs w:val="21"/>
              </w:rPr>
            </w:pPr>
          </w:p>
        </w:tc>
        <w:tc>
          <w:tcPr>
            <w:tcW w:w="1134" w:type="dxa"/>
            <w:vMerge w:val="continue"/>
            <w:noWrap w:val="0"/>
            <w:vAlign w:val="center"/>
          </w:tcPr>
          <w:p w14:paraId="513F4412">
            <w:pPr>
              <w:jc w:val="center"/>
              <w:rPr>
                <w:rFonts w:ascii="宋体" w:hAnsi="宋体" w:cs="宋体"/>
                <w:szCs w:val="21"/>
              </w:rPr>
            </w:pPr>
          </w:p>
        </w:tc>
        <w:tc>
          <w:tcPr>
            <w:tcW w:w="1418" w:type="dxa"/>
            <w:vMerge w:val="continue"/>
            <w:noWrap w:val="0"/>
            <w:vAlign w:val="center"/>
          </w:tcPr>
          <w:p w14:paraId="65665425">
            <w:pPr>
              <w:pStyle w:val="41"/>
              <w:numPr>
                <w:ilvl w:val="1"/>
                <w:numId w:val="7"/>
              </w:numPr>
              <w:ind w:left="355" w:firstLineChars="0"/>
              <w:rPr>
                <w:rFonts w:ascii="宋体" w:hAnsi="宋体" w:cs="宋体"/>
                <w:szCs w:val="21"/>
              </w:rPr>
            </w:pPr>
          </w:p>
        </w:tc>
        <w:tc>
          <w:tcPr>
            <w:tcW w:w="5670" w:type="dxa"/>
            <w:noWrap w:val="0"/>
            <w:vAlign w:val="center"/>
          </w:tcPr>
          <w:p w14:paraId="7C3BAA46">
            <w:pPr>
              <w:spacing w:line="288" w:lineRule="auto"/>
              <w:jc w:val="left"/>
              <w:rPr>
                <w:rFonts w:ascii="宋体" w:hAnsi="宋体" w:cs="宋体"/>
                <w:szCs w:val="21"/>
              </w:rPr>
            </w:pPr>
            <w:r>
              <w:rPr>
                <w:rFonts w:hint="eastAsia" w:ascii="宋体" w:hAnsi="宋体" w:cs="宋体"/>
                <w:szCs w:val="21"/>
              </w:rPr>
              <w:t>★乙方须对甲方现有使用的所有证书进行更新服务（ukey证书有效使用量至少1177条、云签证书有效使用量至少1290条）。乙方提供承诺函；</w:t>
            </w:r>
          </w:p>
        </w:tc>
      </w:tr>
      <w:tr w14:paraId="78A5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4" w:type="dxa"/>
            <w:vMerge w:val="continue"/>
            <w:noWrap w:val="0"/>
            <w:vAlign w:val="center"/>
          </w:tcPr>
          <w:p w14:paraId="1DEF367D">
            <w:pPr>
              <w:jc w:val="center"/>
              <w:rPr>
                <w:rFonts w:ascii="宋体" w:hAnsi="宋体" w:cs="宋体"/>
                <w:szCs w:val="21"/>
              </w:rPr>
            </w:pPr>
          </w:p>
        </w:tc>
        <w:tc>
          <w:tcPr>
            <w:tcW w:w="1134" w:type="dxa"/>
            <w:vMerge w:val="continue"/>
            <w:noWrap w:val="0"/>
            <w:vAlign w:val="center"/>
          </w:tcPr>
          <w:p w14:paraId="4A644557">
            <w:pPr>
              <w:jc w:val="center"/>
              <w:rPr>
                <w:rFonts w:ascii="宋体" w:hAnsi="宋体" w:cs="宋体"/>
                <w:szCs w:val="21"/>
              </w:rPr>
            </w:pPr>
          </w:p>
        </w:tc>
        <w:tc>
          <w:tcPr>
            <w:tcW w:w="1418" w:type="dxa"/>
            <w:vMerge w:val="restart"/>
            <w:noWrap w:val="0"/>
            <w:vAlign w:val="center"/>
          </w:tcPr>
          <w:p w14:paraId="3B598C2D">
            <w:pPr>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云签署个人证书更新服务</w:t>
            </w:r>
          </w:p>
        </w:tc>
        <w:tc>
          <w:tcPr>
            <w:tcW w:w="5670" w:type="dxa"/>
            <w:noWrap w:val="0"/>
            <w:vAlign w:val="center"/>
          </w:tcPr>
          <w:p w14:paraId="1D763F84">
            <w:pPr>
              <w:spacing w:line="288" w:lineRule="auto"/>
              <w:rPr>
                <w:rFonts w:ascii="宋体" w:hAnsi="宋体" w:cs="宋体"/>
                <w:szCs w:val="21"/>
              </w:rPr>
            </w:pPr>
            <w:r>
              <w:rPr>
                <w:rFonts w:hint="eastAsia" w:ascii="宋体" w:hAnsi="宋体" w:cs="宋体"/>
                <w:szCs w:val="21"/>
              </w:rPr>
              <w:t>用于标识个人甲方网络身份。</w:t>
            </w:r>
          </w:p>
        </w:tc>
      </w:tr>
      <w:tr w14:paraId="7F10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04" w:type="dxa"/>
            <w:vMerge w:val="continue"/>
            <w:noWrap w:val="0"/>
            <w:vAlign w:val="center"/>
          </w:tcPr>
          <w:p w14:paraId="1A44439F">
            <w:pPr>
              <w:jc w:val="center"/>
              <w:rPr>
                <w:rFonts w:ascii="宋体" w:hAnsi="宋体" w:cs="宋体"/>
                <w:szCs w:val="21"/>
              </w:rPr>
            </w:pPr>
          </w:p>
        </w:tc>
        <w:tc>
          <w:tcPr>
            <w:tcW w:w="1134" w:type="dxa"/>
            <w:vMerge w:val="continue"/>
            <w:noWrap w:val="0"/>
            <w:vAlign w:val="center"/>
          </w:tcPr>
          <w:p w14:paraId="1CA28B14">
            <w:pPr>
              <w:jc w:val="center"/>
              <w:rPr>
                <w:rFonts w:ascii="宋体" w:hAnsi="宋体" w:cs="宋体"/>
                <w:szCs w:val="21"/>
              </w:rPr>
            </w:pPr>
          </w:p>
        </w:tc>
        <w:tc>
          <w:tcPr>
            <w:tcW w:w="1418" w:type="dxa"/>
            <w:vMerge w:val="continue"/>
            <w:noWrap w:val="0"/>
            <w:vAlign w:val="center"/>
          </w:tcPr>
          <w:p w14:paraId="6008601A">
            <w:pPr>
              <w:rPr>
                <w:rFonts w:ascii="宋体" w:hAnsi="宋体" w:cs="宋体"/>
                <w:szCs w:val="21"/>
              </w:rPr>
            </w:pPr>
          </w:p>
        </w:tc>
        <w:tc>
          <w:tcPr>
            <w:tcW w:w="5670" w:type="dxa"/>
            <w:noWrap w:val="0"/>
            <w:vAlign w:val="center"/>
          </w:tcPr>
          <w:p w14:paraId="163B9A80">
            <w:pPr>
              <w:spacing w:line="288" w:lineRule="auto"/>
              <w:rPr>
                <w:rFonts w:ascii="宋体" w:hAnsi="宋体" w:cs="宋体"/>
                <w:szCs w:val="21"/>
              </w:rPr>
            </w:pPr>
            <w:r>
              <w:rPr>
                <w:rFonts w:hint="eastAsia" w:ascii="宋体" w:hAnsi="宋体" w:cs="宋体"/>
                <w:szCs w:val="21"/>
              </w:rPr>
              <w:t>签发数字证书的电子认证系统和密钥管理系统应支持国密局要求的规范算法。</w:t>
            </w:r>
          </w:p>
        </w:tc>
      </w:tr>
      <w:tr w14:paraId="7724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04" w:type="dxa"/>
            <w:vMerge w:val="continue"/>
            <w:noWrap w:val="0"/>
            <w:vAlign w:val="center"/>
          </w:tcPr>
          <w:p w14:paraId="3297D2B1">
            <w:pPr>
              <w:jc w:val="center"/>
              <w:rPr>
                <w:rFonts w:ascii="宋体" w:hAnsi="宋体" w:cs="宋体"/>
                <w:szCs w:val="21"/>
              </w:rPr>
            </w:pPr>
          </w:p>
        </w:tc>
        <w:tc>
          <w:tcPr>
            <w:tcW w:w="1134" w:type="dxa"/>
            <w:vMerge w:val="continue"/>
            <w:noWrap w:val="0"/>
            <w:vAlign w:val="center"/>
          </w:tcPr>
          <w:p w14:paraId="6EE7A747">
            <w:pPr>
              <w:jc w:val="center"/>
              <w:rPr>
                <w:rFonts w:ascii="宋体" w:hAnsi="宋体" w:cs="宋体"/>
                <w:szCs w:val="21"/>
              </w:rPr>
            </w:pPr>
          </w:p>
        </w:tc>
        <w:tc>
          <w:tcPr>
            <w:tcW w:w="1418" w:type="dxa"/>
            <w:vMerge w:val="continue"/>
            <w:noWrap w:val="0"/>
            <w:vAlign w:val="center"/>
          </w:tcPr>
          <w:p w14:paraId="22BE6E1D">
            <w:pPr>
              <w:rPr>
                <w:rFonts w:ascii="宋体" w:hAnsi="宋体" w:cs="宋体"/>
                <w:szCs w:val="21"/>
              </w:rPr>
            </w:pPr>
          </w:p>
        </w:tc>
        <w:tc>
          <w:tcPr>
            <w:tcW w:w="5670" w:type="dxa"/>
            <w:noWrap w:val="0"/>
            <w:vAlign w:val="center"/>
          </w:tcPr>
          <w:p w14:paraId="77C88E9F">
            <w:pPr>
              <w:spacing w:line="288" w:lineRule="auto"/>
              <w:rPr>
                <w:rFonts w:ascii="宋体" w:hAnsi="宋体" w:cs="宋体"/>
                <w:szCs w:val="21"/>
              </w:rPr>
            </w:pPr>
            <w:r>
              <w:rPr>
                <w:rFonts w:hint="eastAsia" w:ascii="宋体" w:hAnsi="宋体" w:cs="宋体"/>
                <w:szCs w:val="21"/>
              </w:rPr>
              <w:t>提供现有云签署数字证书的颁发、更新和应用等服务。</w:t>
            </w:r>
          </w:p>
        </w:tc>
      </w:tr>
      <w:tr w14:paraId="5044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04" w:type="dxa"/>
            <w:vMerge w:val="continue"/>
            <w:noWrap w:val="0"/>
            <w:vAlign w:val="center"/>
          </w:tcPr>
          <w:p w14:paraId="356CEA30">
            <w:pPr>
              <w:jc w:val="center"/>
              <w:rPr>
                <w:rFonts w:ascii="宋体" w:hAnsi="宋体" w:cs="宋体"/>
                <w:szCs w:val="21"/>
              </w:rPr>
            </w:pPr>
          </w:p>
        </w:tc>
        <w:tc>
          <w:tcPr>
            <w:tcW w:w="1134" w:type="dxa"/>
            <w:vMerge w:val="continue"/>
            <w:noWrap w:val="0"/>
            <w:vAlign w:val="center"/>
          </w:tcPr>
          <w:p w14:paraId="7913892D">
            <w:pPr>
              <w:jc w:val="center"/>
              <w:rPr>
                <w:rFonts w:ascii="宋体" w:hAnsi="宋体" w:cs="宋体"/>
                <w:szCs w:val="21"/>
              </w:rPr>
            </w:pPr>
          </w:p>
        </w:tc>
        <w:tc>
          <w:tcPr>
            <w:tcW w:w="1418" w:type="dxa"/>
            <w:vMerge w:val="continue"/>
            <w:noWrap w:val="0"/>
            <w:vAlign w:val="center"/>
          </w:tcPr>
          <w:p w14:paraId="2C79642F">
            <w:pPr>
              <w:rPr>
                <w:rFonts w:ascii="宋体" w:hAnsi="宋体" w:cs="宋体"/>
                <w:szCs w:val="21"/>
              </w:rPr>
            </w:pPr>
          </w:p>
        </w:tc>
        <w:tc>
          <w:tcPr>
            <w:tcW w:w="5670" w:type="dxa"/>
            <w:noWrap w:val="0"/>
            <w:vAlign w:val="center"/>
          </w:tcPr>
          <w:p w14:paraId="07AC551B">
            <w:pPr>
              <w:spacing w:line="288" w:lineRule="auto"/>
              <w:rPr>
                <w:rFonts w:ascii="宋体" w:hAnsi="宋体" w:cs="宋体"/>
                <w:szCs w:val="21"/>
              </w:rPr>
            </w:pPr>
            <w:r>
              <w:rPr>
                <w:rFonts w:hint="eastAsia" w:ascii="宋体" w:hAnsi="宋体" w:cs="宋体"/>
                <w:szCs w:val="21"/>
              </w:rPr>
              <w:t>符合</w:t>
            </w:r>
            <w:r>
              <w:rPr>
                <w:rStyle w:val="32"/>
                <w:rFonts w:hint="eastAsia" w:ascii="Calibri" w:hAnsi="Calibri"/>
              </w:rPr>
              <w:t>国家</w:t>
            </w:r>
            <w:r>
              <w:rPr>
                <w:rFonts w:hint="eastAsia" w:ascii="宋体" w:hAnsi="宋体" w:cs="宋体"/>
                <w:szCs w:val="21"/>
              </w:rPr>
              <w:t>卫健委《卫生系统数字证书格式规范（试行）》。</w:t>
            </w:r>
          </w:p>
        </w:tc>
      </w:tr>
      <w:tr w14:paraId="3176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vMerge w:val="continue"/>
            <w:noWrap w:val="0"/>
            <w:vAlign w:val="center"/>
          </w:tcPr>
          <w:p w14:paraId="428CB3D6">
            <w:pPr>
              <w:jc w:val="center"/>
              <w:rPr>
                <w:rFonts w:ascii="宋体" w:hAnsi="宋体" w:cs="宋体"/>
                <w:szCs w:val="21"/>
              </w:rPr>
            </w:pPr>
          </w:p>
        </w:tc>
        <w:tc>
          <w:tcPr>
            <w:tcW w:w="1134" w:type="dxa"/>
            <w:vMerge w:val="continue"/>
            <w:noWrap w:val="0"/>
            <w:vAlign w:val="center"/>
          </w:tcPr>
          <w:p w14:paraId="720AFD00">
            <w:pPr>
              <w:jc w:val="center"/>
              <w:rPr>
                <w:rFonts w:ascii="宋体" w:hAnsi="宋体" w:cs="宋体"/>
                <w:szCs w:val="21"/>
              </w:rPr>
            </w:pPr>
          </w:p>
        </w:tc>
        <w:tc>
          <w:tcPr>
            <w:tcW w:w="1418" w:type="dxa"/>
            <w:vMerge w:val="continue"/>
            <w:noWrap w:val="0"/>
            <w:vAlign w:val="center"/>
          </w:tcPr>
          <w:p w14:paraId="2D116669">
            <w:pPr>
              <w:rPr>
                <w:rFonts w:ascii="宋体" w:hAnsi="宋体" w:cs="宋体"/>
                <w:szCs w:val="21"/>
              </w:rPr>
            </w:pPr>
          </w:p>
        </w:tc>
        <w:tc>
          <w:tcPr>
            <w:tcW w:w="5670" w:type="dxa"/>
            <w:noWrap w:val="0"/>
            <w:vAlign w:val="center"/>
          </w:tcPr>
          <w:p w14:paraId="412E7253">
            <w:pPr>
              <w:spacing w:line="288" w:lineRule="auto"/>
              <w:rPr>
                <w:rFonts w:ascii="宋体" w:hAnsi="宋体" w:cs="宋体"/>
                <w:szCs w:val="21"/>
              </w:rPr>
            </w:pPr>
            <w:r>
              <w:rPr>
                <w:rFonts w:hint="eastAsia" w:ascii="宋体" w:hAnsi="宋体" w:cs="宋体"/>
                <w:szCs w:val="21"/>
              </w:rPr>
              <w:t>符合</w:t>
            </w:r>
            <w:r>
              <w:rPr>
                <w:rStyle w:val="32"/>
                <w:rFonts w:hint="eastAsia" w:ascii="Calibri" w:hAnsi="Calibri"/>
              </w:rPr>
              <w:t>国家</w:t>
            </w:r>
            <w:r>
              <w:rPr>
                <w:rFonts w:hint="eastAsia" w:ascii="宋体" w:hAnsi="宋体" w:cs="宋体"/>
                <w:szCs w:val="21"/>
              </w:rPr>
              <w:t>卫健委《卫生系统电子认证服务规范（试行）》。</w:t>
            </w:r>
          </w:p>
        </w:tc>
      </w:tr>
      <w:tr w14:paraId="0EAA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continue"/>
            <w:noWrap w:val="0"/>
            <w:vAlign w:val="center"/>
          </w:tcPr>
          <w:p w14:paraId="4FED72FB">
            <w:pPr>
              <w:jc w:val="center"/>
              <w:rPr>
                <w:rFonts w:ascii="宋体" w:hAnsi="宋体" w:cs="宋体"/>
                <w:szCs w:val="21"/>
              </w:rPr>
            </w:pPr>
          </w:p>
        </w:tc>
        <w:tc>
          <w:tcPr>
            <w:tcW w:w="1134" w:type="dxa"/>
            <w:vMerge w:val="continue"/>
            <w:noWrap w:val="0"/>
            <w:vAlign w:val="center"/>
          </w:tcPr>
          <w:p w14:paraId="5FC8669E">
            <w:pPr>
              <w:jc w:val="center"/>
              <w:rPr>
                <w:rFonts w:ascii="宋体" w:hAnsi="宋体" w:cs="宋体"/>
                <w:szCs w:val="21"/>
              </w:rPr>
            </w:pPr>
          </w:p>
        </w:tc>
        <w:tc>
          <w:tcPr>
            <w:tcW w:w="1418" w:type="dxa"/>
            <w:vMerge w:val="continue"/>
            <w:noWrap w:val="0"/>
            <w:vAlign w:val="center"/>
          </w:tcPr>
          <w:p w14:paraId="3513D84F">
            <w:pPr>
              <w:rPr>
                <w:rFonts w:ascii="宋体" w:hAnsi="宋体" w:cs="宋体"/>
                <w:szCs w:val="21"/>
              </w:rPr>
            </w:pPr>
          </w:p>
        </w:tc>
        <w:tc>
          <w:tcPr>
            <w:tcW w:w="5670" w:type="dxa"/>
            <w:noWrap w:val="0"/>
            <w:vAlign w:val="center"/>
          </w:tcPr>
          <w:p w14:paraId="67C49B74">
            <w:pPr>
              <w:spacing w:line="288" w:lineRule="auto"/>
              <w:rPr>
                <w:rFonts w:ascii="宋体" w:hAnsi="宋体" w:cs="宋体"/>
                <w:szCs w:val="21"/>
              </w:rPr>
            </w:pPr>
            <w:r>
              <w:rPr>
                <w:rFonts w:hint="eastAsia" w:ascii="宋体" w:hAnsi="宋体" w:cs="宋体"/>
                <w:szCs w:val="21"/>
              </w:rPr>
              <w:t>支持自定义证书扩展域管理。</w:t>
            </w:r>
          </w:p>
        </w:tc>
      </w:tr>
      <w:tr w14:paraId="07CC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4" w:type="dxa"/>
            <w:vMerge w:val="continue"/>
            <w:noWrap w:val="0"/>
            <w:vAlign w:val="center"/>
          </w:tcPr>
          <w:p w14:paraId="1C019734">
            <w:pPr>
              <w:jc w:val="center"/>
              <w:rPr>
                <w:rFonts w:ascii="宋体" w:hAnsi="宋体" w:cs="宋体"/>
                <w:szCs w:val="21"/>
              </w:rPr>
            </w:pPr>
          </w:p>
        </w:tc>
        <w:tc>
          <w:tcPr>
            <w:tcW w:w="1134" w:type="dxa"/>
            <w:vMerge w:val="continue"/>
            <w:noWrap w:val="0"/>
            <w:vAlign w:val="center"/>
          </w:tcPr>
          <w:p w14:paraId="3E577196">
            <w:pPr>
              <w:jc w:val="center"/>
              <w:rPr>
                <w:rFonts w:ascii="宋体" w:hAnsi="宋体" w:cs="宋体"/>
                <w:szCs w:val="21"/>
              </w:rPr>
            </w:pPr>
          </w:p>
        </w:tc>
        <w:tc>
          <w:tcPr>
            <w:tcW w:w="1418" w:type="dxa"/>
            <w:vMerge w:val="continue"/>
            <w:noWrap w:val="0"/>
            <w:vAlign w:val="center"/>
          </w:tcPr>
          <w:p w14:paraId="6FCA1677">
            <w:pPr>
              <w:rPr>
                <w:rFonts w:ascii="宋体" w:hAnsi="宋体" w:cs="宋体"/>
                <w:szCs w:val="21"/>
              </w:rPr>
            </w:pPr>
          </w:p>
        </w:tc>
        <w:tc>
          <w:tcPr>
            <w:tcW w:w="5670" w:type="dxa"/>
            <w:noWrap w:val="0"/>
            <w:vAlign w:val="center"/>
          </w:tcPr>
          <w:p w14:paraId="375AB68C">
            <w:pPr>
              <w:spacing w:line="288" w:lineRule="auto"/>
              <w:rPr>
                <w:rFonts w:ascii="宋体" w:hAnsi="宋体" w:cs="宋体"/>
                <w:szCs w:val="21"/>
              </w:rPr>
            </w:pPr>
            <w:r>
              <w:rPr>
                <w:rFonts w:hint="eastAsia" w:ascii="宋体" w:hAnsi="宋体" w:cs="宋体"/>
                <w:szCs w:val="21"/>
              </w:rPr>
              <w:t>证书格式标准遵循x．509v3标准。</w:t>
            </w:r>
          </w:p>
        </w:tc>
      </w:tr>
      <w:tr w14:paraId="2012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vMerge w:val="continue"/>
            <w:noWrap w:val="0"/>
            <w:vAlign w:val="center"/>
          </w:tcPr>
          <w:p w14:paraId="574B745C">
            <w:pPr>
              <w:jc w:val="center"/>
              <w:rPr>
                <w:rFonts w:ascii="宋体" w:hAnsi="宋体" w:cs="宋体"/>
                <w:szCs w:val="21"/>
              </w:rPr>
            </w:pPr>
          </w:p>
        </w:tc>
        <w:tc>
          <w:tcPr>
            <w:tcW w:w="1134" w:type="dxa"/>
            <w:vMerge w:val="continue"/>
            <w:noWrap w:val="0"/>
            <w:vAlign w:val="center"/>
          </w:tcPr>
          <w:p w14:paraId="2EF6AC0A">
            <w:pPr>
              <w:jc w:val="center"/>
              <w:rPr>
                <w:rFonts w:ascii="宋体" w:hAnsi="宋体" w:cs="宋体"/>
                <w:szCs w:val="21"/>
              </w:rPr>
            </w:pPr>
          </w:p>
        </w:tc>
        <w:tc>
          <w:tcPr>
            <w:tcW w:w="1418" w:type="dxa"/>
            <w:vMerge w:val="continue"/>
            <w:noWrap w:val="0"/>
            <w:vAlign w:val="center"/>
          </w:tcPr>
          <w:p w14:paraId="76745B85">
            <w:pPr>
              <w:rPr>
                <w:rFonts w:ascii="宋体" w:hAnsi="宋体" w:cs="宋体"/>
                <w:szCs w:val="21"/>
              </w:rPr>
            </w:pPr>
          </w:p>
        </w:tc>
        <w:tc>
          <w:tcPr>
            <w:tcW w:w="5670" w:type="dxa"/>
            <w:noWrap w:val="0"/>
            <w:vAlign w:val="center"/>
          </w:tcPr>
          <w:p w14:paraId="7546E2CE">
            <w:pPr>
              <w:spacing w:line="288" w:lineRule="auto"/>
              <w:rPr>
                <w:rFonts w:ascii="宋体" w:hAnsi="宋体" w:cs="宋体"/>
                <w:szCs w:val="21"/>
              </w:rPr>
            </w:pPr>
            <w:r>
              <w:rPr>
                <w:rFonts w:hint="eastAsia" w:ascii="宋体" w:hAnsi="宋体" w:cs="宋体"/>
                <w:szCs w:val="21"/>
              </w:rPr>
              <w:t>提供数字证书生命周期管理服务（新增证书申请、补办、续期、注销）。</w:t>
            </w:r>
          </w:p>
        </w:tc>
      </w:tr>
      <w:tr w14:paraId="2D18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704" w:type="dxa"/>
            <w:vMerge w:val="continue"/>
            <w:noWrap w:val="0"/>
            <w:vAlign w:val="center"/>
          </w:tcPr>
          <w:p w14:paraId="3424702F">
            <w:pPr>
              <w:jc w:val="center"/>
              <w:rPr>
                <w:rFonts w:ascii="宋体" w:hAnsi="宋体" w:cs="宋体"/>
                <w:szCs w:val="21"/>
              </w:rPr>
            </w:pPr>
          </w:p>
        </w:tc>
        <w:tc>
          <w:tcPr>
            <w:tcW w:w="1134" w:type="dxa"/>
            <w:vMerge w:val="continue"/>
            <w:noWrap w:val="0"/>
            <w:vAlign w:val="center"/>
          </w:tcPr>
          <w:p w14:paraId="50341437">
            <w:pPr>
              <w:jc w:val="center"/>
              <w:rPr>
                <w:rFonts w:ascii="宋体" w:hAnsi="宋体" w:cs="宋体"/>
                <w:szCs w:val="21"/>
              </w:rPr>
            </w:pPr>
          </w:p>
        </w:tc>
        <w:tc>
          <w:tcPr>
            <w:tcW w:w="1418" w:type="dxa"/>
            <w:vMerge w:val="continue"/>
            <w:noWrap w:val="0"/>
            <w:vAlign w:val="center"/>
          </w:tcPr>
          <w:p w14:paraId="4E569F27">
            <w:pPr>
              <w:rPr>
                <w:rFonts w:ascii="宋体" w:hAnsi="宋体" w:cs="宋体"/>
                <w:szCs w:val="21"/>
              </w:rPr>
            </w:pPr>
          </w:p>
        </w:tc>
        <w:tc>
          <w:tcPr>
            <w:tcW w:w="5670" w:type="dxa"/>
            <w:noWrap w:val="0"/>
            <w:vAlign w:val="center"/>
          </w:tcPr>
          <w:p w14:paraId="1697A290">
            <w:pPr>
              <w:spacing w:line="288" w:lineRule="auto"/>
              <w:rPr>
                <w:rFonts w:ascii="宋体" w:hAnsi="宋体" w:cs="宋体"/>
                <w:szCs w:val="21"/>
              </w:rPr>
            </w:pPr>
            <w:r>
              <w:rPr>
                <w:rFonts w:hint="eastAsia" w:ascii="宋体" w:hAnsi="宋体" w:cs="宋体"/>
                <w:szCs w:val="21"/>
              </w:rPr>
              <w:t>1.乙方须持有该数字证书生产厂商出具的《电子认证服务许可证》，并通过国家卫健委复审、测试的数字证书服务机构，提供相关证明文件。</w:t>
            </w:r>
          </w:p>
          <w:p w14:paraId="45597E35">
            <w:pPr>
              <w:spacing w:line="288" w:lineRule="auto"/>
              <w:rPr>
                <w:rFonts w:ascii="宋体" w:hAnsi="宋体" w:cs="宋体"/>
                <w:szCs w:val="21"/>
                <w:highlight w:val="yellow"/>
              </w:rPr>
            </w:pPr>
            <w:r>
              <w:rPr>
                <w:rFonts w:hint="eastAsia" w:ascii="宋体" w:hAnsi="宋体" w:cs="宋体"/>
                <w:szCs w:val="21"/>
              </w:rPr>
              <w:t>2.乙方须持有该数字证书生产厂商出具的电子认证服务使用密码许可证》，提供证书复印件加盖公章。</w:t>
            </w:r>
          </w:p>
        </w:tc>
      </w:tr>
      <w:tr w14:paraId="135A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704" w:type="dxa"/>
            <w:vMerge w:val="continue"/>
            <w:noWrap w:val="0"/>
            <w:vAlign w:val="center"/>
          </w:tcPr>
          <w:p w14:paraId="36BD296E">
            <w:pPr>
              <w:jc w:val="center"/>
              <w:rPr>
                <w:rFonts w:ascii="宋体" w:hAnsi="宋体" w:cs="宋体"/>
                <w:szCs w:val="21"/>
              </w:rPr>
            </w:pPr>
          </w:p>
        </w:tc>
        <w:tc>
          <w:tcPr>
            <w:tcW w:w="1134" w:type="dxa"/>
            <w:vMerge w:val="restart"/>
            <w:noWrap w:val="0"/>
            <w:vAlign w:val="center"/>
          </w:tcPr>
          <w:p w14:paraId="7B2C24FA">
            <w:pPr>
              <w:jc w:val="center"/>
              <w:rPr>
                <w:rFonts w:ascii="宋体" w:hAnsi="宋体" w:cs="宋体"/>
                <w:bCs/>
                <w:szCs w:val="21"/>
              </w:rPr>
            </w:pPr>
            <w:r>
              <w:rPr>
                <w:rFonts w:hint="eastAsia" w:ascii="宋体" w:hAnsi="宋体" w:cs="宋体"/>
                <w:bCs/>
                <w:color w:val="000000"/>
                <w:szCs w:val="21"/>
              </w:rPr>
              <w:t>服务器证书</w:t>
            </w:r>
          </w:p>
        </w:tc>
        <w:tc>
          <w:tcPr>
            <w:tcW w:w="1418" w:type="dxa"/>
            <w:vMerge w:val="restart"/>
            <w:noWrap w:val="0"/>
            <w:vAlign w:val="center"/>
          </w:tcPr>
          <w:p w14:paraId="433139C0">
            <w:pPr>
              <w:rPr>
                <w:rFonts w:ascii="宋体" w:hAnsi="宋体" w:cs="宋体"/>
                <w:bCs/>
                <w:szCs w:val="21"/>
              </w:rPr>
            </w:pPr>
            <w:r>
              <w:rPr>
                <w:rFonts w:hint="eastAsia" w:ascii="宋体" w:hAnsi="宋体" w:cs="宋体"/>
                <w:bCs/>
                <w:szCs w:val="21"/>
              </w:rPr>
              <w:t>1.</w:t>
            </w:r>
            <w:r>
              <w:rPr>
                <w:rFonts w:ascii="宋体" w:hAnsi="宋体" w:cs="宋体"/>
                <w:bCs/>
                <w:szCs w:val="21"/>
              </w:rPr>
              <w:t>3</w:t>
            </w:r>
            <w:r>
              <w:rPr>
                <w:rFonts w:hint="eastAsia" w:ascii="宋体" w:hAnsi="宋体" w:cs="宋体"/>
                <w:bCs/>
                <w:color w:val="000000"/>
                <w:szCs w:val="21"/>
              </w:rPr>
              <w:t>功能要求</w:t>
            </w:r>
          </w:p>
        </w:tc>
        <w:tc>
          <w:tcPr>
            <w:tcW w:w="5670" w:type="dxa"/>
            <w:noWrap w:val="0"/>
            <w:vAlign w:val="center"/>
          </w:tcPr>
          <w:p w14:paraId="1C84EF05">
            <w:pPr>
              <w:spacing w:line="288" w:lineRule="auto"/>
              <w:rPr>
                <w:rFonts w:ascii="宋体" w:hAnsi="宋体" w:cs="宋体"/>
                <w:szCs w:val="21"/>
              </w:rPr>
            </w:pPr>
            <w:r>
              <w:rPr>
                <w:rFonts w:hint="eastAsia" w:ascii="宋体" w:hAnsi="宋体" w:cs="宋体"/>
                <w:color w:val="000000"/>
                <w:szCs w:val="21"/>
              </w:rPr>
              <w:t>安全通道加密数据传输，防窃取防篡改。证书直接显示网站所有权、企业信息、浏览器直观展现HTTPS、安全锁等显眼标识。</w:t>
            </w:r>
          </w:p>
        </w:tc>
      </w:tr>
      <w:tr w14:paraId="37E4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704" w:type="dxa"/>
            <w:vMerge w:val="continue"/>
            <w:noWrap w:val="0"/>
            <w:vAlign w:val="center"/>
          </w:tcPr>
          <w:p w14:paraId="036460D3">
            <w:pPr>
              <w:jc w:val="center"/>
              <w:rPr>
                <w:rFonts w:ascii="宋体" w:hAnsi="宋体" w:cs="宋体"/>
                <w:szCs w:val="21"/>
              </w:rPr>
            </w:pPr>
          </w:p>
        </w:tc>
        <w:tc>
          <w:tcPr>
            <w:tcW w:w="1134" w:type="dxa"/>
            <w:vMerge w:val="continue"/>
            <w:noWrap w:val="0"/>
            <w:vAlign w:val="center"/>
          </w:tcPr>
          <w:p w14:paraId="49EB4608">
            <w:pPr>
              <w:jc w:val="center"/>
              <w:rPr>
                <w:rFonts w:ascii="宋体" w:hAnsi="宋体" w:cs="宋体"/>
                <w:b/>
                <w:color w:val="000000"/>
                <w:szCs w:val="21"/>
              </w:rPr>
            </w:pPr>
          </w:p>
        </w:tc>
        <w:tc>
          <w:tcPr>
            <w:tcW w:w="1418" w:type="dxa"/>
            <w:vMerge w:val="continue"/>
            <w:noWrap w:val="0"/>
            <w:vAlign w:val="center"/>
          </w:tcPr>
          <w:p w14:paraId="45ED7FBE">
            <w:pPr>
              <w:rPr>
                <w:rFonts w:ascii="宋体" w:hAnsi="宋体" w:cs="宋体"/>
                <w:szCs w:val="21"/>
              </w:rPr>
            </w:pPr>
          </w:p>
        </w:tc>
        <w:tc>
          <w:tcPr>
            <w:tcW w:w="5670" w:type="dxa"/>
            <w:noWrap w:val="0"/>
            <w:vAlign w:val="center"/>
          </w:tcPr>
          <w:p w14:paraId="314B3134">
            <w:pPr>
              <w:spacing w:line="288" w:lineRule="auto"/>
              <w:rPr>
                <w:rFonts w:ascii="宋体" w:hAnsi="宋体" w:cs="宋体"/>
                <w:color w:val="000000"/>
                <w:szCs w:val="21"/>
              </w:rPr>
            </w:pPr>
            <w:r>
              <w:rPr>
                <w:rFonts w:hint="eastAsia" w:ascii="宋体" w:hAnsi="宋体" w:cs="宋体"/>
                <w:color w:val="000000"/>
                <w:szCs w:val="21"/>
              </w:rPr>
              <w:t>▲支持微软IE浏览器、火狐浏览器、</w:t>
            </w:r>
            <w:r>
              <w:rPr>
                <w:rFonts w:hint="eastAsia"/>
              </w:rPr>
              <w:t>safari浏览器</w:t>
            </w:r>
            <w:r>
              <w:rPr>
                <w:rFonts w:hint="eastAsia" w:ascii="宋体" w:hAnsi="宋体" w:cs="宋体"/>
                <w:color w:val="000000"/>
                <w:szCs w:val="21"/>
              </w:rPr>
              <w:t>。提供原厂家根证书入驻以上三类浏览器的CA信任列表的官方截图（附查询链接）。</w:t>
            </w:r>
          </w:p>
        </w:tc>
      </w:tr>
      <w:tr w14:paraId="36D8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5" w:hRule="atLeast"/>
          <w:jc w:val="center"/>
        </w:trPr>
        <w:tc>
          <w:tcPr>
            <w:tcW w:w="704" w:type="dxa"/>
            <w:vMerge w:val="continue"/>
            <w:noWrap w:val="0"/>
            <w:vAlign w:val="center"/>
          </w:tcPr>
          <w:p w14:paraId="2570B31A">
            <w:pPr>
              <w:jc w:val="center"/>
              <w:rPr>
                <w:rFonts w:ascii="宋体" w:hAnsi="宋体" w:cs="宋体"/>
                <w:szCs w:val="21"/>
              </w:rPr>
            </w:pPr>
          </w:p>
        </w:tc>
        <w:tc>
          <w:tcPr>
            <w:tcW w:w="1134" w:type="dxa"/>
            <w:vMerge w:val="continue"/>
            <w:noWrap w:val="0"/>
            <w:vAlign w:val="center"/>
          </w:tcPr>
          <w:p w14:paraId="60777401">
            <w:pPr>
              <w:jc w:val="center"/>
              <w:rPr>
                <w:rFonts w:ascii="宋体" w:hAnsi="宋体" w:cs="宋体"/>
                <w:b/>
                <w:color w:val="000000"/>
                <w:szCs w:val="21"/>
              </w:rPr>
            </w:pPr>
          </w:p>
        </w:tc>
        <w:tc>
          <w:tcPr>
            <w:tcW w:w="1418" w:type="dxa"/>
            <w:vMerge w:val="continue"/>
            <w:noWrap w:val="0"/>
            <w:vAlign w:val="center"/>
          </w:tcPr>
          <w:p w14:paraId="68274B44">
            <w:pPr>
              <w:rPr>
                <w:rFonts w:ascii="宋体" w:hAnsi="宋体" w:cs="宋体"/>
                <w:szCs w:val="21"/>
              </w:rPr>
            </w:pPr>
          </w:p>
        </w:tc>
        <w:tc>
          <w:tcPr>
            <w:tcW w:w="5670" w:type="dxa"/>
            <w:noWrap w:val="0"/>
            <w:vAlign w:val="center"/>
          </w:tcPr>
          <w:p w14:paraId="6855382C">
            <w:pPr>
              <w:spacing w:line="288" w:lineRule="auto"/>
              <w:rPr>
                <w:rFonts w:ascii="宋体" w:hAnsi="宋体" w:cs="宋体"/>
                <w:color w:val="000000"/>
                <w:szCs w:val="21"/>
              </w:rPr>
            </w:pPr>
            <w:r>
              <w:rPr>
                <w:rFonts w:hint="eastAsia" w:ascii="宋体" w:hAnsi="宋体" w:cs="宋体"/>
                <w:color w:val="000000"/>
                <w:szCs w:val="21"/>
              </w:rPr>
              <w:t>▲证书服务机构遵循 CA/Browser 论坛（CA/Browser Forum）的相关指引提供SSL 、EV SSL证书服务，SSL证书及EV SSL证书分别符合WebTrust SSL（WebTrust Principles and Criteria for Certification Authorities – SSL Baseline with Network Security v2.3）、WebTrust EV SSL（WebTrust Principles and Criteria for Certification Authorities – Extended Validation SSL V1.6.2）；提供证书服务机构过往年度(最新)WebTrust SSL、WebTrust EV SSL审计报告、国家工信部颁发《电子认证服务许可证》复印件，原件备查。</w:t>
            </w:r>
          </w:p>
        </w:tc>
      </w:tr>
    </w:tbl>
    <w:p w14:paraId="532E56AB">
      <w:pPr>
        <w:pStyle w:val="41"/>
        <w:spacing w:line="360" w:lineRule="auto"/>
        <w:ind w:left="720" w:firstLine="0" w:firstLineChars="0"/>
        <w:outlineLvl w:val="2"/>
        <w:rPr>
          <w:rFonts w:ascii="宋体" w:hAnsi="宋体" w:cs="宋体"/>
          <w:b/>
          <w:sz w:val="24"/>
          <w:szCs w:val="24"/>
        </w:rPr>
      </w:pPr>
    </w:p>
    <w:p w14:paraId="39374386">
      <w:pPr>
        <w:pStyle w:val="41"/>
        <w:spacing w:line="360" w:lineRule="auto"/>
        <w:ind w:left="992" w:firstLine="0" w:firstLineChars="0"/>
        <w:outlineLvl w:val="2"/>
        <w:rPr>
          <w:rFonts w:hint="eastAsia" w:ascii="宋体" w:hAnsi="宋体" w:cs="宋体"/>
          <w:b/>
          <w:vanish/>
          <w:sz w:val="24"/>
          <w:szCs w:val="24"/>
        </w:rPr>
      </w:pPr>
      <w:bookmarkStart w:id="26" w:name="_Toc74318717"/>
      <w:bookmarkEnd w:id="26"/>
      <w:bookmarkStart w:id="27" w:name="_Toc74319163"/>
      <w:bookmarkEnd w:id="27"/>
      <w:bookmarkStart w:id="28" w:name="_Toc74318708"/>
      <w:bookmarkEnd w:id="28"/>
      <w:bookmarkStart w:id="29" w:name="_Toc74319159"/>
      <w:bookmarkEnd w:id="29"/>
      <w:bookmarkStart w:id="30" w:name="_Toc74319170"/>
      <w:bookmarkEnd w:id="30"/>
      <w:bookmarkStart w:id="31" w:name="_Toc74319171"/>
      <w:bookmarkEnd w:id="31"/>
      <w:bookmarkStart w:id="32" w:name="_Toc74319161"/>
      <w:bookmarkEnd w:id="32"/>
      <w:bookmarkStart w:id="33" w:name="_Toc74318713"/>
      <w:bookmarkEnd w:id="33"/>
      <w:bookmarkStart w:id="34" w:name="_Toc74318709"/>
      <w:bookmarkEnd w:id="34"/>
      <w:bookmarkStart w:id="35" w:name="_Toc74318719"/>
      <w:bookmarkEnd w:id="35"/>
      <w:bookmarkStart w:id="36" w:name="_Toc74318712"/>
      <w:bookmarkEnd w:id="36"/>
      <w:bookmarkStart w:id="37" w:name="_Toc74318711"/>
      <w:bookmarkEnd w:id="37"/>
      <w:bookmarkStart w:id="38" w:name="_Toc74318718"/>
      <w:bookmarkEnd w:id="38"/>
      <w:bookmarkStart w:id="39" w:name="_Toc74318710"/>
      <w:bookmarkEnd w:id="39"/>
      <w:bookmarkStart w:id="40" w:name="_Toc74319157"/>
      <w:bookmarkEnd w:id="40"/>
      <w:bookmarkStart w:id="41" w:name="_Toc74319165"/>
      <w:bookmarkEnd w:id="41"/>
      <w:bookmarkStart w:id="42" w:name="_Toc74319160"/>
      <w:bookmarkEnd w:id="42"/>
      <w:bookmarkStart w:id="43" w:name="_Toc74318715"/>
      <w:bookmarkEnd w:id="43"/>
      <w:bookmarkStart w:id="44" w:name="_Toc74318707"/>
      <w:bookmarkEnd w:id="44"/>
      <w:bookmarkStart w:id="45" w:name="_Toc74319158"/>
      <w:bookmarkEnd w:id="45"/>
      <w:bookmarkStart w:id="46" w:name="_Toc74319164"/>
      <w:bookmarkEnd w:id="46"/>
      <w:bookmarkStart w:id="47" w:name="_Toc74319173"/>
      <w:bookmarkEnd w:id="47"/>
      <w:bookmarkStart w:id="48" w:name="_Toc74318716"/>
      <w:bookmarkEnd w:id="48"/>
      <w:bookmarkStart w:id="49" w:name="_Toc74319167"/>
      <w:bookmarkEnd w:id="49"/>
      <w:bookmarkStart w:id="50" w:name="_Toc74319162"/>
      <w:bookmarkEnd w:id="50"/>
      <w:bookmarkStart w:id="51" w:name="_Toc74318705"/>
      <w:bookmarkEnd w:id="51"/>
      <w:bookmarkStart w:id="52" w:name="_Toc74319166"/>
      <w:bookmarkEnd w:id="52"/>
      <w:bookmarkStart w:id="53" w:name="_Toc74318714"/>
      <w:bookmarkEnd w:id="53"/>
      <w:bookmarkStart w:id="54" w:name="_Toc74318721"/>
      <w:bookmarkEnd w:id="54"/>
      <w:bookmarkStart w:id="55" w:name="_Toc74319172"/>
      <w:bookmarkEnd w:id="55"/>
      <w:bookmarkStart w:id="56" w:name="_Toc74318706"/>
      <w:bookmarkEnd w:id="56"/>
      <w:bookmarkStart w:id="57" w:name="_Toc74319168"/>
      <w:bookmarkEnd w:id="57"/>
      <w:bookmarkStart w:id="58" w:name="_Toc74318720"/>
      <w:bookmarkEnd w:id="58"/>
      <w:bookmarkStart w:id="59" w:name="_Toc74319169"/>
      <w:bookmarkEnd w:id="59"/>
    </w:p>
    <w:p w14:paraId="1D7EB601">
      <w:pPr>
        <w:pStyle w:val="41"/>
        <w:spacing w:line="360" w:lineRule="auto"/>
        <w:ind w:firstLine="0" w:firstLineChars="0"/>
        <w:outlineLvl w:val="3"/>
        <w:rPr>
          <w:rFonts w:ascii="宋体" w:hAnsi="宋体" w:cs="宋体"/>
          <w:b/>
          <w:sz w:val="24"/>
          <w:szCs w:val="24"/>
        </w:rPr>
      </w:pPr>
      <w:bookmarkStart w:id="60" w:name="_Toc74388078"/>
      <w:bookmarkStart w:id="61" w:name="_Toc78341609"/>
      <w:bookmarkStart w:id="62" w:name="_Toc57278472"/>
      <w:bookmarkStart w:id="63" w:name="_Toc73851059"/>
      <w:bookmarkStart w:id="64" w:name="_Toc73845065"/>
      <w:bookmarkStart w:id="65" w:name="_Toc78766854"/>
      <w:bookmarkStart w:id="66" w:name="_Toc73850919"/>
      <w:bookmarkStart w:id="67" w:name="_Toc24127989"/>
      <w:r>
        <w:rPr>
          <w:rFonts w:hint="eastAsia" w:ascii="宋体" w:hAnsi="宋体" w:cs="宋体"/>
          <w:b/>
          <w:sz w:val="24"/>
          <w:szCs w:val="24"/>
        </w:rPr>
        <w:t>2、基本维护服务</w:t>
      </w:r>
      <w:bookmarkEnd w:id="60"/>
      <w:bookmarkEnd w:id="61"/>
      <w:bookmarkEnd w:id="62"/>
      <w:bookmarkEnd w:id="63"/>
      <w:bookmarkEnd w:id="64"/>
      <w:bookmarkEnd w:id="65"/>
      <w:bookmarkEnd w:id="66"/>
    </w:p>
    <w:p w14:paraId="4BB5083A">
      <w:pPr>
        <w:autoSpaceDE w:val="0"/>
        <w:autoSpaceDN w:val="0"/>
        <w:adjustRightInd w:val="0"/>
        <w:spacing w:line="360" w:lineRule="auto"/>
        <w:ind w:firstLine="480" w:firstLineChars="200"/>
        <w:rPr>
          <w:rFonts w:ascii="宋体" w:hAnsi="宋体" w:cs="宋体"/>
          <w:color w:val="000000"/>
          <w:sz w:val="24"/>
          <w:szCs w:val="24"/>
          <w:lang w:val="zh-CN"/>
        </w:rPr>
      </w:pPr>
      <w:r>
        <w:rPr>
          <w:rFonts w:ascii="宋体" w:hAnsi="宋体" w:cs="宋体"/>
          <w:color w:val="000000"/>
          <w:sz w:val="24"/>
          <w:szCs w:val="24"/>
          <w:lang w:val="zh-CN"/>
        </w:rPr>
        <w:t xml:space="preserve">2.1 </w:t>
      </w:r>
      <w:r>
        <w:rPr>
          <w:rFonts w:hint="eastAsia" w:ascii="宋体" w:hAnsi="宋体" w:cs="宋体"/>
          <w:color w:val="000000"/>
          <w:sz w:val="24"/>
          <w:szCs w:val="24"/>
          <w:lang w:val="zh-CN"/>
        </w:rPr>
        <w:t>乙方将定期对甲方系统进行巡回检修服务，到甲方现场进行系统检查、专业咨询等服务。将定期派人对甲方系统的工作环境、设备运行状态、性能、安全性等方面进行检查，</w:t>
      </w:r>
      <w:r>
        <w:rPr>
          <w:rFonts w:hint="eastAsia" w:ascii="宋体" w:hAnsi="宋体" w:cs="宋体"/>
          <w:color w:val="000000"/>
          <w:sz w:val="24"/>
          <w:szCs w:val="24"/>
        </w:rPr>
        <w:t>系统BUG解决、异常数据处理。</w:t>
      </w:r>
      <w:r>
        <w:rPr>
          <w:rFonts w:hint="eastAsia" w:ascii="宋体" w:hAnsi="宋体" w:cs="宋体"/>
          <w:color w:val="000000"/>
          <w:sz w:val="24"/>
          <w:szCs w:val="24"/>
          <w:lang w:val="zh-CN"/>
        </w:rPr>
        <w:t>如有问题则进行维护。</w:t>
      </w:r>
    </w:p>
    <w:p w14:paraId="083BB0D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w:t>
      </w:r>
      <w:r>
        <w:rPr>
          <w:rFonts w:ascii="宋体" w:hAnsi="宋体" w:cs="宋体"/>
          <w:color w:val="000000"/>
          <w:sz w:val="24"/>
          <w:szCs w:val="24"/>
        </w:rPr>
        <w:t>.2</w:t>
      </w:r>
      <w:r>
        <w:rPr>
          <w:rFonts w:hint="eastAsia" w:ascii="宋体" w:hAnsi="宋体" w:cs="宋体"/>
          <w:color w:val="000000"/>
          <w:sz w:val="24"/>
          <w:szCs w:val="24"/>
        </w:rPr>
        <w:t>系统的基本维护服务是基于甲方的系统相关的软硬件系统没有发生变化的前提下，乙方所提供的系统维护，包括如下几个方面：</w:t>
      </w:r>
    </w:p>
    <w:p w14:paraId="54B2E21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1）编制《系统维护服务方案》；</w:t>
      </w:r>
    </w:p>
    <w:p w14:paraId="753459E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2）指派专门的工程技术人员对系统依照《系统维护服务方案》进行系统维护；</w:t>
      </w:r>
    </w:p>
    <w:p w14:paraId="4FA7980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3）进行例行甲方回访及系统现场维护服务，对产品运行状况进行状态监测、分析，并向甲方负责人提交《系统维护服务报告》；</w:t>
      </w:r>
    </w:p>
    <w:p w14:paraId="73AC2C7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4）对甲方系统中存在的隐患予以解决；</w:t>
      </w:r>
    </w:p>
    <w:bookmarkEnd w:id="67"/>
    <w:p w14:paraId="64CD1E6A">
      <w:pPr>
        <w:pStyle w:val="41"/>
        <w:spacing w:line="360" w:lineRule="auto"/>
        <w:ind w:firstLine="0" w:firstLineChars="0"/>
        <w:outlineLvl w:val="3"/>
        <w:rPr>
          <w:rFonts w:ascii="宋体" w:hAnsi="宋体" w:cs="宋体"/>
          <w:b/>
          <w:sz w:val="24"/>
          <w:szCs w:val="24"/>
        </w:rPr>
      </w:pPr>
      <w:bookmarkStart w:id="68" w:name="_Toc74388080"/>
      <w:bookmarkStart w:id="69" w:name="_Toc73850921"/>
      <w:bookmarkStart w:id="70" w:name="_Toc78341611"/>
      <w:bookmarkStart w:id="71" w:name="_Toc78766856"/>
      <w:bookmarkStart w:id="72" w:name="_Toc57278474"/>
      <w:bookmarkStart w:id="73" w:name="_Toc73845067"/>
      <w:bookmarkStart w:id="74" w:name="_Toc73851061"/>
      <w:r>
        <w:rPr>
          <w:rFonts w:hint="eastAsia" w:ascii="宋体" w:hAnsi="宋体" w:cs="宋体"/>
          <w:b/>
          <w:sz w:val="24"/>
          <w:szCs w:val="24"/>
        </w:rPr>
        <w:t>3、升级服务</w:t>
      </w:r>
      <w:bookmarkEnd w:id="68"/>
      <w:bookmarkEnd w:id="69"/>
      <w:bookmarkEnd w:id="70"/>
      <w:bookmarkEnd w:id="71"/>
      <w:bookmarkEnd w:id="72"/>
      <w:bookmarkEnd w:id="73"/>
      <w:bookmarkEnd w:id="74"/>
    </w:p>
    <w:p w14:paraId="0EB70C11">
      <w:pPr>
        <w:spacing w:line="360" w:lineRule="auto"/>
        <w:ind w:firstLine="420"/>
        <w:rPr>
          <w:rFonts w:ascii="宋体" w:hAnsi="宋体" w:cs="宋体"/>
          <w:color w:val="000000"/>
          <w:sz w:val="24"/>
          <w:szCs w:val="24"/>
        </w:rPr>
      </w:pPr>
      <w:r>
        <w:rPr>
          <w:rFonts w:hint="eastAsia" w:ascii="宋体" w:hAnsi="宋体" w:cs="宋体"/>
          <w:color w:val="000000"/>
          <w:sz w:val="24"/>
          <w:szCs w:val="24"/>
        </w:rPr>
        <w:t>根据整体规划、分布实施、先易后难、逐步完善的系统设计原则，乙方将跟踪系统的使用状态，对系统运行期间甲方提出的新需求、政策类的变化等因素，及时更正更新系统版本，逐步完善系统。</w:t>
      </w:r>
    </w:p>
    <w:p w14:paraId="39DD828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w:t>
      </w:r>
      <w:r>
        <w:rPr>
          <w:rFonts w:ascii="宋体" w:hAnsi="宋体" w:cs="宋体"/>
          <w:color w:val="000000"/>
          <w:sz w:val="24"/>
          <w:szCs w:val="24"/>
        </w:rPr>
        <w:t>.1</w:t>
      </w:r>
      <w:r>
        <w:rPr>
          <w:rFonts w:hint="eastAsia" w:ascii="宋体" w:hAnsi="宋体" w:cs="宋体"/>
          <w:color w:val="000000"/>
          <w:sz w:val="24"/>
          <w:szCs w:val="24"/>
        </w:rPr>
        <w:t>系统升级前准备工作</w:t>
      </w:r>
    </w:p>
    <w:p w14:paraId="5D39896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1）编制《系统升级方案》；</w:t>
      </w:r>
    </w:p>
    <w:p w14:paraId="11A67B8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2）项目准备及系统升级前环境确认；</w:t>
      </w:r>
    </w:p>
    <w:p w14:paraId="359441F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3）与系统项目负责人确认系统具体升级时间；</w:t>
      </w:r>
    </w:p>
    <w:p w14:paraId="2486767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4）指派乙方工程师对系统依照《系统升级方案》进行系统升级。</w:t>
      </w:r>
    </w:p>
    <w:p w14:paraId="46C2CDC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w:t>
      </w:r>
      <w:r>
        <w:rPr>
          <w:rFonts w:ascii="宋体" w:hAnsi="宋体" w:cs="宋体"/>
          <w:color w:val="000000"/>
          <w:sz w:val="24"/>
          <w:szCs w:val="24"/>
        </w:rPr>
        <w:t>.2</w:t>
      </w:r>
      <w:r>
        <w:rPr>
          <w:rFonts w:hint="eastAsia" w:ascii="宋体" w:hAnsi="宋体" w:cs="宋体"/>
          <w:color w:val="000000"/>
          <w:sz w:val="24"/>
          <w:szCs w:val="24"/>
        </w:rPr>
        <w:t>系统升级实施</w:t>
      </w:r>
    </w:p>
    <w:p w14:paraId="0916AB8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1）服务系统升级当日，乙方工程师将准时到达甲方，系统升级现场，并向项目负责人介绍此次系统升级进度安排及工作内容；</w:t>
      </w:r>
    </w:p>
    <w:p w14:paraId="49B2E89E">
      <w:pPr>
        <w:spacing w:line="360" w:lineRule="auto"/>
        <w:ind w:firstLine="480" w:firstLineChars="200"/>
        <w:rPr>
          <w:rFonts w:ascii="宋体" w:hAnsi="宋体"/>
          <w:sz w:val="24"/>
          <w:szCs w:val="24"/>
        </w:rPr>
      </w:pPr>
      <w:r>
        <w:rPr>
          <w:rFonts w:hint="eastAsia" w:ascii="宋体" w:hAnsi="宋体" w:cs="宋体"/>
          <w:color w:val="000000"/>
          <w:sz w:val="24"/>
          <w:szCs w:val="24"/>
        </w:rPr>
        <w:t>2）乙方工程师与项目负责人一起，确认现场环境是否符合系统升级要求。</w:t>
      </w:r>
    </w:p>
    <w:p w14:paraId="5BA95D3C">
      <w:pPr>
        <w:pStyle w:val="2"/>
        <w:rPr>
          <w:rFonts w:ascii="宋体" w:hAnsi="宋体"/>
          <w:sz w:val="24"/>
          <w:szCs w:val="24"/>
        </w:rPr>
      </w:pPr>
    </w:p>
    <w:p w14:paraId="3AD62AC0">
      <w:pPr>
        <w:pStyle w:val="41"/>
        <w:spacing w:line="360" w:lineRule="auto"/>
        <w:ind w:firstLine="0" w:firstLineChars="0"/>
        <w:outlineLvl w:val="2"/>
        <w:rPr>
          <w:rFonts w:ascii="宋体" w:hAnsi="宋体" w:cs="宋体"/>
          <w:b/>
          <w:sz w:val="24"/>
          <w:szCs w:val="24"/>
        </w:rPr>
      </w:pPr>
      <w:bookmarkStart w:id="75" w:name="_Toc28522"/>
      <w:r>
        <w:rPr>
          <w:rFonts w:hint="eastAsia" w:ascii="宋体" w:hAnsi="宋体" w:cs="宋体"/>
          <w:b/>
          <w:sz w:val="24"/>
          <w:szCs w:val="24"/>
        </w:rPr>
        <w:t>4.日常技术维护</w:t>
      </w:r>
      <w:bookmarkEnd w:id="75"/>
    </w:p>
    <w:p w14:paraId="13BBC16C">
      <w:pPr>
        <w:adjustRightInd w:val="0"/>
        <w:snapToGrid w:val="0"/>
        <w:spacing w:line="360" w:lineRule="auto"/>
        <w:ind w:firstLine="480" w:firstLineChars="200"/>
        <w:rPr>
          <w:rFonts w:ascii="宋体" w:hAnsi="宋体" w:cs="宋体"/>
          <w:color w:val="000000"/>
          <w:sz w:val="24"/>
          <w:szCs w:val="24"/>
          <w:lang w:val="en-GB"/>
        </w:rPr>
      </w:pPr>
      <w:r>
        <w:rPr>
          <w:rFonts w:hint="eastAsia" w:ascii="宋体" w:hAnsi="宋体" w:cs="宋体"/>
          <w:color w:val="000000"/>
          <w:sz w:val="24"/>
          <w:szCs w:val="24"/>
          <w:lang w:val="en-GB"/>
        </w:rPr>
        <w:t>日常技术维护包括：日常巡检和周期性维护两个方面的工作、</w:t>
      </w:r>
      <w:r>
        <w:rPr>
          <w:rFonts w:hint="eastAsia" w:ascii="宋体" w:hAnsi="宋体" w:cs="宋体"/>
          <w:color w:val="000000"/>
          <w:sz w:val="24"/>
          <w:szCs w:val="24"/>
        </w:rPr>
        <w:t>指派负责维护服务的工程师、热线电话、远程支持。</w:t>
      </w:r>
    </w:p>
    <w:p w14:paraId="72E6F3C9">
      <w:pPr>
        <w:spacing w:line="360" w:lineRule="auto"/>
        <w:ind w:firstLine="480" w:firstLineChars="200"/>
        <w:rPr>
          <w:rFonts w:ascii="宋体" w:hAnsi="宋体" w:cs="宋体"/>
          <w:bCs/>
          <w:color w:val="000000"/>
          <w:sz w:val="24"/>
          <w:szCs w:val="24"/>
          <w:lang w:val="en-GB"/>
        </w:rPr>
      </w:pPr>
      <w:r>
        <w:rPr>
          <w:rFonts w:hint="eastAsia" w:ascii="宋体" w:hAnsi="宋体" w:cs="宋体"/>
          <w:bCs/>
          <w:color w:val="000000"/>
          <w:sz w:val="24"/>
          <w:szCs w:val="24"/>
        </w:rPr>
        <w:t>4.1</w:t>
      </w:r>
      <w:r>
        <w:rPr>
          <w:rFonts w:hint="eastAsia" w:ascii="宋体" w:hAnsi="宋体" w:cs="宋体"/>
          <w:bCs/>
          <w:color w:val="000000"/>
          <w:sz w:val="24"/>
          <w:szCs w:val="24"/>
          <w:lang w:val="en-GB"/>
        </w:rPr>
        <w:t>日常巡检</w:t>
      </w:r>
    </w:p>
    <w:p w14:paraId="11C4B41A">
      <w:pPr>
        <w:adjustRightInd w:val="0"/>
        <w:snapToGrid w:val="0"/>
        <w:spacing w:line="360" w:lineRule="auto"/>
        <w:ind w:firstLine="480" w:firstLineChars="200"/>
        <w:rPr>
          <w:rFonts w:ascii="宋体" w:hAnsi="宋体" w:cs="宋体"/>
          <w:color w:val="000000"/>
          <w:sz w:val="24"/>
          <w:szCs w:val="24"/>
          <w:lang w:val="en-GB"/>
        </w:rPr>
      </w:pPr>
      <w:r>
        <w:rPr>
          <w:rFonts w:hint="eastAsia" w:ascii="宋体" w:hAnsi="宋体" w:cs="宋体"/>
          <w:color w:val="000000"/>
          <w:sz w:val="24"/>
          <w:szCs w:val="24"/>
          <w:lang w:val="en-GB"/>
        </w:rPr>
        <w:t>系统日常巡检是对系统进行后台服务运行状况，进行数据处理以减少系统发生故降的概率，保证系统的稳定运行。因此乙方在系统维护方面设有专门维护人员，主要负责一般故障排除、日常设备系统巡检等工作。</w:t>
      </w:r>
    </w:p>
    <w:p w14:paraId="6041113E">
      <w:pPr>
        <w:adjustRightInd w:val="0"/>
        <w:snapToGrid w:val="0"/>
        <w:spacing w:line="360" w:lineRule="auto"/>
        <w:ind w:firstLine="480" w:firstLineChars="200"/>
        <w:rPr>
          <w:rFonts w:ascii="宋体" w:hAnsi="宋体" w:cs="宋体"/>
          <w:color w:val="000000"/>
          <w:sz w:val="24"/>
          <w:szCs w:val="24"/>
          <w:lang w:val="en-GB"/>
        </w:rPr>
      </w:pPr>
      <w:r>
        <w:rPr>
          <w:rFonts w:hint="eastAsia" w:ascii="宋体" w:hAnsi="宋体" w:cs="宋体"/>
          <w:color w:val="000000"/>
          <w:sz w:val="24"/>
          <w:szCs w:val="24"/>
          <w:lang w:val="en-GB"/>
        </w:rPr>
        <w:t>维护人员对系统进行不少于每月一次的巡检工作，以保证系统的正常运行，并通过巡检发现潜在的隐患。在完成日常保养工作后，生成巡检报告，说明维护过程中碰到的问题、症状及对故障的判断、处理方法、维护后的工作状态等内容，并由维护技术人员和医院负责人签字确认后存档。</w:t>
      </w:r>
    </w:p>
    <w:p w14:paraId="15356179">
      <w:pPr>
        <w:spacing w:line="360" w:lineRule="auto"/>
        <w:ind w:firstLine="480" w:firstLineChars="200"/>
        <w:rPr>
          <w:rFonts w:ascii="宋体" w:hAnsi="宋体" w:cs="宋体"/>
          <w:bCs/>
          <w:color w:val="000000"/>
          <w:sz w:val="24"/>
          <w:szCs w:val="24"/>
          <w:lang w:val="en-GB"/>
        </w:rPr>
      </w:pPr>
      <w:r>
        <w:rPr>
          <w:rFonts w:hint="eastAsia" w:ascii="宋体" w:hAnsi="宋体" w:cs="宋体"/>
          <w:bCs/>
          <w:color w:val="000000"/>
          <w:sz w:val="24"/>
          <w:szCs w:val="24"/>
        </w:rPr>
        <w:t>4.2</w:t>
      </w:r>
      <w:r>
        <w:rPr>
          <w:rFonts w:hint="eastAsia" w:ascii="宋体" w:hAnsi="宋体" w:cs="宋体"/>
          <w:bCs/>
          <w:color w:val="000000"/>
          <w:sz w:val="24"/>
          <w:szCs w:val="24"/>
          <w:lang w:val="en-GB"/>
        </w:rPr>
        <w:t>周期性维护</w:t>
      </w:r>
    </w:p>
    <w:p w14:paraId="1A8C6861">
      <w:pPr>
        <w:adjustRightInd w:val="0"/>
        <w:snapToGrid w:val="0"/>
        <w:spacing w:line="360" w:lineRule="auto"/>
        <w:ind w:firstLine="480" w:firstLineChars="200"/>
        <w:rPr>
          <w:rFonts w:ascii="宋体" w:hAnsi="宋体" w:cs="宋体"/>
          <w:color w:val="000000"/>
          <w:sz w:val="24"/>
          <w:szCs w:val="24"/>
          <w:lang w:val="en-GB"/>
        </w:rPr>
      </w:pPr>
      <w:r>
        <w:rPr>
          <w:rFonts w:hint="eastAsia" w:ascii="宋体" w:hAnsi="宋体" w:cs="宋体"/>
          <w:color w:val="000000"/>
          <w:sz w:val="24"/>
          <w:szCs w:val="24"/>
          <w:lang w:val="en-GB"/>
        </w:rPr>
        <w:t>周期性维护是定期对系统进行常规数据维护工作。在维护工作中及时发现问题，</w:t>
      </w:r>
      <w:r>
        <w:rPr>
          <w:rFonts w:hint="eastAsia" w:ascii="宋体" w:hAnsi="宋体" w:cs="宋体"/>
          <w:color w:val="000000"/>
          <w:sz w:val="24"/>
          <w:szCs w:val="24"/>
        </w:rPr>
        <w:t>防患</w:t>
      </w:r>
      <w:r>
        <w:rPr>
          <w:rFonts w:hint="eastAsia" w:ascii="宋体" w:hAnsi="宋体" w:cs="宋体"/>
          <w:color w:val="000000"/>
          <w:sz w:val="24"/>
          <w:szCs w:val="24"/>
          <w:lang w:val="en-GB"/>
        </w:rPr>
        <w:t>于未然，减少系统运行故障率，延长系统的高效运行效率。在故障发生之前，及时检测到故障的先兆，将故障解决在萌芽初期，尽量避免故障发生后应急抢修情况的发生。</w:t>
      </w:r>
    </w:p>
    <w:p w14:paraId="56C3DA74">
      <w:pPr>
        <w:adjustRightInd w:val="0"/>
        <w:snapToGrid w:val="0"/>
        <w:spacing w:line="360" w:lineRule="auto"/>
        <w:rPr>
          <w:rFonts w:ascii="宋体" w:hAnsi="宋体" w:cs="宋体"/>
          <w:color w:val="000000"/>
          <w:sz w:val="24"/>
          <w:szCs w:val="24"/>
        </w:rPr>
      </w:pPr>
    </w:p>
    <w:p w14:paraId="2E6C3B2A">
      <w:pPr>
        <w:spacing w:before="156" w:beforeLines="50" w:after="156" w:afterLines="50" w:line="400" w:lineRule="exact"/>
        <w:rPr>
          <w:rFonts w:hint="eastAsia" w:ascii="宋体" w:hAnsi="宋体" w:cs="宋体"/>
          <w:bCs/>
          <w:sz w:val="24"/>
          <w:szCs w:val="24"/>
        </w:rPr>
      </w:pPr>
    </w:p>
    <w:p w14:paraId="541BF7AA">
      <w:pPr>
        <w:spacing w:before="156" w:beforeLines="50" w:after="156" w:afterLines="50" w:line="400" w:lineRule="exact"/>
        <w:rPr>
          <w:rFonts w:hint="eastAsia" w:ascii="宋体" w:hAnsi="宋体" w:cs="宋体"/>
          <w:bCs/>
          <w:sz w:val="24"/>
          <w:szCs w:val="24"/>
        </w:rPr>
      </w:pPr>
    </w:p>
    <w:p w14:paraId="1603AE4B">
      <w:pPr>
        <w:spacing w:before="156" w:beforeLines="50" w:after="156" w:afterLines="50" w:line="360" w:lineRule="auto"/>
        <w:rPr>
          <w:rFonts w:hint="eastAsia" w:ascii="宋体" w:hAnsi="宋体"/>
          <w:bCs/>
          <w:sz w:val="24"/>
          <w:szCs w:val="24"/>
        </w:rPr>
      </w:pPr>
      <w:r>
        <w:rPr>
          <w:rFonts w:ascii="宋体" w:hAnsi="宋体" w:cs="宋体"/>
          <w:bCs/>
          <w:sz w:val="24"/>
          <w:szCs w:val="24"/>
        </w:rPr>
        <w:br w:type="page"/>
      </w:r>
      <w:r>
        <w:rPr>
          <w:rFonts w:hint="eastAsia" w:ascii="宋体" w:hAnsi="宋体"/>
          <w:bCs/>
          <w:sz w:val="24"/>
          <w:szCs w:val="24"/>
        </w:rPr>
        <w:t>附件3：履约考评</w:t>
      </w:r>
    </w:p>
    <w:p w14:paraId="1399A60F">
      <w:pPr>
        <w:pStyle w:val="57"/>
        <w:ind w:firstLine="0" w:firstLineChars="0"/>
        <w:jc w:val="left"/>
        <w:rPr>
          <w:rFonts w:ascii="宋体" w:hAnsi="宋体"/>
          <w:color w:val="000000"/>
        </w:rPr>
      </w:pPr>
      <w:r>
        <w:rPr>
          <w:rFonts w:hint="eastAsia" w:ascii="宋体" w:hAnsi="宋体"/>
          <w:color w:val="000000"/>
        </w:rPr>
        <w:t xml:space="preserve">    1、考核部门由医院信息科牵头，由使用部门、信息科组成的考核体系，每个季度考评一次，每年度过会决定下一年度是否续签。</w:t>
      </w:r>
    </w:p>
    <w:p w14:paraId="6401BFC1">
      <w:pPr>
        <w:pStyle w:val="57"/>
        <w:ind w:firstLine="0" w:firstLineChars="0"/>
        <w:jc w:val="left"/>
        <w:rPr>
          <w:rFonts w:ascii="宋体" w:hAnsi="宋体"/>
          <w:color w:val="000000"/>
        </w:rPr>
      </w:pPr>
      <w:r>
        <w:rPr>
          <w:rFonts w:hint="eastAsia" w:ascii="宋体" w:hAnsi="宋体"/>
          <w:color w:val="000000"/>
        </w:rPr>
        <w:t xml:space="preserve">    2、考评内容包括：①现场响应；②维保护时效；③维保完成率；④维保内系统正常运行率；⑤维保记录；⑥服务态度。</w:t>
      </w:r>
    </w:p>
    <w:p w14:paraId="43D4D10E">
      <w:pPr>
        <w:pStyle w:val="57"/>
        <w:ind w:firstLine="0" w:firstLineChars="0"/>
        <w:jc w:val="left"/>
        <w:rPr>
          <w:rFonts w:ascii="宋体" w:hAnsi="宋体"/>
          <w:color w:val="000000"/>
        </w:rPr>
      </w:pPr>
      <w:r>
        <w:rPr>
          <w:rFonts w:hint="eastAsia" w:ascii="宋体" w:hAnsi="宋体"/>
          <w:color w:val="000000"/>
        </w:rPr>
        <w:t xml:space="preserve">    3、调查问卷设定分值：很满意100分；满意90-99分；比较满意80-89分；一般60-79分；不满意40-59分；很不满意0-39分。</w:t>
      </w:r>
    </w:p>
    <w:p w14:paraId="2B086ECD">
      <w:pPr>
        <w:pStyle w:val="57"/>
        <w:ind w:firstLine="0" w:firstLineChars="0"/>
        <w:jc w:val="left"/>
        <w:rPr>
          <w:rFonts w:ascii="宋体" w:hAnsi="宋体"/>
          <w:color w:val="000000"/>
        </w:rPr>
      </w:pPr>
      <w:r>
        <w:rPr>
          <w:rFonts w:hint="eastAsia" w:ascii="宋体" w:hAnsi="宋体"/>
          <w:color w:val="000000"/>
        </w:rPr>
        <w:t xml:space="preserve">    4、考评标准设置：</w:t>
      </w:r>
    </w:p>
    <w:tbl>
      <w:tblPr>
        <w:tblStyle w:val="26"/>
        <w:tblW w:w="8580" w:type="dxa"/>
        <w:jc w:val="center"/>
        <w:tblLayout w:type="autofit"/>
        <w:tblCellMar>
          <w:top w:w="0" w:type="dxa"/>
          <w:left w:w="108" w:type="dxa"/>
          <w:bottom w:w="0" w:type="dxa"/>
          <w:right w:w="108" w:type="dxa"/>
        </w:tblCellMar>
      </w:tblPr>
      <w:tblGrid>
        <w:gridCol w:w="642"/>
        <w:gridCol w:w="1193"/>
        <w:gridCol w:w="709"/>
        <w:gridCol w:w="4111"/>
        <w:gridCol w:w="1925"/>
      </w:tblGrid>
      <w:tr w14:paraId="7EA3A232">
        <w:tblPrEx>
          <w:tblCellMar>
            <w:top w:w="0" w:type="dxa"/>
            <w:left w:w="108" w:type="dxa"/>
            <w:bottom w:w="0" w:type="dxa"/>
            <w:right w:w="108" w:type="dxa"/>
          </w:tblCellMar>
        </w:tblPrEx>
        <w:trPr>
          <w:trHeight w:val="841" w:hRule="atLeast"/>
          <w:jc w:val="center"/>
        </w:trPr>
        <w:tc>
          <w:tcPr>
            <w:tcW w:w="642" w:type="dxa"/>
            <w:tcBorders>
              <w:top w:val="single" w:color="auto" w:sz="8" w:space="0"/>
              <w:left w:val="single" w:color="auto" w:sz="8" w:space="0"/>
              <w:bottom w:val="single" w:color="auto" w:sz="4" w:space="0"/>
              <w:right w:val="single" w:color="auto" w:sz="4" w:space="0"/>
            </w:tcBorders>
            <w:noWrap/>
            <w:vAlign w:val="center"/>
          </w:tcPr>
          <w:p w14:paraId="38B4676A">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序号</w:t>
            </w:r>
          </w:p>
        </w:tc>
        <w:tc>
          <w:tcPr>
            <w:tcW w:w="1193" w:type="dxa"/>
            <w:tcBorders>
              <w:top w:val="single" w:color="auto" w:sz="8" w:space="0"/>
              <w:left w:val="nil"/>
              <w:bottom w:val="single" w:color="auto" w:sz="4" w:space="0"/>
              <w:right w:val="single" w:color="auto" w:sz="4" w:space="0"/>
            </w:tcBorders>
            <w:noWrap/>
            <w:vAlign w:val="center"/>
          </w:tcPr>
          <w:p w14:paraId="763EA1B9">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考核项目</w:t>
            </w:r>
          </w:p>
        </w:tc>
        <w:tc>
          <w:tcPr>
            <w:tcW w:w="709" w:type="dxa"/>
            <w:tcBorders>
              <w:top w:val="single" w:color="auto" w:sz="8" w:space="0"/>
              <w:left w:val="nil"/>
              <w:bottom w:val="single" w:color="auto" w:sz="4" w:space="0"/>
              <w:right w:val="single" w:color="auto" w:sz="4" w:space="0"/>
            </w:tcBorders>
            <w:noWrap/>
            <w:vAlign w:val="center"/>
          </w:tcPr>
          <w:p w14:paraId="4A23A845">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分值</w:t>
            </w:r>
          </w:p>
        </w:tc>
        <w:tc>
          <w:tcPr>
            <w:tcW w:w="4111" w:type="dxa"/>
            <w:tcBorders>
              <w:top w:val="single" w:color="auto" w:sz="8" w:space="0"/>
              <w:left w:val="nil"/>
              <w:bottom w:val="single" w:color="auto" w:sz="4" w:space="0"/>
              <w:right w:val="single" w:color="auto" w:sz="4" w:space="0"/>
            </w:tcBorders>
            <w:noWrap/>
            <w:vAlign w:val="center"/>
          </w:tcPr>
          <w:p w14:paraId="643331E1">
            <w:pPr>
              <w:spacing w:line="360" w:lineRule="auto"/>
              <w:ind w:firstLine="360" w:firstLineChars="150"/>
              <w:jc w:val="center"/>
              <w:rPr>
                <w:rFonts w:ascii="宋体" w:hAnsi="宋体" w:cs="Helvetica"/>
                <w:color w:val="3E3E3E"/>
                <w:kern w:val="0"/>
                <w:sz w:val="24"/>
                <w:szCs w:val="24"/>
              </w:rPr>
            </w:pPr>
            <w:r>
              <w:rPr>
                <w:rFonts w:hint="eastAsia" w:ascii="宋体" w:hAnsi="宋体" w:cs="Helvetica"/>
                <w:color w:val="3E3E3E"/>
                <w:kern w:val="0"/>
                <w:sz w:val="24"/>
                <w:szCs w:val="24"/>
              </w:rPr>
              <w:t>考核标准</w:t>
            </w:r>
          </w:p>
        </w:tc>
        <w:tc>
          <w:tcPr>
            <w:tcW w:w="1925" w:type="dxa"/>
            <w:tcBorders>
              <w:top w:val="single" w:color="auto" w:sz="8" w:space="0"/>
              <w:left w:val="nil"/>
              <w:bottom w:val="single" w:color="auto" w:sz="4" w:space="0"/>
              <w:right w:val="single" w:color="auto" w:sz="8" w:space="0"/>
            </w:tcBorders>
            <w:noWrap/>
            <w:vAlign w:val="center"/>
          </w:tcPr>
          <w:p w14:paraId="6FD3E97D">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扣分标准（各科室满意度调查表）得分=分值*系数</w:t>
            </w:r>
          </w:p>
        </w:tc>
      </w:tr>
      <w:tr w14:paraId="0472EB72">
        <w:tblPrEx>
          <w:tblCellMar>
            <w:top w:w="0" w:type="dxa"/>
            <w:left w:w="108" w:type="dxa"/>
            <w:bottom w:w="0" w:type="dxa"/>
            <w:right w:w="108" w:type="dxa"/>
          </w:tblCellMar>
        </w:tblPrEx>
        <w:trPr>
          <w:trHeight w:val="1948" w:hRule="atLeast"/>
          <w:jc w:val="center"/>
        </w:trPr>
        <w:tc>
          <w:tcPr>
            <w:tcW w:w="642" w:type="dxa"/>
            <w:tcBorders>
              <w:top w:val="nil"/>
              <w:left w:val="single" w:color="auto" w:sz="8" w:space="0"/>
              <w:bottom w:val="single" w:color="auto" w:sz="4" w:space="0"/>
              <w:right w:val="single" w:color="auto" w:sz="4" w:space="0"/>
            </w:tcBorders>
            <w:noWrap/>
            <w:vAlign w:val="center"/>
          </w:tcPr>
          <w:p w14:paraId="1E5191A8">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1</w:t>
            </w:r>
          </w:p>
        </w:tc>
        <w:tc>
          <w:tcPr>
            <w:tcW w:w="1193" w:type="dxa"/>
            <w:tcBorders>
              <w:top w:val="nil"/>
              <w:left w:val="nil"/>
              <w:bottom w:val="single" w:color="auto" w:sz="4" w:space="0"/>
              <w:right w:val="single" w:color="auto" w:sz="4" w:space="0"/>
            </w:tcBorders>
            <w:noWrap/>
            <w:vAlign w:val="center"/>
          </w:tcPr>
          <w:p w14:paraId="36D02B5F">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响应时间</w:t>
            </w:r>
          </w:p>
        </w:tc>
        <w:tc>
          <w:tcPr>
            <w:tcW w:w="709" w:type="dxa"/>
            <w:tcBorders>
              <w:top w:val="nil"/>
              <w:left w:val="nil"/>
              <w:bottom w:val="single" w:color="auto" w:sz="4" w:space="0"/>
              <w:right w:val="single" w:color="auto" w:sz="4" w:space="0"/>
            </w:tcBorders>
            <w:noWrap/>
            <w:vAlign w:val="center"/>
          </w:tcPr>
          <w:p w14:paraId="6F480FD7">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10</w:t>
            </w:r>
          </w:p>
        </w:tc>
        <w:tc>
          <w:tcPr>
            <w:tcW w:w="4111" w:type="dxa"/>
            <w:tcBorders>
              <w:top w:val="nil"/>
              <w:left w:val="nil"/>
              <w:bottom w:val="single" w:color="auto" w:sz="4" w:space="0"/>
              <w:right w:val="single" w:color="auto" w:sz="4" w:space="0"/>
            </w:tcBorders>
            <w:noWrap w:val="0"/>
            <w:vAlign w:val="center"/>
          </w:tcPr>
          <w:p w14:paraId="79703B87">
            <w:pPr>
              <w:spacing w:line="360" w:lineRule="auto"/>
              <w:jc w:val="left"/>
              <w:rPr>
                <w:rFonts w:hint="eastAsia" w:ascii="宋体" w:hAnsi="宋体" w:cs="Helvetica"/>
                <w:color w:val="3E3E3E"/>
                <w:kern w:val="0"/>
                <w:sz w:val="24"/>
                <w:szCs w:val="24"/>
              </w:rPr>
            </w:pPr>
            <w:r>
              <w:rPr>
                <w:rFonts w:hint="eastAsia" w:ascii="宋体" w:hAnsi="宋体" w:cs="Helvetica"/>
                <w:color w:val="3E3E3E"/>
                <w:kern w:val="0"/>
                <w:sz w:val="24"/>
                <w:szCs w:val="24"/>
              </w:rPr>
              <w:t>服务时间：全天候24小时，同时几个维保按轻重缓急响应，当天内响应完当天维保）并对维保做好记录（考核维保内系统维保）。</w:t>
            </w:r>
          </w:p>
          <w:p w14:paraId="64C8E4DA">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具体响应时间分两种情形，本项目为第</w:t>
            </w:r>
            <w:r>
              <w:rPr>
                <w:rFonts w:hint="eastAsia" w:ascii="宋体" w:hAnsi="宋体" w:cs="Helvetica"/>
                <w:color w:val="3E3E3E"/>
                <w:kern w:val="0"/>
                <w:sz w:val="24"/>
                <w:szCs w:val="24"/>
                <w:u w:val="single"/>
              </w:rPr>
              <w:t xml:space="preserve">  2   </w:t>
            </w:r>
            <w:r>
              <w:rPr>
                <w:rFonts w:hint="eastAsia" w:ascii="宋体" w:hAnsi="宋体" w:cs="Helvetica"/>
                <w:color w:val="3E3E3E"/>
                <w:kern w:val="0"/>
                <w:sz w:val="24"/>
                <w:szCs w:val="24"/>
              </w:rPr>
              <w:t>种情形：</w:t>
            </w:r>
          </w:p>
          <w:p w14:paraId="5D9E288B">
            <w:pPr>
              <w:spacing w:line="360" w:lineRule="auto"/>
              <w:jc w:val="left"/>
              <w:rPr>
                <w:rFonts w:hint="eastAsia" w:ascii="宋体" w:hAnsi="宋体" w:cs="Helvetica"/>
                <w:color w:val="3E3E3E"/>
                <w:kern w:val="0"/>
                <w:sz w:val="24"/>
                <w:szCs w:val="24"/>
              </w:rPr>
            </w:pPr>
            <w:r>
              <w:rPr>
                <w:rFonts w:hint="eastAsia" w:ascii="宋体" w:hAnsi="宋体" w:cs="Helvetica"/>
                <w:color w:val="3E3E3E"/>
                <w:kern w:val="0"/>
                <w:sz w:val="24"/>
                <w:szCs w:val="24"/>
              </w:rPr>
              <w:t>（1）有驻场服务：接到维保通知后即时响应，工程师即时到达服务现场（一般情况下30分钟内，应急情况下15分钟内）。</w:t>
            </w:r>
          </w:p>
          <w:p w14:paraId="20B5CBE2">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（2）无驻场服务：接到维保通知后，应在 10 分钟内响应，2 小时内上门维保。</w:t>
            </w:r>
          </w:p>
        </w:tc>
        <w:tc>
          <w:tcPr>
            <w:tcW w:w="1925" w:type="dxa"/>
            <w:tcBorders>
              <w:top w:val="nil"/>
              <w:left w:val="nil"/>
              <w:bottom w:val="single" w:color="auto" w:sz="4" w:space="0"/>
              <w:right w:val="single" w:color="auto" w:sz="8" w:space="0"/>
            </w:tcBorders>
            <w:noWrap w:val="0"/>
            <w:vAlign w:val="center"/>
          </w:tcPr>
          <w:p w14:paraId="75E3BEB9">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维保内响应未达到扣分</w:t>
            </w:r>
          </w:p>
        </w:tc>
      </w:tr>
      <w:tr w14:paraId="29BE27DD">
        <w:tblPrEx>
          <w:tblCellMar>
            <w:top w:w="0" w:type="dxa"/>
            <w:left w:w="108" w:type="dxa"/>
            <w:bottom w:w="0" w:type="dxa"/>
            <w:right w:w="108" w:type="dxa"/>
          </w:tblCellMar>
        </w:tblPrEx>
        <w:trPr>
          <w:trHeight w:val="1169" w:hRule="atLeast"/>
          <w:jc w:val="center"/>
        </w:trPr>
        <w:tc>
          <w:tcPr>
            <w:tcW w:w="642" w:type="dxa"/>
            <w:tcBorders>
              <w:top w:val="nil"/>
              <w:left w:val="single" w:color="auto" w:sz="8" w:space="0"/>
              <w:bottom w:val="single" w:color="auto" w:sz="4" w:space="0"/>
              <w:right w:val="single" w:color="auto" w:sz="4" w:space="0"/>
            </w:tcBorders>
            <w:noWrap/>
            <w:vAlign w:val="center"/>
          </w:tcPr>
          <w:p w14:paraId="01D416FB">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2</w:t>
            </w:r>
          </w:p>
        </w:tc>
        <w:tc>
          <w:tcPr>
            <w:tcW w:w="1193" w:type="dxa"/>
            <w:tcBorders>
              <w:top w:val="nil"/>
              <w:left w:val="nil"/>
              <w:bottom w:val="single" w:color="auto" w:sz="4" w:space="0"/>
              <w:right w:val="single" w:color="auto" w:sz="4" w:space="0"/>
            </w:tcBorders>
            <w:noWrap/>
            <w:vAlign w:val="center"/>
          </w:tcPr>
          <w:p w14:paraId="214C9B00">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维保时效</w:t>
            </w:r>
          </w:p>
        </w:tc>
        <w:tc>
          <w:tcPr>
            <w:tcW w:w="709" w:type="dxa"/>
            <w:tcBorders>
              <w:top w:val="nil"/>
              <w:left w:val="nil"/>
              <w:bottom w:val="single" w:color="auto" w:sz="4" w:space="0"/>
              <w:right w:val="single" w:color="auto" w:sz="4" w:space="0"/>
            </w:tcBorders>
            <w:noWrap/>
            <w:vAlign w:val="center"/>
          </w:tcPr>
          <w:p w14:paraId="2F1647E8">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25</w:t>
            </w:r>
          </w:p>
        </w:tc>
        <w:tc>
          <w:tcPr>
            <w:tcW w:w="4111" w:type="dxa"/>
            <w:tcBorders>
              <w:top w:val="nil"/>
              <w:left w:val="nil"/>
              <w:bottom w:val="single" w:color="auto" w:sz="4" w:space="0"/>
              <w:right w:val="single" w:color="auto" w:sz="4" w:space="0"/>
            </w:tcBorders>
            <w:noWrap w:val="0"/>
            <w:vAlign w:val="center"/>
          </w:tcPr>
          <w:p w14:paraId="23F42AC8">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维保内系统，一般故障，</w:t>
            </w:r>
            <w:r>
              <w:rPr>
                <w:rFonts w:hint="eastAsia" w:ascii="宋体" w:hAnsi="宋体" w:cs="Helvetica"/>
                <w:color w:val="3E3E3E"/>
                <w:kern w:val="0"/>
                <w:sz w:val="24"/>
                <w:szCs w:val="24"/>
                <w:u w:val="single"/>
              </w:rPr>
              <w:t xml:space="preserve"> 24  </w:t>
            </w:r>
            <w:r>
              <w:rPr>
                <w:rFonts w:hint="eastAsia" w:ascii="宋体" w:hAnsi="宋体" w:cs="Helvetica"/>
                <w:color w:val="3E3E3E"/>
                <w:kern w:val="0"/>
                <w:sz w:val="24"/>
                <w:szCs w:val="24"/>
              </w:rPr>
              <w:t>小时内修复，紧急故障，</w:t>
            </w:r>
            <w:r>
              <w:rPr>
                <w:rFonts w:hint="eastAsia" w:ascii="宋体" w:hAnsi="宋体" w:cs="Helvetica"/>
                <w:color w:val="3E3E3E"/>
                <w:kern w:val="0"/>
                <w:sz w:val="24"/>
                <w:szCs w:val="24"/>
                <w:u w:val="single"/>
              </w:rPr>
              <w:t xml:space="preserve">  2 </w:t>
            </w:r>
            <w:r>
              <w:rPr>
                <w:rFonts w:hint="eastAsia" w:ascii="宋体" w:hAnsi="宋体" w:cs="Helvetica"/>
                <w:color w:val="3E3E3E"/>
                <w:kern w:val="0"/>
                <w:sz w:val="24"/>
                <w:szCs w:val="24"/>
              </w:rPr>
              <w:t>小时内修复，如有特殊情况向相关科室申请报备。</w:t>
            </w:r>
          </w:p>
        </w:tc>
        <w:tc>
          <w:tcPr>
            <w:tcW w:w="1925" w:type="dxa"/>
            <w:tcBorders>
              <w:top w:val="nil"/>
              <w:left w:val="nil"/>
              <w:bottom w:val="single" w:color="auto" w:sz="4" w:space="0"/>
              <w:right w:val="single" w:color="auto" w:sz="8" w:space="0"/>
            </w:tcBorders>
            <w:noWrap w:val="0"/>
            <w:vAlign w:val="center"/>
          </w:tcPr>
          <w:p w14:paraId="573EC2A6">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未达到扣分</w:t>
            </w:r>
          </w:p>
        </w:tc>
      </w:tr>
      <w:tr w14:paraId="362276D5">
        <w:tblPrEx>
          <w:tblCellMar>
            <w:top w:w="0" w:type="dxa"/>
            <w:left w:w="108" w:type="dxa"/>
            <w:bottom w:w="0" w:type="dxa"/>
            <w:right w:w="108" w:type="dxa"/>
          </w:tblCellMar>
        </w:tblPrEx>
        <w:trPr>
          <w:trHeight w:val="779" w:hRule="atLeast"/>
          <w:jc w:val="center"/>
        </w:trPr>
        <w:tc>
          <w:tcPr>
            <w:tcW w:w="642" w:type="dxa"/>
            <w:tcBorders>
              <w:top w:val="nil"/>
              <w:left w:val="single" w:color="auto" w:sz="8" w:space="0"/>
              <w:bottom w:val="single" w:color="auto" w:sz="4" w:space="0"/>
              <w:right w:val="single" w:color="auto" w:sz="4" w:space="0"/>
            </w:tcBorders>
            <w:noWrap/>
            <w:vAlign w:val="center"/>
          </w:tcPr>
          <w:p w14:paraId="0A2539D1">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3</w:t>
            </w:r>
          </w:p>
        </w:tc>
        <w:tc>
          <w:tcPr>
            <w:tcW w:w="1193" w:type="dxa"/>
            <w:tcBorders>
              <w:top w:val="nil"/>
              <w:left w:val="nil"/>
              <w:bottom w:val="single" w:color="auto" w:sz="4" w:space="0"/>
              <w:right w:val="single" w:color="auto" w:sz="4" w:space="0"/>
            </w:tcBorders>
            <w:noWrap/>
            <w:vAlign w:val="center"/>
          </w:tcPr>
          <w:p w14:paraId="6160E315">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维保完成率</w:t>
            </w:r>
          </w:p>
        </w:tc>
        <w:tc>
          <w:tcPr>
            <w:tcW w:w="709" w:type="dxa"/>
            <w:tcBorders>
              <w:top w:val="nil"/>
              <w:left w:val="nil"/>
              <w:bottom w:val="single" w:color="auto" w:sz="4" w:space="0"/>
              <w:right w:val="single" w:color="auto" w:sz="4" w:space="0"/>
            </w:tcBorders>
            <w:noWrap/>
            <w:vAlign w:val="center"/>
          </w:tcPr>
          <w:p w14:paraId="5499C18F">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20</w:t>
            </w:r>
          </w:p>
        </w:tc>
        <w:tc>
          <w:tcPr>
            <w:tcW w:w="4111" w:type="dxa"/>
            <w:tcBorders>
              <w:top w:val="nil"/>
              <w:left w:val="nil"/>
              <w:bottom w:val="single" w:color="auto" w:sz="4" w:space="0"/>
              <w:right w:val="single" w:color="auto" w:sz="4" w:space="0"/>
            </w:tcBorders>
            <w:noWrap w:val="0"/>
            <w:vAlign w:val="center"/>
          </w:tcPr>
          <w:p w14:paraId="3FAF454B">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维保内系统每年按合同制定每次计划，落实每次维保均有维保记录，要求达到100%完成率。</w:t>
            </w:r>
          </w:p>
        </w:tc>
        <w:tc>
          <w:tcPr>
            <w:tcW w:w="1925" w:type="dxa"/>
            <w:tcBorders>
              <w:top w:val="nil"/>
              <w:left w:val="nil"/>
              <w:bottom w:val="single" w:color="auto" w:sz="4" w:space="0"/>
              <w:right w:val="single" w:color="auto" w:sz="8" w:space="0"/>
            </w:tcBorders>
            <w:noWrap w:val="0"/>
            <w:vAlign w:val="center"/>
          </w:tcPr>
          <w:p w14:paraId="7F3C7AB8">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未按合同约定的频率维保的，每发生一次扣分</w:t>
            </w:r>
          </w:p>
        </w:tc>
      </w:tr>
      <w:tr w14:paraId="6C6BBABA">
        <w:tblPrEx>
          <w:tblCellMar>
            <w:top w:w="0" w:type="dxa"/>
            <w:left w:w="108" w:type="dxa"/>
            <w:bottom w:w="0" w:type="dxa"/>
            <w:right w:w="108" w:type="dxa"/>
          </w:tblCellMar>
        </w:tblPrEx>
        <w:trPr>
          <w:trHeight w:val="595" w:hRule="atLeast"/>
          <w:jc w:val="center"/>
        </w:trPr>
        <w:tc>
          <w:tcPr>
            <w:tcW w:w="642" w:type="dxa"/>
            <w:tcBorders>
              <w:top w:val="nil"/>
              <w:left w:val="single" w:color="auto" w:sz="8" w:space="0"/>
              <w:bottom w:val="single" w:color="auto" w:sz="4" w:space="0"/>
              <w:right w:val="single" w:color="auto" w:sz="4" w:space="0"/>
            </w:tcBorders>
            <w:noWrap/>
            <w:vAlign w:val="center"/>
          </w:tcPr>
          <w:p w14:paraId="35999EB6">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4</w:t>
            </w:r>
          </w:p>
        </w:tc>
        <w:tc>
          <w:tcPr>
            <w:tcW w:w="1193" w:type="dxa"/>
            <w:tcBorders>
              <w:top w:val="nil"/>
              <w:left w:val="nil"/>
              <w:bottom w:val="single" w:color="auto" w:sz="4" w:space="0"/>
              <w:right w:val="single" w:color="auto" w:sz="4" w:space="0"/>
            </w:tcBorders>
            <w:noWrap/>
            <w:vAlign w:val="center"/>
          </w:tcPr>
          <w:p w14:paraId="6E2DDFCA">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维保内系统正常运行率</w:t>
            </w:r>
          </w:p>
        </w:tc>
        <w:tc>
          <w:tcPr>
            <w:tcW w:w="709" w:type="dxa"/>
            <w:tcBorders>
              <w:top w:val="nil"/>
              <w:left w:val="nil"/>
              <w:bottom w:val="single" w:color="auto" w:sz="4" w:space="0"/>
              <w:right w:val="single" w:color="auto" w:sz="4" w:space="0"/>
            </w:tcBorders>
            <w:noWrap/>
            <w:vAlign w:val="center"/>
          </w:tcPr>
          <w:p w14:paraId="50597161">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20</w:t>
            </w:r>
          </w:p>
        </w:tc>
        <w:tc>
          <w:tcPr>
            <w:tcW w:w="4111" w:type="dxa"/>
            <w:tcBorders>
              <w:top w:val="nil"/>
              <w:left w:val="nil"/>
              <w:bottom w:val="single" w:color="auto" w:sz="4" w:space="0"/>
              <w:right w:val="single" w:color="auto" w:sz="4" w:space="0"/>
            </w:tcBorders>
            <w:noWrap w:val="0"/>
            <w:vAlign w:val="center"/>
          </w:tcPr>
          <w:p w14:paraId="37B590CD">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维保内系统正常运行率不得低于99%。</w:t>
            </w:r>
          </w:p>
        </w:tc>
        <w:tc>
          <w:tcPr>
            <w:tcW w:w="1925" w:type="dxa"/>
            <w:tcBorders>
              <w:top w:val="nil"/>
              <w:left w:val="nil"/>
              <w:bottom w:val="single" w:color="auto" w:sz="4" w:space="0"/>
              <w:right w:val="single" w:color="auto" w:sz="8" w:space="0"/>
            </w:tcBorders>
            <w:noWrap w:val="0"/>
            <w:vAlign w:val="center"/>
          </w:tcPr>
          <w:p w14:paraId="12817951">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少一个百分点扣分</w:t>
            </w:r>
          </w:p>
        </w:tc>
      </w:tr>
      <w:tr w14:paraId="3F3C5ABA">
        <w:tblPrEx>
          <w:tblCellMar>
            <w:top w:w="0" w:type="dxa"/>
            <w:left w:w="108" w:type="dxa"/>
            <w:bottom w:w="0" w:type="dxa"/>
            <w:right w:w="108" w:type="dxa"/>
          </w:tblCellMar>
        </w:tblPrEx>
        <w:trPr>
          <w:trHeight w:val="779" w:hRule="atLeast"/>
          <w:jc w:val="center"/>
        </w:trPr>
        <w:tc>
          <w:tcPr>
            <w:tcW w:w="642" w:type="dxa"/>
            <w:tcBorders>
              <w:top w:val="nil"/>
              <w:left w:val="single" w:color="auto" w:sz="8" w:space="0"/>
              <w:bottom w:val="single" w:color="auto" w:sz="4" w:space="0"/>
              <w:right w:val="single" w:color="auto" w:sz="4" w:space="0"/>
            </w:tcBorders>
            <w:noWrap/>
            <w:vAlign w:val="center"/>
          </w:tcPr>
          <w:p w14:paraId="5760EEE9">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5</w:t>
            </w:r>
          </w:p>
        </w:tc>
        <w:tc>
          <w:tcPr>
            <w:tcW w:w="1193" w:type="dxa"/>
            <w:tcBorders>
              <w:top w:val="nil"/>
              <w:left w:val="nil"/>
              <w:bottom w:val="single" w:color="auto" w:sz="4" w:space="0"/>
              <w:right w:val="single" w:color="auto" w:sz="4" w:space="0"/>
            </w:tcBorders>
            <w:noWrap/>
            <w:vAlign w:val="center"/>
          </w:tcPr>
          <w:p w14:paraId="675A3FF6">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维保记录</w:t>
            </w:r>
          </w:p>
        </w:tc>
        <w:tc>
          <w:tcPr>
            <w:tcW w:w="709" w:type="dxa"/>
            <w:tcBorders>
              <w:top w:val="nil"/>
              <w:left w:val="nil"/>
              <w:bottom w:val="single" w:color="auto" w:sz="4" w:space="0"/>
              <w:right w:val="single" w:color="auto" w:sz="4" w:space="0"/>
            </w:tcBorders>
            <w:noWrap/>
            <w:vAlign w:val="center"/>
          </w:tcPr>
          <w:p w14:paraId="5C967F53">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12</w:t>
            </w:r>
          </w:p>
        </w:tc>
        <w:tc>
          <w:tcPr>
            <w:tcW w:w="4111" w:type="dxa"/>
            <w:tcBorders>
              <w:top w:val="nil"/>
              <w:left w:val="nil"/>
              <w:bottom w:val="single" w:color="auto" w:sz="4" w:space="0"/>
              <w:right w:val="single" w:color="auto" w:sz="4" w:space="0"/>
            </w:tcBorders>
            <w:noWrap w:val="0"/>
            <w:vAlign w:val="center"/>
          </w:tcPr>
          <w:p w14:paraId="56F14057">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 xml:space="preserve">每个 </w:t>
            </w:r>
            <w:r>
              <w:rPr>
                <w:rFonts w:hint="eastAsia" w:ascii="仿宋_GB2312" w:hAnsi="宋体" w:eastAsia="仿宋_GB2312"/>
                <w:sz w:val="24"/>
              </w:rPr>
              <w:sym w:font="Wingdings 2" w:char="0052"/>
            </w:r>
            <w:r>
              <w:rPr>
                <w:rFonts w:hint="eastAsia" w:ascii="宋体" w:hAnsi="宋体" w:cs="Helvetica"/>
                <w:color w:val="3E3E3E"/>
                <w:kern w:val="0"/>
                <w:sz w:val="24"/>
                <w:szCs w:val="24"/>
              </w:rPr>
              <w:t>月、</w:t>
            </w:r>
            <w:r>
              <w:rPr>
                <w:rFonts w:hint="eastAsia" w:ascii="宋体" w:hAnsi="宋体"/>
                <w:szCs w:val="21"/>
              </w:rPr>
              <w:t>□</w:t>
            </w:r>
            <w:r>
              <w:rPr>
                <w:rFonts w:hint="eastAsia" w:ascii="宋体" w:hAnsi="宋体" w:cs="Helvetica"/>
                <w:color w:val="3E3E3E"/>
                <w:kern w:val="0"/>
                <w:sz w:val="24"/>
                <w:szCs w:val="24"/>
              </w:rPr>
              <w:t>季度提交维护记录。</w:t>
            </w:r>
          </w:p>
        </w:tc>
        <w:tc>
          <w:tcPr>
            <w:tcW w:w="1925" w:type="dxa"/>
            <w:tcBorders>
              <w:top w:val="nil"/>
              <w:left w:val="nil"/>
              <w:bottom w:val="single" w:color="auto" w:sz="4" w:space="0"/>
              <w:right w:val="single" w:color="auto" w:sz="8" w:space="0"/>
            </w:tcBorders>
            <w:noWrap w:val="0"/>
            <w:vAlign w:val="center"/>
          </w:tcPr>
          <w:p w14:paraId="0FD35C8D">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一次未达到扣分</w:t>
            </w:r>
          </w:p>
        </w:tc>
      </w:tr>
      <w:tr w14:paraId="0D2D3821">
        <w:tblPrEx>
          <w:tblCellMar>
            <w:top w:w="0" w:type="dxa"/>
            <w:left w:w="108" w:type="dxa"/>
            <w:bottom w:w="0" w:type="dxa"/>
            <w:right w:w="108" w:type="dxa"/>
          </w:tblCellMar>
        </w:tblPrEx>
        <w:trPr>
          <w:trHeight w:val="615" w:hRule="atLeast"/>
          <w:jc w:val="center"/>
        </w:trPr>
        <w:tc>
          <w:tcPr>
            <w:tcW w:w="642" w:type="dxa"/>
            <w:tcBorders>
              <w:top w:val="nil"/>
              <w:left w:val="single" w:color="auto" w:sz="8" w:space="0"/>
              <w:bottom w:val="single" w:color="auto" w:sz="4" w:space="0"/>
              <w:right w:val="single" w:color="auto" w:sz="4" w:space="0"/>
            </w:tcBorders>
            <w:noWrap/>
            <w:vAlign w:val="center"/>
          </w:tcPr>
          <w:p w14:paraId="745D1421">
            <w:pPr>
              <w:spacing w:line="360" w:lineRule="auto"/>
              <w:ind w:firstLine="240" w:firstLineChars="100"/>
              <w:rPr>
                <w:rFonts w:ascii="宋体" w:hAnsi="宋体" w:cs="Helvetica"/>
                <w:color w:val="3E3E3E"/>
                <w:kern w:val="0"/>
                <w:sz w:val="24"/>
                <w:szCs w:val="24"/>
              </w:rPr>
            </w:pPr>
            <w:r>
              <w:rPr>
                <w:rFonts w:hint="eastAsia" w:ascii="宋体" w:hAnsi="宋体" w:cs="Helvetica"/>
                <w:color w:val="3E3E3E"/>
                <w:kern w:val="0"/>
                <w:sz w:val="24"/>
                <w:szCs w:val="24"/>
              </w:rPr>
              <w:t>6</w:t>
            </w:r>
          </w:p>
        </w:tc>
        <w:tc>
          <w:tcPr>
            <w:tcW w:w="1193" w:type="dxa"/>
            <w:tcBorders>
              <w:top w:val="nil"/>
              <w:left w:val="nil"/>
              <w:bottom w:val="single" w:color="auto" w:sz="4" w:space="0"/>
              <w:right w:val="single" w:color="auto" w:sz="4" w:space="0"/>
            </w:tcBorders>
            <w:noWrap/>
            <w:vAlign w:val="center"/>
          </w:tcPr>
          <w:p w14:paraId="4BFC6FED">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服务态度</w:t>
            </w:r>
          </w:p>
        </w:tc>
        <w:tc>
          <w:tcPr>
            <w:tcW w:w="709" w:type="dxa"/>
            <w:tcBorders>
              <w:top w:val="nil"/>
              <w:left w:val="nil"/>
              <w:bottom w:val="single" w:color="auto" w:sz="4" w:space="0"/>
              <w:right w:val="single" w:color="auto" w:sz="4" w:space="0"/>
            </w:tcBorders>
            <w:noWrap/>
            <w:vAlign w:val="center"/>
          </w:tcPr>
          <w:p w14:paraId="35FFC7C3">
            <w:pPr>
              <w:spacing w:line="360" w:lineRule="auto"/>
              <w:jc w:val="center"/>
              <w:rPr>
                <w:rFonts w:ascii="宋体" w:hAnsi="宋体" w:cs="Helvetica"/>
                <w:color w:val="3E3E3E"/>
                <w:kern w:val="0"/>
                <w:sz w:val="24"/>
                <w:szCs w:val="24"/>
              </w:rPr>
            </w:pPr>
            <w:r>
              <w:rPr>
                <w:rFonts w:hint="eastAsia" w:ascii="宋体" w:hAnsi="宋体" w:cs="Helvetica"/>
                <w:color w:val="3E3E3E"/>
                <w:kern w:val="0"/>
                <w:sz w:val="24"/>
                <w:szCs w:val="24"/>
              </w:rPr>
              <w:t>13</w:t>
            </w:r>
          </w:p>
        </w:tc>
        <w:tc>
          <w:tcPr>
            <w:tcW w:w="4111" w:type="dxa"/>
            <w:tcBorders>
              <w:top w:val="nil"/>
              <w:left w:val="nil"/>
              <w:bottom w:val="single" w:color="auto" w:sz="4" w:space="0"/>
              <w:right w:val="single" w:color="auto" w:sz="4" w:space="0"/>
            </w:tcBorders>
            <w:noWrap w:val="0"/>
            <w:vAlign w:val="center"/>
          </w:tcPr>
          <w:p w14:paraId="18524D76">
            <w:pPr>
              <w:spacing w:line="360" w:lineRule="auto"/>
              <w:rPr>
                <w:rFonts w:ascii="宋体" w:hAnsi="宋体" w:cs="Helvetica"/>
                <w:color w:val="3E3E3E"/>
                <w:kern w:val="0"/>
                <w:sz w:val="24"/>
                <w:szCs w:val="24"/>
              </w:rPr>
            </w:pPr>
            <w:r>
              <w:rPr>
                <w:rFonts w:hint="eastAsia" w:ascii="宋体" w:hAnsi="宋体" w:cs="Helvetica"/>
                <w:color w:val="3E3E3E"/>
                <w:kern w:val="0"/>
                <w:sz w:val="24"/>
                <w:szCs w:val="24"/>
              </w:rPr>
              <w:t>工作时服务态度有问题，被投诉举报等。</w:t>
            </w:r>
          </w:p>
        </w:tc>
        <w:tc>
          <w:tcPr>
            <w:tcW w:w="1925" w:type="dxa"/>
            <w:tcBorders>
              <w:top w:val="nil"/>
              <w:left w:val="nil"/>
              <w:bottom w:val="single" w:color="auto" w:sz="4" w:space="0"/>
              <w:right w:val="single" w:color="auto" w:sz="8" w:space="0"/>
            </w:tcBorders>
            <w:noWrap w:val="0"/>
            <w:vAlign w:val="center"/>
          </w:tcPr>
          <w:p w14:paraId="0CC9E938">
            <w:pPr>
              <w:spacing w:line="360" w:lineRule="auto"/>
              <w:jc w:val="left"/>
              <w:rPr>
                <w:rFonts w:ascii="宋体" w:hAnsi="宋体" w:cs="Helvetica"/>
                <w:color w:val="3E3E3E"/>
                <w:kern w:val="0"/>
                <w:sz w:val="24"/>
                <w:szCs w:val="24"/>
              </w:rPr>
            </w:pPr>
            <w:r>
              <w:rPr>
                <w:rFonts w:hint="eastAsia" w:ascii="宋体" w:hAnsi="宋体" w:cs="Helvetica"/>
                <w:color w:val="3E3E3E"/>
                <w:kern w:val="0"/>
                <w:sz w:val="24"/>
                <w:szCs w:val="24"/>
              </w:rPr>
              <w:t>投诉举报投诉扣分</w:t>
            </w:r>
          </w:p>
        </w:tc>
      </w:tr>
    </w:tbl>
    <w:p w14:paraId="7C09DCCB">
      <w:pPr>
        <w:pStyle w:val="57"/>
        <w:ind w:firstLine="0" w:firstLineChars="0"/>
        <w:jc w:val="left"/>
        <w:rPr>
          <w:rFonts w:ascii="宋体" w:hAnsi="宋体"/>
          <w:color w:val="000000"/>
        </w:rPr>
      </w:pPr>
      <w:r>
        <w:rPr>
          <w:rFonts w:hint="eastAsia" w:ascii="宋体" w:hAnsi="宋体" w:cs="Arial"/>
          <w:b/>
        </w:rPr>
        <w:t xml:space="preserve">  </w:t>
      </w:r>
      <w:r>
        <w:rPr>
          <w:rFonts w:hint="eastAsia" w:ascii="宋体" w:hAnsi="宋体"/>
          <w:color w:val="000000"/>
        </w:rPr>
        <w:t xml:space="preserve">  5、考核评分计算方法：</w:t>
      </w:r>
    </w:p>
    <w:p w14:paraId="16E1DB59">
      <w:pPr>
        <w:pStyle w:val="57"/>
        <w:ind w:firstLine="0" w:firstLineChars="0"/>
        <w:jc w:val="left"/>
        <w:rPr>
          <w:rFonts w:ascii="宋体" w:hAnsi="宋体"/>
          <w:color w:val="000000"/>
        </w:rPr>
      </w:pPr>
      <w:r>
        <w:rPr>
          <w:rFonts w:hint="eastAsia" w:ascii="宋体" w:hAnsi="宋体"/>
          <w:color w:val="000000"/>
        </w:rPr>
        <w:t>很满意系数1；满意系数0.95；比较满意系数0.85；一般0.7；不满意0.45；很不满意0.2。</w:t>
      </w:r>
    </w:p>
    <w:p w14:paraId="40FD81F8">
      <w:pPr>
        <w:pStyle w:val="57"/>
        <w:ind w:firstLine="0" w:firstLineChars="0"/>
        <w:jc w:val="left"/>
        <w:rPr>
          <w:rFonts w:ascii="宋体" w:hAnsi="宋体"/>
          <w:color w:val="000000"/>
        </w:rPr>
      </w:pPr>
      <w:r>
        <w:rPr>
          <w:rFonts w:hint="eastAsia" w:ascii="宋体" w:hAnsi="宋体"/>
          <w:color w:val="000000"/>
        </w:rPr>
        <w:t>参评科室打分=（分值1*调查系数+分值2*调查系数…分值6*调查系数）</w:t>
      </w:r>
    </w:p>
    <w:p w14:paraId="19E5A4CE">
      <w:pPr>
        <w:pStyle w:val="57"/>
        <w:ind w:firstLine="0" w:firstLineChars="0"/>
        <w:jc w:val="left"/>
        <w:rPr>
          <w:rFonts w:ascii="宋体" w:hAnsi="宋体"/>
          <w:color w:val="000000"/>
        </w:rPr>
      </w:pPr>
      <w:r>
        <w:rPr>
          <w:rFonts w:hint="eastAsia" w:ascii="宋体" w:hAnsi="宋体"/>
          <w:color w:val="000000"/>
        </w:rPr>
        <w:t>季度平均得分=各参评科室打分总和/参评科室数量</w:t>
      </w:r>
    </w:p>
    <w:p w14:paraId="0B08EC62">
      <w:pPr>
        <w:pStyle w:val="57"/>
        <w:ind w:firstLine="0" w:firstLineChars="0"/>
        <w:jc w:val="left"/>
        <w:rPr>
          <w:rFonts w:ascii="宋体" w:hAnsi="宋体"/>
          <w:color w:val="000000"/>
        </w:rPr>
      </w:pPr>
      <w:r>
        <w:rPr>
          <w:rFonts w:hint="eastAsia" w:ascii="宋体" w:hAnsi="宋体"/>
          <w:color w:val="000000"/>
        </w:rPr>
        <w:t>年度平均得分=季度平均得分总和/4</w:t>
      </w:r>
    </w:p>
    <w:p w14:paraId="3684EAD2">
      <w:pPr>
        <w:pStyle w:val="57"/>
        <w:ind w:firstLine="0" w:firstLineChars="0"/>
        <w:jc w:val="left"/>
        <w:rPr>
          <w:rFonts w:hint="eastAsia" w:ascii="宋体" w:hAnsi="宋体"/>
          <w:color w:val="000000"/>
        </w:rPr>
      </w:pPr>
      <w:r>
        <w:rPr>
          <w:rFonts w:hint="eastAsia" w:ascii="宋体" w:hAnsi="宋体"/>
          <w:color w:val="000000"/>
        </w:rPr>
        <w:t xml:space="preserve">    6、违约金扣除标准：按年度平均得分，评分为80分或以上支付全额维保服务费；评分为80分以下每减一分降一个百分点，每降一个百分点扣除年度总服务费的百分之一。年度合同期内季度平均分累计三次评分不足 60 分，甲方有权单方面无条件终止合同。</w:t>
      </w:r>
    </w:p>
    <w:p w14:paraId="43C9E8BC">
      <w:pPr>
        <w:pStyle w:val="14"/>
        <w:rPr>
          <w:rFonts w:hint="eastAsia" w:hAnsi="宋体"/>
          <w:sz w:val="24"/>
          <w:szCs w:val="24"/>
        </w:rPr>
      </w:pPr>
    </w:p>
    <w:p w14:paraId="1DDBFBFC">
      <w:pPr>
        <w:pStyle w:val="14"/>
        <w:rPr>
          <w:rFonts w:hint="eastAsia" w:hAnsi="宋体"/>
          <w:sz w:val="24"/>
          <w:szCs w:val="24"/>
        </w:rPr>
      </w:pPr>
    </w:p>
    <w:p w14:paraId="051A00E3">
      <w:pPr>
        <w:pStyle w:val="14"/>
        <w:rPr>
          <w:rFonts w:hint="eastAsia" w:hAnsi="宋体"/>
          <w:sz w:val="24"/>
          <w:szCs w:val="24"/>
        </w:rPr>
      </w:pPr>
    </w:p>
    <w:p w14:paraId="21A7FB75">
      <w:pPr>
        <w:pStyle w:val="14"/>
        <w:rPr>
          <w:rFonts w:hint="eastAsia"/>
        </w:rPr>
      </w:pPr>
    </w:p>
    <w:p w14:paraId="5035DD7A">
      <w:pPr>
        <w:pStyle w:val="14"/>
        <w:rPr>
          <w:rFonts w:hint="eastAsia"/>
        </w:rPr>
      </w:pPr>
    </w:p>
    <w:p w14:paraId="7D169293">
      <w:pPr>
        <w:pStyle w:val="14"/>
        <w:rPr>
          <w:rFonts w:hint="eastAsia"/>
        </w:rPr>
      </w:pPr>
    </w:p>
    <w:p w14:paraId="20D4A39F">
      <w:pPr>
        <w:pStyle w:val="14"/>
        <w:rPr>
          <w:rFonts w:hint="eastAsia"/>
        </w:rPr>
      </w:pPr>
    </w:p>
    <w:p w14:paraId="3583CF9D">
      <w:pPr>
        <w:pStyle w:val="14"/>
        <w:rPr>
          <w:rFonts w:hint="eastAsia"/>
        </w:rPr>
      </w:pPr>
    </w:p>
    <w:p w14:paraId="40C6479C">
      <w:pPr>
        <w:pStyle w:val="14"/>
        <w:rPr>
          <w:rFonts w:hint="eastAsia"/>
        </w:rPr>
      </w:pPr>
    </w:p>
    <w:p w14:paraId="138202E9">
      <w:pPr>
        <w:pStyle w:val="14"/>
        <w:rPr>
          <w:rFonts w:hint="eastAsia"/>
        </w:rPr>
      </w:pPr>
    </w:p>
    <w:p w14:paraId="262C9D28">
      <w:pPr>
        <w:pStyle w:val="14"/>
        <w:rPr>
          <w:rFonts w:hint="eastAsia"/>
        </w:rPr>
      </w:pPr>
    </w:p>
    <w:p w14:paraId="19FA27BC">
      <w:pPr>
        <w:pStyle w:val="14"/>
        <w:rPr>
          <w:rFonts w:hint="eastAsia"/>
        </w:rPr>
      </w:pPr>
    </w:p>
    <w:p w14:paraId="778AE1A7">
      <w:pPr>
        <w:pStyle w:val="14"/>
        <w:rPr>
          <w:rFonts w:hint="eastAsia"/>
        </w:rPr>
      </w:pPr>
    </w:p>
    <w:p w14:paraId="13F5EDFD">
      <w:pPr>
        <w:pStyle w:val="14"/>
        <w:rPr>
          <w:rFonts w:hint="eastAsia"/>
        </w:rPr>
      </w:pPr>
    </w:p>
    <w:p w14:paraId="12CF59BA">
      <w:pPr>
        <w:pStyle w:val="14"/>
        <w:rPr>
          <w:rFonts w:hint="eastAsia"/>
        </w:rPr>
      </w:pPr>
    </w:p>
    <w:p w14:paraId="45FACFD4">
      <w:pPr>
        <w:pStyle w:val="89"/>
        <w:jc w:val="center"/>
        <w:rPr>
          <w:sz w:val="36"/>
        </w:rPr>
        <w:sectPr>
          <w:pgSz w:w="11906" w:h="16838"/>
          <w:pgMar w:top="1440" w:right="1416" w:bottom="1440" w:left="1800" w:header="851" w:footer="992" w:gutter="0"/>
          <w:cols w:space="720" w:num="1"/>
          <w:docGrid w:type="lines" w:linePitch="312" w:charSpace="0"/>
        </w:sectPr>
      </w:pPr>
    </w:p>
    <w:p w14:paraId="2C4D6484">
      <w:pPr>
        <w:pStyle w:val="89"/>
        <w:jc w:val="center"/>
        <w:rPr>
          <w:sz w:val="36"/>
        </w:rPr>
      </w:pPr>
      <w:r>
        <w:rPr>
          <w:rFonts w:hint="eastAsia"/>
          <w:sz w:val="36"/>
        </w:rPr>
        <w:t>中山大学附属第八医院（深圳福田）</w:t>
      </w:r>
    </w:p>
    <w:p w14:paraId="2F31777B">
      <w:pPr>
        <w:pStyle w:val="89"/>
        <w:jc w:val="center"/>
        <w:rPr>
          <w:sz w:val="28"/>
        </w:rPr>
      </w:pPr>
      <w:r>
        <w:rPr>
          <w:rFonts w:hint="eastAsia" w:ascii="宋体" w:hAnsi="宋体" w:cs="宋体"/>
          <w:bCs/>
          <w:sz w:val="24"/>
          <w:u w:val="single"/>
        </w:rPr>
        <w:t>202</w:t>
      </w:r>
      <w:ins w:id="3" w:author="孙军欢" w:date="2026-03-10T16:32:00Z">
        <w:r>
          <w:rPr>
            <w:rFonts w:hint="eastAsia" w:ascii="宋体" w:hAnsi="宋体" w:cs="宋体"/>
            <w:bCs/>
            <w:sz w:val="24"/>
            <w:u w:val="single"/>
            <w:lang w:val="en-US" w:eastAsia="zh-CN"/>
          </w:rPr>
          <w:t>6</w:t>
        </w:r>
      </w:ins>
      <w:r>
        <w:rPr>
          <w:rFonts w:hint="eastAsia" w:ascii="宋体" w:hAnsi="宋体" w:cs="宋体"/>
          <w:bCs/>
          <w:sz w:val="24"/>
          <w:u w:val="single"/>
        </w:rPr>
        <w:t>年度电子签名证书维护服务</w:t>
      </w:r>
      <w:r>
        <w:rPr>
          <w:rFonts w:hint="eastAsia"/>
          <w:sz w:val="28"/>
        </w:rPr>
        <w:t>_</w:t>
      </w:r>
      <w:r>
        <w:rPr>
          <w:rFonts w:hint="eastAsia"/>
          <w:sz w:val="24"/>
        </w:rPr>
        <w:t>维保满意度调查表</w:t>
      </w:r>
    </w:p>
    <w:tbl>
      <w:tblPr>
        <w:tblStyle w:val="26"/>
        <w:tblW w:w="0" w:type="auto"/>
        <w:tblInd w:w="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734"/>
        <w:gridCol w:w="1654"/>
        <w:gridCol w:w="605"/>
        <w:gridCol w:w="1160"/>
        <w:gridCol w:w="1117"/>
        <w:gridCol w:w="1116"/>
        <w:gridCol w:w="1117"/>
        <w:gridCol w:w="1136"/>
      </w:tblGrid>
      <w:tr w14:paraId="17FC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10" w:type="dxa"/>
            <w:noWrap w:val="0"/>
            <w:vAlign w:val="top"/>
          </w:tcPr>
          <w:p w14:paraId="451FFCF3">
            <w:pPr>
              <w:spacing w:line="220" w:lineRule="atLeast"/>
              <w:rPr>
                <w:rFonts w:ascii="宋体" w:hAnsi="宋体"/>
                <w:szCs w:val="21"/>
              </w:rPr>
            </w:pPr>
            <w:r>
              <w:rPr>
                <w:rFonts w:hint="eastAsia" w:ascii="宋体" w:hAnsi="宋体"/>
                <w:szCs w:val="21"/>
              </w:rPr>
              <w:t>序号</w:t>
            </w:r>
          </w:p>
        </w:tc>
        <w:tc>
          <w:tcPr>
            <w:tcW w:w="1166" w:type="dxa"/>
            <w:noWrap w:val="0"/>
            <w:vAlign w:val="top"/>
          </w:tcPr>
          <w:p w14:paraId="6928E5FE">
            <w:pPr>
              <w:spacing w:line="220" w:lineRule="atLeast"/>
              <w:rPr>
                <w:rFonts w:ascii="宋体" w:hAnsi="宋体"/>
                <w:szCs w:val="21"/>
              </w:rPr>
            </w:pPr>
            <w:r>
              <w:rPr>
                <w:rFonts w:hint="eastAsia" w:ascii="宋体" w:hAnsi="宋体"/>
                <w:szCs w:val="21"/>
              </w:rPr>
              <w:t>考核内容</w:t>
            </w:r>
          </w:p>
        </w:tc>
        <w:tc>
          <w:tcPr>
            <w:tcW w:w="2661" w:type="dxa"/>
            <w:noWrap w:val="0"/>
            <w:vAlign w:val="top"/>
          </w:tcPr>
          <w:p w14:paraId="58102ACC">
            <w:pPr>
              <w:spacing w:line="220" w:lineRule="atLeast"/>
              <w:rPr>
                <w:rFonts w:ascii="宋体" w:hAnsi="宋体"/>
                <w:szCs w:val="21"/>
              </w:rPr>
            </w:pPr>
            <w:r>
              <w:rPr>
                <w:rFonts w:hint="eastAsia" w:ascii="宋体" w:hAnsi="宋体"/>
                <w:szCs w:val="21"/>
              </w:rPr>
              <w:t>考核标准</w:t>
            </w:r>
          </w:p>
        </w:tc>
        <w:tc>
          <w:tcPr>
            <w:tcW w:w="709" w:type="dxa"/>
            <w:noWrap w:val="0"/>
            <w:vAlign w:val="top"/>
          </w:tcPr>
          <w:p w14:paraId="0DB50527">
            <w:pPr>
              <w:spacing w:line="220" w:lineRule="atLeast"/>
              <w:rPr>
                <w:rFonts w:ascii="宋体" w:hAnsi="宋体"/>
                <w:szCs w:val="21"/>
              </w:rPr>
            </w:pPr>
            <w:r>
              <w:rPr>
                <w:rFonts w:hint="eastAsia" w:ascii="宋体" w:hAnsi="宋体"/>
                <w:szCs w:val="21"/>
              </w:rPr>
              <w:t>权重</w:t>
            </w:r>
          </w:p>
        </w:tc>
        <w:tc>
          <w:tcPr>
            <w:tcW w:w="1895" w:type="dxa"/>
            <w:noWrap w:val="0"/>
            <w:vAlign w:val="top"/>
          </w:tcPr>
          <w:p w14:paraId="2EA93C3D">
            <w:pPr>
              <w:spacing w:line="220" w:lineRule="atLeast"/>
              <w:rPr>
                <w:rFonts w:ascii="宋体" w:hAnsi="宋体"/>
                <w:szCs w:val="21"/>
              </w:rPr>
            </w:pPr>
            <w:r>
              <w:rPr>
                <w:rFonts w:hint="eastAsia" w:ascii="宋体" w:hAnsi="宋体"/>
                <w:szCs w:val="21"/>
              </w:rPr>
              <w:t>科室一</w:t>
            </w:r>
          </w:p>
        </w:tc>
        <w:tc>
          <w:tcPr>
            <w:tcW w:w="1791" w:type="dxa"/>
            <w:noWrap w:val="0"/>
            <w:vAlign w:val="top"/>
          </w:tcPr>
          <w:p w14:paraId="7DAB2826">
            <w:pPr>
              <w:spacing w:line="220" w:lineRule="atLeast"/>
              <w:rPr>
                <w:rFonts w:ascii="宋体" w:hAnsi="宋体"/>
                <w:szCs w:val="21"/>
              </w:rPr>
            </w:pPr>
            <w:r>
              <w:rPr>
                <w:rFonts w:hint="eastAsia" w:ascii="宋体" w:hAnsi="宋体"/>
                <w:szCs w:val="21"/>
              </w:rPr>
              <w:t>科室二</w:t>
            </w:r>
          </w:p>
        </w:tc>
        <w:tc>
          <w:tcPr>
            <w:tcW w:w="1790" w:type="dxa"/>
            <w:noWrap w:val="0"/>
            <w:vAlign w:val="top"/>
          </w:tcPr>
          <w:p w14:paraId="14E696C2">
            <w:pPr>
              <w:spacing w:line="220" w:lineRule="atLeast"/>
              <w:rPr>
                <w:rFonts w:ascii="宋体" w:hAnsi="宋体"/>
                <w:szCs w:val="21"/>
              </w:rPr>
            </w:pPr>
            <w:r>
              <w:rPr>
                <w:rFonts w:hint="eastAsia" w:ascii="宋体" w:hAnsi="宋体"/>
                <w:szCs w:val="21"/>
              </w:rPr>
              <w:t>科室三</w:t>
            </w:r>
          </w:p>
        </w:tc>
        <w:tc>
          <w:tcPr>
            <w:tcW w:w="1791" w:type="dxa"/>
            <w:noWrap w:val="0"/>
            <w:vAlign w:val="top"/>
          </w:tcPr>
          <w:p w14:paraId="38FF05BE">
            <w:pPr>
              <w:spacing w:line="220" w:lineRule="atLeast"/>
              <w:rPr>
                <w:rFonts w:ascii="宋体" w:hAnsi="宋体"/>
                <w:szCs w:val="21"/>
              </w:rPr>
            </w:pPr>
            <w:r>
              <w:rPr>
                <w:rFonts w:hint="eastAsia" w:ascii="宋体" w:hAnsi="宋体"/>
                <w:szCs w:val="21"/>
              </w:rPr>
              <w:t>科室四</w:t>
            </w:r>
          </w:p>
        </w:tc>
        <w:tc>
          <w:tcPr>
            <w:tcW w:w="1837" w:type="dxa"/>
            <w:noWrap w:val="0"/>
            <w:vAlign w:val="top"/>
          </w:tcPr>
          <w:p w14:paraId="40B3CB83">
            <w:pPr>
              <w:spacing w:line="220" w:lineRule="atLeast"/>
              <w:rPr>
                <w:rFonts w:ascii="宋体" w:hAnsi="宋体"/>
                <w:szCs w:val="21"/>
              </w:rPr>
            </w:pPr>
            <w:r>
              <w:rPr>
                <w:rFonts w:hint="eastAsia" w:ascii="宋体" w:hAnsi="宋体"/>
                <w:szCs w:val="21"/>
              </w:rPr>
              <w:t>科室五</w:t>
            </w:r>
          </w:p>
        </w:tc>
      </w:tr>
      <w:tr w14:paraId="6DAE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4B5A42E5">
            <w:pPr>
              <w:spacing w:line="220" w:lineRule="atLeast"/>
              <w:rPr>
                <w:rFonts w:ascii="宋体" w:hAnsi="宋体"/>
                <w:szCs w:val="21"/>
              </w:rPr>
            </w:pPr>
            <w:r>
              <w:rPr>
                <w:rFonts w:hint="eastAsia" w:ascii="宋体" w:hAnsi="宋体"/>
                <w:szCs w:val="21"/>
              </w:rPr>
              <w:t>1</w:t>
            </w:r>
          </w:p>
        </w:tc>
        <w:tc>
          <w:tcPr>
            <w:tcW w:w="1166" w:type="dxa"/>
            <w:noWrap w:val="0"/>
            <w:vAlign w:val="top"/>
          </w:tcPr>
          <w:p w14:paraId="499CF36D">
            <w:pPr>
              <w:spacing w:line="220" w:lineRule="atLeast"/>
              <w:rPr>
                <w:rFonts w:ascii="宋体" w:hAnsi="宋体"/>
                <w:szCs w:val="21"/>
              </w:rPr>
            </w:pPr>
            <w:r>
              <w:rPr>
                <w:rFonts w:hint="eastAsia" w:ascii="宋体" w:hAnsi="宋体"/>
                <w:szCs w:val="21"/>
              </w:rPr>
              <w:t>现场响应</w:t>
            </w:r>
          </w:p>
        </w:tc>
        <w:tc>
          <w:tcPr>
            <w:tcW w:w="2661" w:type="dxa"/>
            <w:noWrap w:val="0"/>
            <w:vAlign w:val="top"/>
          </w:tcPr>
          <w:p w14:paraId="63D002F0">
            <w:pPr>
              <w:spacing w:line="220" w:lineRule="atLeast"/>
              <w:rPr>
                <w:rFonts w:hint="eastAsia" w:ascii="宋体" w:hAnsi="宋体"/>
                <w:szCs w:val="21"/>
              </w:rPr>
            </w:pPr>
            <w:r>
              <w:rPr>
                <w:rFonts w:hint="eastAsia" w:ascii="宋体" w:hAnsi="宋体"/>
                <w:szCs w:val="21"/>
              </w:rPr>
              <w:t>收到维保通知后即时响应，工程师即时到达服务现场。</w:t>
            </w:r>
          </w:p>
        </w:tc>
        <w:tc>
          <w:tcPr>
            <w:tcW w:w="709" w:type="dxa"/>
            <w:noWrap w:val="0"/>
            <w:vAlign w:val="top"/>
          </w:tcPr>
          <w:p w14:paraId="68C49BD5">
            <w:pPr>
              <w:spacing w:line="220" w:lineRule="atLeast"/>
              <w:rPr>
                <w:rFonts w:ascii="宋体" w:hAnsi="宋体"/>
                <w:szCs w:val="21"/>
              </w:rPr>
            </w:pPr>
            <w:r>
              <w:rPr>
                <w:rFonts w:ascii="宋体" w:hAnsi="宋体"/>
                <w:szCs w:val="21"/>
              </w:rPr>
              <w:t>10%</w:t>
            </w:r>
          </w:p>
        </w:tc>
        <w:tc>
          <w:tcPr>
            <w:tcW w:w="1895" w:type="dxa"/>
            <w:noWrap w:val="0"/>
            <w:vAlign w:val="top"/>
          </w:tcPr>
          <w:p w14:paraId="24279069">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18FAD5CB">
            <w:pPr>
              <w:spacing w:line="220" w:lineRule="atLeast"/>
              <w:rPr>
                <w:rFonts w:ascii="宋体" w:hAnsi="宋体"/>
                <w:szCs w:val="21"/>
              </w:rPr>
            </w:pPr>
            <w:r>
              <w:rPr>
                <w:rFonts w:hint="eastAsia" w:ascii="宋体" w:hAnsi="宋体"/>
                <w:szCs w:val="21"/>
              </w:rPr>
              <w:t>□很满意；□满意 □比较满意       □一般；□不满意 □很不满意</w:t>
            </w:r>
          </w:p>
        </w:tc>
        <w:tc>
          <w:tcPr>
            <w:tcW w:w="1790" w:type="dxa"/>
            <w:noWrap w:val="0"/>
            <w:vAlign w:val="top"/>
          </w:tcPr>
          <w:p w14:paraId="11A1C16E">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43A7C4A6">
            <w:pPr>
              <w:spacing w:line="220" w:lineRule="atLeast"/>
              <w:rPr>
                <w:rFonts w:ascii="宋体" w:hAnsi="宋体"/>
                <w:szCs w:val="21"/>
              </w:rPr>
            </w:pPr>
            <w:r>
              <w:rPr>
                <w:rFonts w:hint="eastAsia" w:ascii="宋体" w:hAnsi="宋体"/>
                <w:szCs w:val="21"/>
              </w:rPr>
              <w:t>□很满意；□满意 □比较满意       □一般；□不满意 □很不满意</w:t>
            </w:r>
          </w:p>
        </w:tc>
        <w:tc>
          <w:tcPr>
            <w:tcW w:w="1837" w:type="dxa"/>
            <w:noWrap w:val="0"/>
            <w:vAlign w:val="top"/>
          </w:tcPr>
          <w:p w14:paraId="5B696F45">
            <w:pPr>
              <w:spacing w:line="220" w:lineRule="atLeast"/>
              <w:rPr>
                <w:rFonts w:ascii="宋体" w:hAnsi="宋体"/>
                <w:szCs w:val="21"/>
              </w:rPr>
            </w:pPr>
            <w:r>
              <w:rPr>
                <w:rFonts w:hint="eastAsia" w:ascii="宋体" w:hAnsi="宋体"/>
                <w:szCs w:val="21"/>
              </w:rPr>
              <w:t>□很满意；□满意 □比较满意       □一般；□不满意 □很不满意</w:t>
            </w:r>
          </w:p>
        </w:tc>
      </w:tr>
      <w:tr w14:paraId="24A1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620785CB">
            <w:pPr>
              <w:spacing w:line="220" w:lineRule="atLeast"/>
              <w:rPr>
                <w:rFonts w:ascii="宋体" w:hAnsi="宋体"/>
                <w:szCs w:val="21"/>
              </w:rPr>
            </w:pPr>
            <w:r>
              <w:rPr>
                <w:rFonts w:hint="eastAsia" w:ascii="宋体" w:hAnsi="宋体"/>
                <w:szCs w:val="21"/>
              </w:rPr>
              <w:t>2</w:t>
            </w:r>
          </w:p>
        </w:tc>
        <w:tc>
          <w:tcPr>
            <w:tcW w:w="1166" w:type="dxa"/>
            <w:noWrap w:val="0"/>
            <w:vAlign w:val="top"/>
          </w:tcPr>
          <w:p w14:paraId="50E848FF">
            <w:pPr>
              <w:spacing w:line="220" w:lineRule="atLeast"/>
              <w:rPr>
                <w:rFonts w:ascii="宋体" w:hAnsi="宋体"/>
                <w:szCs w:val="21"/>
              </w:rPr>
            </w:pPr>
            <w:r>
              <w:rPr>
                <w:rFonts w:hint="eastAsia" w:ascii="宋体" w:hAnsi="宋体"/>
                <w:szCs w:val="21"/>
              </w:rPr>
              <w:t>维保时效</w:t>
            </w:r>
          </w:p>
        </w:tc>
        <w:tc>
          <w:tcPr>
            <w:tcW w:w="2661" w:type="dxa"/>
            <w:noWrap w:val="0"/>
            <w:vAlign w:val="top"/>
          </w:tcPr>
          <w:p w14:paraId="71FA2243">
            <w:pPr>
              <w:spacing w:line="220" w:lineRule="atLeast"/>
              <w:rPr>
                <w:rFonts w:ascii="宋体" w:hAnsi="宋体"/>
                <w:szCs w:val="21"/>
              </w:rPr>
            </w:pPr>
            <w:r>
              <w:rPr>
                <w:rFonts w:hint="eastAsia" w:ascii="宋体" w:hAnsi="宋体"/>
                <w:szCs w:val="21"/>
              </w:rPr>
              <w:t>维保内系统</w:t>
            </w:r>
            <w:r>
              <w:rPr>
                <w:rFonts w:hint="eastAsia" w:ascii="宋体" w:hAnsi="宋体" w:cs="Helvetica"/>
                <w:kern w:val="0"/>
                <w:szCs w:val="21"/>
              </w:rPr>
              <w:t>，一般故障，</w:t>
            </w:r>
            <w:r>
              <w:rPr>
                <w:rFonts w:hint="eastAsia" w:ascii="宋体" w:hAnsi="宋体" w:cs="Helvetica"/>
                <w:kern w:val="0"/>
                <w:szCs w:val="21"/>
                <w:u w:val="single"/>
              </w:rPr>
              <w:t xml:space="preserve">24   </w:t>
            </w:r>
            <w:r>
              <w:rPr>
                <w:rFonts w:hint="eastAsia" w:ascii="宋体" w:hAnsi="宋体" w:cs="Helvetica"/>
                <w:kern w:val="0"/>
                <w:szCs w:val="21"/>
              </w:rPr>
              <w:t>小时内修复，紧急故障，</w:t>
            </w:r>
            <w:r>
              <w:rPr>
                <w:rFonts w:hint="eastAsia" w:ascii="宋体" w:hAnsi="宋体" w:cs="Helvetica"/>
                <w:kern w:val="0"/>
                <w:szCs w:val="21"/>
                <w:u w:val="single"/>
              </w:rPr>
              <w:t xml:space="preserve">   2</w:t>
            </w:r>
            <w:r>
              <w:rPr>
                <w:rFonts w:hint="eastAsia" w:ascii="宋体" w:hAnsi="宋体" w:cs="Helvetica"/>
                <w:kern w:val="0"/>
                <w:szCs w:val="21"/>
              </w:rPr>
              <w:t>小时内修复，</w:t>
            </w:r>
            <w:r>
              <w:rPr>
                <w:rFonts w:hint="eastAsia" w:ascii="宋体" w:hAnsi="宋体"/>
                <w:szCs w:val="21"/>
              </w:rPr>
              <w:t>如有特殊情况向相关科室申请报备。</w:t>
            </w:r>
          </w:p>
        </w:tc>
        <w:tc>
          <w:tcPr>
            <w:tcW w:w="709" w:type="dxa"/>
            <w:noWrap w:val="0"/>
            <w:vAlign w:val="top"/>
          </w:tcPr>
          <w:p w14:paraId="282A7924">
            <w:pPr>
              <w:spacing w:line="220" w:lineRule="atLeast"/>
              <w:rPr>
                <w:rFonts w:ascii="宋体" w:hAnsi="宋体"/>
                <w:szCs w:val="21"/>
              </w:rPr>
            </w:pPr>
            <w:r>
              <w:rPr>
                <w:rFonts w:ascii="宋体" w:hAnsi="宋体"/>
                <w:szCs w:val="21"/>
              </w:rPr>
              <w:t>25%</w:t>
            </w:r>
          </w:p>
        </w:tc>
        <w:tc>
          <w:tcPr>
            <w:tcW w:w="1895" w:type="dxa"/>
            <w:noWrap w:val="0"/>
            <w:vAlign w:val="top"/>
          </w:tcPr>
          <w:p w14:paraId="050BB605">
            <w:pPr>
              <w:spacing w:line="220" w:lineRule="atLeast"/>
              <w:rPr>
                <w:rFonts w:ascii="宋体" w:hAnsi="宋体"/>
                <w:szCs w:val="21"/>
              </w:rPr>
            </w:pPr>
            <w:r>
              <w:rPr>
                <w:rFonts w:hint="eastAsia" w:ascii="宋体" w:hAnsi="宋体"/>
                <w:szCs w:val="21"/>
              </w:rPr>
              <w:t>□很满意；□满意□比较满意；     □一般；□不满意□很不满意</w:t>
            </w:r>
          </w:p>
        </w:tc>
        <w:tc>
          <w:tcPr>
            <w:tcW w:w="1791" w:type="dxa"/>
            <w:noWrap w:val="0"/>
            <w:vAlign w:val="top"/>
          </w:tcPr>
          <w:p w14:paraId="131FB5D5">
            <w:pPr>
              <w:spacing w:line="220" w:lineRule="atLeast"/>
              <w:rPr>
                <w:rFonts w:ascii="宋体" w:hAnsi="宋体"/>
                <w:szCs w:val="21"/>
              </w:rPr>
            </w:pPr>
            <w:r>
              <w:rPr>
                <w:rFonts w:hint="eastAsia" w:ascii="宋体" w:hAnsi="宋体"/>
                <w:szCs w:val="21"/>
              </w:rPr>
              <w:t>□很满意；□满意 □比较满意       □一般；□不满意 □很不满意</w:t>
            </w:r>
          </w:p>
        </w:tc>
        <w:tc>
          <w:tcPr>
            <w:tcW w:w="1790" w:type="dxa"/>
            <w:noWrap w:val="0"/>
            <w:vAlign w:val="top"/>
          </w:tcPr>
          <w:p w14:paraId="2F9F6FB1">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49E93C84">
            <w:pPr>
              <w:spacing w:line="220" w:lineRule="atLeast"/>
              <w:rPr>
                <w:rFonts w:ascii="宋体" w:hAnsi="宋体"/>
                <w:szCs w:val="21"/>
              </w:rPr>
            </w:pPr>
            <w:r>
              <w:rPr>
                <w:rFonts w:hint="eastAsia" w:ascii="宋体" w:hAnsi="宋体"/>
                <w:szCs w:val="21"/>
              </w:rPr>
              <w:t>□很满意；□满意 □比较满意       □一般；□不满意 □很不满意</w:t>
            </w:r>
          </w:p>
        </w:tc>
        <w:tc>
          <w:tcPr>
            <w:tcW w:w="1837" w:type="dxa"/>
            <w:noWrap w:val="0"/>
            <w:vAlign w:val="top"/>
          </w:tcPr>
          <w:p w14:paraId="709BF0FD">
            <w:pPr>
              <w:spacing w:line="220" w:lineRule="atLeast"/>
              <w:rPr>
                <w:rFonts w:ascii="宋体" w:hAnsi="宋体"/>
                <w:szCs w:val="21"/>
              </w:rPr>
            </w:pPr>
            <w:r>
              <w:rPr>
                <w:rFonts w:hint="eastAsia" w:ascii="宋体" w:hAnsi="宋体"/>
                <w:szCs w:val="21"/>
              </w:rPr>
              <w:t>□很满意；□满意 □比较满意       □一般；□不满意 □很不满意</w:t>
            </w:r>
          </w:p>
        </w:tc>
      </w:tr>
      <w:tr w14:paraId="181C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7940278B">
            <w:pPr>
              <w:spacing w:line="220" w:lineRule="atLeast"/>
              <w:rPr>
                <w:rFonts w:ascii="宋体" w:hAnsi="宋体"/>
                <w:szCs w:val="21"/>
              </w:rPr>
            </w:pPr>
            <w:r>
              <w:rPr>
                <w:rFonts w:hint="eastAsia" w:ascii="宋体" w:hAnsi="宋体"/>
                <w:szCs w:val="21"/>
              </w:rPr>
              <w:t>3</w:t>
            </w:r>
          </w:p>
        </w:tc>
        <w:tc>
          <w:tcPr>
            <w:tcW w:w="1166" w:type="dxa"/>
            <w:noWrap w:val="0"/>
            <w:vAlign w:val="top"/>
          </w:tcPr>
          <w:p w14:paraId="45A6575D">
            <w:pPr>
              <w:spacing w:line="220" w:lineRule="atLeast"/>
              <w:rPr>
                <w:rFonts w:ascii="宋体" w:hAnsi="宋体"/>
                <w:szCs w:val="21"/>
              </w:rPr>
            </w:pPr>
            <w:r>
              <w:rPr>
                <w:rFonts w:hint="eastAsia" w:ascii="宋体" w:hAnsi="宋体"/>
                <w:szCs w:val="21"/>
              </w:rPr>
              <w:t>维保完成率</w:t>
            </w:r>
          </w:p>
        </w:tc>
        <w:tc>
          <w:tcPr>
            <w:tcW w:w="2661" w:type="dxa"/>
            <w:noWrap w:val="0"/>
            <w:vAlign w:val="top"/>
          </w:tcPr>
          <w:p w14:paraId="50042B9A">
            <w:pPr>
              <w:spacing w:line="220" w:lineRule="atLeast"/>
              <w:rPr>
                <w:rFonts w:ascii="宋体" w:hAnsi="宋体"/>
                <w:szCs w:val="21"/>
              </w:rPr>
            </w:pPr>
            <w:r>
              <w:rPr>
                <w:rFonts w:hint="eastAsia" w:ascii="宋体" w:hAnsi="宋体" w:cs="宋体"/>
                <w:kern w:val="0"/>
                <w:szCs w:val="21"/>
              </w:rPr>
              <w:t>维保内系统每年按合同制定每次计划，落实每次维保均有维保记录，要求达到100%完成率。</w:t>
            </w:r>
          </w:p>
        </w:tc>
        <w:tc>
          <w:tcPr>
            <w:tcW w:w="709" w:type="dxa"/>
            <w:noWrap w:val="0"/>
            <w:vAlign w:val="top"/>
          </w:tcPr>
          <w:p w14:paraId="30870B8B">
            <w:pPr>
              <w:spacing w:line="220" w:lineRule="atLeast"/>
              <w:rPr>
                <w:rFonts w:ascii="宋体" w:hAnsi="宋体"/>
                <w:szCs w:val="21"/>
              </w:rPr>
            </w:pPr>
            <w:r>
              <w:rPr>
                <w:rFonts w:ascii="宋体" w:hAnsi="宋体"/>
                <w:szCs w:val="21"/>
              </w:rPr>
              <w:t>20%</w:t>
            </w:r>
          </w:p>
        </w:tc>
        <w:tc>
          <w:tcPr>
            <w:tcW w:w="1895" w:type="dxa"/>
            <w:noWrap w:val="0"/>
            <w:vAlign w:val="top"/>
          </w:tcPr>
          <w:p w14:paraId="04E38A99">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769AA546">
            <w:pPr>
              <w:spacing w:line="220" w:lineRule="atLeast"/>
              <w:rPr>
                <w:rFonts w:ascii="宋体" w:hAnsi="宋体"/>
                <w:szCs w:val="21"/>
              </w:rPr>
            </w:pPr>
            <w:r>
              <w:rPr>
                <w:rFonts w:hint="eastAsia" w:ascii="宋体" w:hAnsi="宋体"/>
                <w:szCs w:val="21"/>
              </w:rPr>
              <w:t>□很满意；□满意 □比较满意       □一般；□不满意 □很不满意</w:t>
            </w:r>
          </w:p>
        </w:tc>
        <w:tc>
          <w:tcPr>
            <w:tcW w:w="1790" w:type="dxa"/>
            <w:noWrap w:val="0"/>
            <w:vAlign w:val="top"/>
          </w:tcPr>
          <w:p w14:paraId="048245C6">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02B6C849">
            <w:pPr>
              <w:spacing w:line="220" w:lineRule="atLeast"/>
              <w:rPr>
                <w:rFonts w:ascii="宋体" w:hAnsi="宋体"/>
                <w:szCs w:val="21"/>
              </w:rPr>
            </w:pPr>
            <w:r>
              <w:rPr>
                <w:rFonts w:hint="eastAsia" w:ascii="宋体" w:hAnsi="宋体"/>
                <w:szCs w:val="21"/>
              </w:rPr>
              <w:t>□很满意；□满意 □比较满意       □一般；□不满意 □很不满意</w:t>
            </w:r>
          </w:p>
        </w:tc>
        <w:tc>
          <w:tcPr>
            <w:tcW w:w="1837" w:type="dxa"/>
            <w:noWrap w:val="0"/>
            <w:vAlign w:val="top"/>
          </w:tcPr>
          <w:p w14:paraId="448F7A96">
            <w:pPr>
              <w:spacing w:line="220" w:lineRule="atLeast"/>
              <w:rPr>
                <w:rFonts w:ascii="宋体" w:hAnsi="宋体"/>
                <w:szCs w:val="21"/>
              </w:rPr>
            </w:pPr>
            <w:r>
              <w:rPr>
                <w:rFonts w:hint="eastAsia" w:ascii="宋体" w:hAnsi="宋体"/>
                <w:szCs w:val="21"/>
              </w:rPr>
              <w:t>□很满意；□满意 □比较满意       □一般；□不满意 □很不满意</w:t>
            </w:r>
          </w:p>
        </w:tc>
      </w:tr>
      <w:tr w14:paraId="45A9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53D4D5EE">
            <w:pPr>
              <w:spacing w:line="220" w:lineRule="atLeast"/>
              <w:rPr>
                <w:rFonts w:ascii="宋体" w:hAnsi="宋体"/>
                <w:szCs w:val="21"/>
              </w:rPr>
            </w:pPr>
            <w:r>
              <w:rPr>
                <w:rFonts w:hint="eastAsia" w:ascii="宋体" w:hAnsi="宋体"/>
                <w:szCs w:val="21"/>
              </w:rPr>
              <w:t>4</w:t>
            </w:r>
          </w:p>
        </w:tc>
        <w:tc>
          <w:tcPr>
            <w:tcW w:w="1166" w:type="dxa"/>
            <w:noWrap w:val="0"/>
            <w:vAlign w:val="top"/>
          </w:tcPr>
          <w:p w14:paraId="6B9E5494">
            <w:pPr>
              <w:spacing w:line="220" w:lineRule="atLeast"/>
              <w:rPr>
                <w:rFonts w:ascii="宋体" w:hAnsi="宋体"/>
                <w:szCs w:val="21"/>
              </w:rPr>
            </w:pPr>
            <w:r>
              <w:rPr>
                <w:rFonts w:hint="eastAsia" w:ascii="宋体" w:hAnsi="宋体"/>
                <w:szCs w:val="21"/>
              </w:rPr>
              <w:t>维保内系统正常运行率</w:t>
            </w:r>
          </w:p>
        </w:tc>
        <w:tc>
          <w:tcPr>
            <w:tcW w:w="2661" w:type="dxa"/>
            <w:noWrap w:val="0"/>
            <w:vAlign w:val="top"/>
          </w:tcPr>
          <w:p w14:paraId="32067281">
            <w:pPr>
              <w:spacing w:line="220" w:lineRule="atLeast"/>
              <w:rPr>
                <w:rFonts w:ascii="宋体" w:hAnsi="宋体"/>
                <w:szCs w:val="21"/>
              </w:rPr>
            </w:pPr>
            <w:r>
              <w:rPr>
                <w:rFonts w:hint="eastAsia" w:ascii="宋体" w:hAnsi="宋体"/>
                <w:szCs w:val="21"/>
              </w:rPr>
              <w:t>维保内系统正常运行率不得低于99%。</w:t>
            </w:r>
          </w:p>
        </w:tc>
        <w:tc>
          <w:tcPr>
            <w:tcW w:w="709" w:type="dxa"/>
            <w:noWrap w:val="0"/>
            <w:vAlign w:val="top"/>
          </w:tcPr>
          <w:p w14:paraId="41C7C024">
            <w:pPr>
              <w:spacing w:line="220" w:lineRule="atLeast"/>
              <w:rPr>
                <w:rFonts w:ascii="宋体" w:hAnsi="宋体"/>
                <w:szCs w:val="21"/>
              </w:rPr>
            </w:pPr>
            <w:r>
              <w:rPr>
                <w:rFonts w:ascii="宋体" w:hAnsi="宋体"/>
                <w:szCs w:val="21"/>
              </w:rPr>
              <w:t>20%</w:t>
            </w:r>
          </w:p>
        </w:tc>
        <w:tc>
          <w:tcPr>
            <w:tcW w:w="1895" w:type="dxa"/>
            <w:noWrap w:val="0"/>
            <w:vAlign w:val="top"/>
          </w:tcPr>
          <w:p w14:paraId="1D17CD40">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69392706">
            <w:pPr>
              <w:spacing w:line="220" w:lineRule="atLeast"/>
              <w:rPr>
                <w:rFonts w:ascii="宋体" w:hAnsi="宋体"/>
                <w:szCs w:val="21"/>
              </w:rPr>
            </w:pPr>
            <w:r>
              <w:rPr>
                <w:rFonts w:hint="eastAsia" w:ascii="宋体" w:hAnsi="宋体"/>
                <w:szCs w:val="21"/>
              </w:rPr>
              <w:t>□很满意；□满意 □比较满意       □一般；□不满意 □很不满意</w:t>
            </w:r>
          </w:p>
        </w:tc>
        <w:tc>
          <w:tcPr>
            <w:tcW w:w="1790" w:type="dxa"/>
            <w:noWrap w:val="0"/>
            <w:vAlign w:val="top"/>
          </w:tcPr>
          <w:p w14:paraId="163B98E3">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4A8BD992">
            <w:pPr>
              <w:spacing w:line="220" w:lineRule="atLeast"/>
              <w:rPr>
                <w:rFonts w:ascii="宋体" w:hAnsi="宋体"/>
                <w:szCs w:val="21"/>
              </w:rPr>
            </w:pPr>
            <w:r>
              <w:rPr>
                <w:rFonts w:hint="eastAsia" w:ascii="宋体" w:hAnsi="宋体"/>
                <w:szCs w:val="21"/>
              </w:rPr>
              <w:t>□很满意；□满意 □比较满意       □一般；□不满意 □很不满意</w:t>
            </w:r>
          </w:p>
        </w:tc>
        <w:tc>
          <w:tcPr>
            <w:tcW w:w="1837" w:type="dxa"/>
            <w:noWrap w:val="0"/>
            <w:vAlign w:val="top"/>
          </w:tcPr>
          <w:p w14:paraId="33A7543F">
            <w:pPr>
              <w:spacing w:line="220" w:lineRule="atLeast"/>
              <w:rPr>
                <w:rFonts w:ascii="宋体" w:hAnsi="宋体"/>
                <w:szCs w:val="21"/>
              </w:rPr>
            </w:pPr>
            <w:r>
              <w:rPr>
                <w:rFonts w:hint="eastAsia" w:ascii="宋体" w:hAnsi="宋体"/>
                <w:szCs w:val="21"/>
              </w:rPr>
              <w:t>□很满意；□满意 □比较满意       □一般；□不满意 □很不满意</w:t>
            </w:r>
          </w:p>
        </w:tc>
      </w:tr>
      <w:tr w14:paraId="73CB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57F1C9E3">
            <w:pPr>
              <w:spacing w:line="220" w:lineRule="atLeast"/>
              <w:rPr>
                <w:rFonts w:ascii="宋体" w:hAnsi="宋体"/>
                <w:szCs w:val="21"/>
              </w:rPr>
            </w:pPr>
            <w:r>
              <w:rPr>
                <w:rFonts w:hint="eastAsia" w:ascii="宋体" w:hAnsi="宋体"/>
                <w:szCs w:val="21"/>
              </w:rPr>
              <w:t>5</w:t>
            </w:r>
          </w:p>
        </w:tc>
        <w:tc>
          <w:tcPr>
            <w:tcW w:w="1166" w:type="dxa"/>
            <w:noWrap w:val="0"/>
            <w:vAlign w:val="top"/>
          </w:tcPr>
          <w:p w14:paraId="7B9CC4A2">
            <w:pPr>
              <w:spacing w:line="220" w:lineRule="atLeast"/>
              <w:rPr>
                <w:rFonts w:ascii="宋体" w:hAnsi="宋体"/>
                <w:szCs w:val="21"/>
              </w:rPr>
            </w:pPr>
            <w:r>
              <w:rPr>
                <w:rFonts w:hint="eastAsia" w:ascii="宋体" w:hAnsi="宋体"/>
                <w:szCs w:val="21"/>
              </w:rPr>
              <w:t>维保记录</w:t>
            </w:r>
          </w:p>
        </w:tc>
        <w:tc>
          <w:tcPr>
            <w:tcW w:w="2661" w:type="dxa"/>
            <w:noWrap w:val="0"/>
            <w:vAlign w:val="top"/>
          </w:tcPr>
          <w:p w14:paraId="17899DEF">
            <w:pPr>
              <w:spacing w:line="220" w:lineRule="atLeast"/>
              <w:rPr>
                <w:rFonts w:ascii="宋体" w:hAnsi="宋体"/>
                <w:szCs w:val="21"/>
              </w:rPr>
            </w:pPr>
            <w:r>
              <w:rPr>
                <w:rFonts w:hint="eastAsia" w:ascii="宋体" w:hAnsi="宋体" w:cs="Helvetica"/>
                <w:color w:val="3E3E3E"/>
                <w:kern w:val="0"/>
                <w:sz w:val="24"/>
                <w:szCs w:val="24"/>
              </w:rPr>
              <w:t xml:space="preserve">每个 </w:t>
            </w:r>
            <w:r>
              <w:rPr>
                <w:rFonts w:hint="eastAsia" w:ascii="仿宋_GB2312" w:hAnsi="宋体" w:eastAsia="仿宋_GB2312"/>
                <w:sz w:val="24"/>
              </w:rPr>
              <w:sym w:font="Wingdings 2" w:char="0052"/>
            </w:r>
            <w:r>
              <w:rPr>
                <w:rFonts w:hint="eastAsia" w:ascii="宋体" w:hAnsi="宋体" w:cs="Helvetica"/>
                <w:color w:val="3E3E3E"/>
                <w:kern w:val="0"/>
                <w:sz w:val="24"/>
                <w:szCs w:val="24"/>
              </w:rPr>
              <w:t>月、</w:t>
            </w:r>
            <w:r>
              <w:rPr>
                <w:rFonts w:hint="eastAsia" w:ascii="宋体" w:hAnsi="宋体"/>
                <w:szCs w:val="21"/>
              </w:rPr>
              <w:t>□</w:t>
            </w:r>
            <w:r>
              <w:rPr>
                <w:rFonts w:hint="eastAsia" w:ascii="宋体" w:hAnsi="宋体" w:cs="Helvetica"/>
                <w:color w:val="3E3E3E"/>
                <w:kern w:val="0"/>
                <w:sz w:val="24"/>
                <w:szCs w:val="24"/>
              </w:rPr>
              <w:t>季度提交维护记录。</w:t>
            </w:r>
          </w:p>
        </w:tc>
        <w:tc>
          <w:tcPr>
            <w:tcW w:w="709" w:type="dxa"/>
            <w:noWrap w:val="0"/>
            <w:vAlign w:val="top"/>
          </w:tcPr>
          <w:p w14:paraId="5324041A">
            <w:pPr>
              <w:spacing w:line="220" w:lineRule="atLeast"/>
              <w:rPr>
                <w:rFonts w:ascii="宋体" w:hAnsi="宋体"/>
                <w:szCs w:val="21"/>
              </w:rPr>
            </w:pPr>
            <w:r>
              <w:rPr>
                <w:rFonts w:ascii="宋体" w:hAnsi="宋体"/>
                <w:szCs w:val="21"/>
              </w:rPr>
              <w:t>12%</w:t>
            </w:r>
          </w:p>
        </w:tc>
        <w:tc>
          <w:tcPr>
            <w:tcW w:w="1895" w:type="dxa"/>
            <w:noWrap w:val="0"/>
            <w:vAlign w:val="top"/>
          </w:tcPr>
          <w:p w14:paraId="68C41322">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35562C04">
            <w:pPr>
              <w:spacing w:line="220" w:lineRule="atLeast"/>
              <w:rPr>
                <w:rFonts w:ascii="宋体" w:hAnsi="宋体"/>
                <w:szCs w:val="21"/>
              </w:rPr>
            </w:pPr>
            <w:r>
              <w:rPr>
                <w:rFonts w:hint="eastAsia" w:ascii="宋体" w:hAnsi="宋体"/>
                <w:szCs w:val="21"/>
              </w:rPr>
              <w:t>□很满意；□满意 □比较满意       □一般；□不满意 □很不满意</w:t>
            </w:r>
          </w:p>
        </w:tc>
        <w:tc>
          <w:tcPr>
            <w:tcW w:w="1790" w:type="dxa"/>
            <w:noWrap w:val="0"/>
            <w:vAlign w:val="top"/>
          </w:tcPr>
          <w:p w14:paraId="737E0261">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19E7603E">
            <w:pPr>
              <w:spacing w:line="220" w:lineRule="atLeast"/>
              <w:rPr>
                <w:rFonts w:ascii="宋体" w:hAnsi="宋体"/>
                <w:szCs w:val="21"/>
              </w:rPr>
            </w:pPr>
            <w:r>
              <w:rPr>
                <w:rFonts w:hint="eastAsia" w:ascii="宋体" w:hAnsi="宋体"/>
                <w:szCs w:val="21"/>
              </w:rPr>
              <w:t>□很满意；□满意 □比较满意       □一般；□不满意 □很不满意</w:t>
            </w:r>
          </w:p>
        </w:tc>
        <w:tc>
          <w:tcPr>
            <w:tcW w:w="1837" w:type="dxa"/>
            <w:noWrap w:val="0"/>
            <w:vAlign w:val="top"/>
          </w:tcPr>
          <w:p w14:paraId="004CCDF3">
            <w:pPr>
              <w:spacing w:line="220" w:lineRule="atLeast"/>
              <w:rPr>
                <w:rFonts w:ascii="宋体" w:hAnsi="宋体"/>
                <w:szCs w:val="21"/>
              </w:rPr>
            </w:pPr>
            <w:r>
              <w:rPr>
                <w:rFonts w:hint="eastAsia" w:ascii="宋体" w:hAnsi="宋体"/>
                <w:szCs w:val="21"/>
              </w:rPr>
              <w:t>□很满意；□满意 □比较满意       □一般；□不满意 □很不满意</w:t>
            </w:r>
          </w:p>
        </w:tc>
      </w:tr>
      <w:tr w14:paraId="18D7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53B85B1D">
            <w:pPr>
              <w:spacing w:line="220" w:lineRule="atLeast"/>
              <w:rPr>
                <w:rFonts w:ascii="宋体" w:hAnsi="宋体"/>
                <w:szCs w:val="21"/>
              </w:rPr>
            </w:pPr>
            <w:r>
              <w:rPr>
                <w:rFonts w:hint="eastAsia" w:ascii="宋体" w:hAnsi="宋体"/>
                <w:szCs w:val="21"/>
              </w:rPr>
              <w:t>6</w:t>
            </w:r>
          </w:p>
        </w:tc>
        <w:tc>
          <w:tcPr>
            <w:tcW w:w="1166" w:type="dxa"/>
            <w:noWrap w:val="0"/>
            <w:vAlign w:val="top"/>
          </w:tcPr>
          <w:p w14:paraId="68A926D0">
            <w:pPr>
              <w:spacing w:line="220" w:lineRule="atLeast"/>
              <w:rPr>
                <w:rFonts w:ascii="宋体" w:hAnsi="宋体"/>
                <w:szCs w:val="21"/>
              </w:rPr>
            </w:pPr>
            <w:r>
              <w:rPr>
                <w:rFonts w:hint="eastAsia" w:ascii="宋体" w:hAnsi="宋体"/>
                <w:szCs w:val="21"/>
              </w:rPr>
              <w:t>服务态度</w:t>
            </w:r>
          </w:p>
        </w:tc>
        <w:tc>
          <w:tcPr>
            <w:tcW w:w="2661" w:type="dxa"/>
            <w:noWrap w:val="0"/>
            <w:vAlign w:val="top"/>
          </w:tcPr>
          <w:p w14:paraId="67EEC8FE">
            <w:pPr>
              <w:spacing w:line="220" w:lineRule="atLeast"/>
              <w:rPr>
                <w:rFonts w:ascii="宋体" w:hAnsi="宋体"/>
                <w:szCs w:val="21"/>
              </w:rPr>
            </w:pPr>
            <w:r>
              <w:rPr>
                <w:rFonts w:hint="eastAsia" w:ascii="宋体" w:hAnsi="宋体"/>
                <w:szCs w:val="21"/>
              </w:rPr>
              <w:t>工作时服务态度有问题，被投诉举报等。</w:t>
            </w:r>
          </w:p>
        </w:tc>
        <w:tc>
          <w:tcPr>
            <w:tcW w:w="709" w:type="dxa"/>
            <w:noWrap w:val="0"/>
            <w:vAlign w:val="top"/>
          </w:tcPr>
          <w:p w14:paraId="2967E6C5">
            <w:pPr>
              <w:spacing w:line="220" w:lineRule="atLeast"/>
              <w:rPr>
                <w:rFonts w:ascii="宋体" w:hAnsi="宋体"/>
                <w:szCs w:val="21"/>
              </w:rPr>
            </w:pPr>
            <w:r>
              <w:rPr>
                <w:rFonts w:ascii="宋体" w:hAnsi="宋体"/>
                <w:szCs w:val="21"/>
              </w:rPr>
              <w:t>13%</w:t>
            </w:r>
          </w:p>
        </w:tc>
        <w:tc>
          <w:tcPr>
            <w:tcW w:w="1895" w:type="dxa"/>
            <w:noWrap w:val="0"/>
            <w:vAlign w:val="top"/>
          </w:tcPr>
          <w:p w14:paraId="7BCDAA64">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38360E0F">
            <w:pPr>
              <w:spacing w:line="220" w:lineRule="atLeast"/>
              <w:rPr>
                <w:rFonts w:ascii="宋体" w:hAnsi="宋体"/>
                <w:szCs w:val="21"/>
              </w:rPr>
            </w:pPr>
            <w:r>
              <w:rPr>
                <w:rFonts w:hint="eastAsia" w:ascii="宋体" w:hAnsi="宋体"/>
                <w:szCs w:val="21"/>
              </w:rPr>
              <w:t>□很满意；□满意 □比较满意       □一般；□不满意 □很不满意</w:t>
            </w:r>
          </w:p>
        </w:tc>
        <w:tc>
          <w:tcPr>
            <w:tcW w:w="1790" w:type="dxa"/>
            <w:noWrap w:val="0"/>
            <w:vAlign w:val="top"/>
          </w:tcPr>
          <w:p w14:paraId="130F2635">
            <w:pPr>
              <w:spacing w:line="220" w:lineRule="atLeast"/>
              <w:rPr>
                <w:rFonts w:ascii="宋体" w:hAnsi="宋体"/>
                <w:szCs w:val="21"/>
              </w:rPr>
            </w:pPr>
            <w:r>
              <w:rPr>
                <w:rFonts w:hint="eastAsia" w:ascii="宋体" w:hAnsi="宋体"/>
                <w:szCs w:val="21"/>
              </w:rPr>
              <w:t>□很满意；□满意 □比较满意       □一般；□不满意 □很不满意</w:t>
            </w:r>
          </w:p>
        </w:tc>
        <w:tc>
          <w:tcPr>
            <w:tcW w:w="1791" w:type="dxa"/>
            <w:noWrap w:val="0"/>
            <w:vAlign w:val="top"/>
          </w:tcPr>
          <w:p w14:paraId="0EB314FB">
            <w:pPr>
              <w:spacing w:line="220" w:lineRule="atLeast"/>
              <w:rPr>
                <w:rFonts w:ascii="宋体" w:hAnsi="宋体"/>
                <w:szCs w:val="21"/>
              </w:rPr>
            </w:pPr>
            <w:r>
              <w:rPr>
                <w:rFonts w:hint="eastAsia" w:ascii="宋体" w:hAnsi="宋体"/>
                <w:szCs w:val="21"/>
              </w:rPr>
              <w:t>□很满意；□满意 □比较满意       □一般；□不满意 □很不满意</w:t>
            </w:r>
          </w:p>
        </w:tc>
        <w:tc>
          <w:tcPr>
            <w:tcW w:w="1837" w:type="dxa"/>
            <w:noWrap w:val="0"/>
            <w:vAlign w:val="top"/>
          </w:tcPr>
          <w:p w14:paraId="3EAB676E">
            <w:pPr>
              <w:spacing w:line="220" w:lineRule="atLeast"/>
              <w:rPr>
                <w:rFonts w:ascii="宋体" w:hAnsi="宋体"/>
                <w:szCs w:val="21"/>
              </w:rPr>
            </w:pPr>
            <w:r>
              <w:rPr>
                <w:rFonts w:hint="eastAsia" w:ascii="宋体" w:hAnsi="宋体"/>
                <w:szCs w:val="21"/>
              </w:rPr>
              <w:t>□很满意；□满意 □比较满意       □一般；□不满意 □很不满意</w:t>
            </w:r>
          </w:p>
        </w:tc>
      </w:tr>
    </w:tbl>
    <w:p w14:paraId="3233678F">
      <w:pPr>
        <w:pStyle w:val="21"/>
        <w:numPr>
          <w:ilvl w:val="0"/>
          <w:numId w:val="0"/>
        </w:numPr>
        <w:jc w:val="center"/>
        <w:rPr>
          <w:rFonts w:hint="default" w:ascii="宋体" w:hAnsi="宋体" w:cs="宋体"/>
          <w:b/>
          <w:szCs w:val="21"/>
          <w:highlight w:val="none"/>
          <w:lang w:val="en-US" w:eastAsia="zh-CN"/>
        </w:rPr>
      </w:pP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F2EE80F-258F-492D-B50C-47978FFD0699}"/>
  </w:font>
  <w:font w:name="黑体">
    <w:panose1 w:val="02010609060101010101"/>
    <w:charset w:val="86"/>
    <w:family w:val="auto"/>
    <w:pitch w:val="default"/>
    <w:sig w:usb0="800002BF" w:usb1="38CF7CFA" w:usb2="00000016" w:usb3="00000000" w:csb0="00040001" w:csb1="00000000"/>
    <w:embedRegular r:id="rId2" w:fontKey="{F565739E-068C-41D8-BE09-89BBB6EF37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C6F406C-03F4-4CBD-9A8C-77185A077478}"/>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7C99E798-FAD4-4336-8DFE-512AEFF14782}"/>
  </w:font>
  <w:font w:name="华文中宋">
    <w:panose1 w:val="02010600040101010101"/>
    <w:charset w:val="86"/>
    <w:family w:val="auto"/>
    <w:pitch w:val="default"/>
    <w:sig w:usb0="00000287" w:usb1="080F0000" w:usb2="00000000" w:usb3="00000000" w:csb0="0004009F" w:csb1="DFD70000"/>
    <w:embedRegular r:id="rId5" w:fontKey="{17DC8CCE-5176-4B7A-88C5-90E4A45AF1D9}"/>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6" w:fontKey="{09AB0269-DA7C-4514-903C-CFB7D7A97B29}"/>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7" w:fontKey="{DD5FE79E-5455-4E30-ADB2-D0D20240BC26}"/>
  </w:font>
  <w:font w:name="方正小标宋_GBK">
    <w:panose1 w:val="02000000000000000000"/>
    <w:charset w:val="86"/>
    <w:family w:val="script"/>
    <w:pitch w:val="default"/>
    <w:sig w:usb0="A00002BF" w:usb1="38CF7CFA" w:usb2="00082016" w:usb3="00000000" w:csb0="00040001" w:csb1="00000000"/>
    <w:embedRegular r:id="rId8" w:fontKey="{2E953BE4-3978-4B6B-846E-7315E1624212}"/>
  </w:font>
  <w:font w:name="楷体_GB2312">
    <w:panose1 w:val="02010609030101010101"/>
    <w:charset w:val="86"/>
    <w:family w:val="modern"/>
    <w:pitch w:val="default"/>
    <w:sig w:usb0="00000001" w:usb1="080E0000" w:usb2="00000000" w:usb3="00000000" w:csb0="00040000" w:csb1="00000000"/>
    <w:embedRegular r:id="rId9" w:fontKey="{E454793E-CC9D-4481-A292-D1C51D077717}"/>
  </w:font>
  <w:font w:name="Wingdings 2">
    <w:altName w:val="Wingdings"/>
    <w:panose1 w:val="05020102010507070707"/>
    <w:charset w:val="02"/>
    <w:family w:val="roman"/>
    <w:pitch w:val="default"/>
    <w:sig w:usb0="00000000" w:usb1="00000000" w:usb2="00000000" w:usb3="00000000" w:csb0="80000000" w:csb1="00000000"/>
    <w:embedRegular r:id="rId10" w:fontKey="{1B180B20-D0BC-43B4-8AA9-6BEFBBAEA058}"/>
  </w:font>
  <w:font w:name="Helvetica">
    <w:altName w:val="Arial"/>
    <w:panose1 w:val="020B0604020202020204"/>
    <w:charset w:val="00"/>
    <w:family w:val="swiss"/>
    <w:pitch w:val="default"/>
    <w:sig w:usb0="00000000" w:usb1="00000000" w:usb2="00000009" w:usb3="00000000" w:csb0="000001FF" w:csb1="00000000"/>
    <w:embedRegular r:id="rId11" w:fontKey="{5CF651BB-869E-4546-A99D-DE02F474914A}"/>
  </w:font>
  <w:font w:name="WPSEMBED3">
    <w:panose1 w:val="02010600040101010101"/>
    <w:charset w:val="86"/>
    <w:family w:val="auto"/>
    <w:pitch w:val="default"/>
    <w:sig w:usb0="00000287" w:usb1="080F0000" w:usb2="00000000" w:usb3="00000000" w:csb0="0004009F" w:csb1="DFD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15E674"/>
    <w:multiLevelType w:val="singleLevel"/>
    <w:tmpl w:val="2615E674"/>
    <w:lvl w:ilvl="0" w:tentative="0">
      <w:start w:val="1"/>
      <w:numFmt w:val="decimal"/>
      <w:suff w:val="space"/>
      <w:lvlText w:val="%1."/>
      <w:lvlJc w:val="left"/>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31F5E22"/>
    <w:multiLevelType w:val="multilevel"/>
    <w:tmpl w:val="331F5E22"/>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1211" w:hanging="36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080" w:hanging="1080"/>
      </w:pPr>
      <w:rPr>
        <w:rFonts w:hint="default"/>
      </w:rPr>
    </w:lvl>
    <w:lvl w:ilvl="8" w:tentative="0">
      <w:start w:val="1"/>
      <w:numFmt w:val="decimal"/>
      <w:lvlText w:val="%1.%2.%3.%4.%5.%6.%7.%8.%9"/>
      <w:lvlJc w:val="left"/>
      <w:pPr>
        <w:ind w:left="1440" w:hanging="1440"/>
      </w:pPr>
      <w:rPr>
        <w:rFonts w:hint="default"/>
      </w:rPr>
    </w:lvl>
  </w:abstractNum>
  <w:abstractNum w:abstractNumId="10">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7">
    <w:nsid w:val="781A4CC6"/>
    <w:multiLevelType w:val="multilevel"/>
    <w:tmpl w:val="781A4CC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6"/>
  </w:num>
  <w:num w:numId="2">
    <w:abstractNumId w:val="5"/>
  </w:num>
  <w:num w:numId="3">
    <w:abstractNumId w:val="2"/>
  </w:num>
  <w:num w:numId="4">
    <w:abstractNumId w:val="1"/>
  </w:num>
  <w:num w:numId="5">
    <w:abstractNumId w:val="14"/>
  </w:num>
  <w:num w:numId="6">
    <w:abstractNumId w:val="3"/>
  </w:num>
  <w:num w:numId="7">
    <w:abstractNumId w:val="9"/>
  </w:num>
  <w:num w:numId="8">
    <w:abstractNumId w:val="6"/>
  </w:num>
  <w:num w:numId="9">
    <w:abstractNumId w:val="8"/>
  </w:num>
  <w:num w:numId="10">
    <w:abstractNumId w:val="11"/>
  </w:num>
  <w:num w:numId="11">
    <w:abstractNumId w:val="10"/>
  </w:num>
  <w:num w:numId="12">
    <w:abstractNumId w:val="15"/>
  </w:num>
  <w:num w:numId="13">
    <w:abstractNumId w:val="1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7"/>
  </w:num>
  <w:num w:numId="1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孙军欢">
    <w15:presenceInfo w15:providerId="None" w15:userId="孙军欢"/>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7F9414A"/>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E567D5"/>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DF2C5D"/>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9631B0"/>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8D61E2F"/>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CCE4F13"/>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7A1A94"/>
    <w:rsid w:val="61C708F5"/>
    <w:rsid w:val="626471E8"/>
    <w:rsid w:val="626A5FE2"/>
    <w:rsid w:val="629425AC"/>
    <w:rsid w:val="62CC50D9"/>
    <w:rsid w:val="630E06E5"/>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877709"/>
    <w:rsid w:val="72B77A32"/>
    <w:rsid w:val="72D65595"/>
    <w:rsid w:val="72FD42D3"/>
    <w:rsid w:val="732D0CFA"/>
    <w:rsid w:val="7337437A"/>
    <w:rsid w:val="7346211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2"/>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autoRedefine/>
    <w:qFormat/>
    <w:uiPriority w:val="0"/>
    <w:pPr>
      <w:spacing w:after="120"/>
    </w:pPr>
    <w:rPr>
      <w:rFonts w:eastAsia="宋体"/>
    </w:rPr>
  </w:style>
  <w:style w:type="paragraph" w:styleId="8">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9"/>
    <w:semiHidden/>
    <w:qFormat/>
    <w:uiPriority w:val="0"/>
    <w:pPr>
      <w:shd w:val="clear" w:color="auto" w:fill="000080"/>
    </w:pPr>
    <w:rPr>
      <w:rFonts w:eastAsia="宋体"/>
    </w:rPr>
  </w:style>
  <w:style w:type="paragraph" w:styleId="10">
    <w:name w:val="annotation text"/>
    <w:basedOn w:val="1"/>
    <w:link w:val="45"/>
    <w:qFormat/>
    <w:uiPriority w:val="0"/>
    <w:pPr>
      <w:jc w:val="left"/>
    </w:pPr>
    <w:rPr>
      <w:rFonts w:ascii="Calibri" w:hAnsi="Calibri"/>
      <w:szCs w:val="20"/>
    </w:rPr>
  </w:style>
  <w:style w:type="paragraph" w:styleId="11">
    <w:name w:val="Body Text 3"/>
    <w:basedOn w:val="1"/>
    <w:link w:val="80"/>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69"/>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0"/>
    <w:autoRedefine/>
    <w:semiHidden/>
    <w:qFormat/>
    <w:uiPriority w:val="99"/>
    <w:rPr>
      <w:rFonts w:ascii="Times New Roman" w:hAnsi="Times New Roman"/>
      <w:kern w:val="2"/>
      <w:sz w:val="21"/>
      <w:szCs w:val="24"/>
    </w:rPr>
  </w:style>
  <w:style w:type="character" w:customStyle="1" w:styleId="46">
    <w:name w:val="标题 1 字符"/>
    <w:basedOn w:val="28"/>
    <w:link w:val="3"/>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8"/>
    <w:autoRedefine/>
    <w:qFormat/>
    <w:uiPriority w:val="0"/>
    <w:rPr>
      <w:rFonts w:ascii="Times New Roman" w:hAnsi="Times New Roman" w:eastAsia="宋体"/>
      <w:kern w:val="2"/>
      <w:sz w:val="24"/>
    </w:rPr>
  </w:style>
  <w:style w:type="character" w:customStyle="1" w:styleId="51">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5"/>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6"/>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2"/>
    <w:autoRedefine/>
    <w:qFormat/>
    <w:uiPriority w:val="0"/>
    <w:rPr>
      <w:kern w:val="2"/>
      <w:sz w:val="21"/>
      <w:szCs w:val="24"/>
    </w:rPr>
  </w:style>
  <w:style w:type="paragraph" w:customStyle="1" w:styleId="64">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1"/>
    <w:autoRedefine/>
    <w:qFormat/>
    <w:uiPriority w:val="0"/>
    <w:rPr>
      <w:kern w:val="2"/>
      <w:sz w:val="16"/>
      <w:szCs w:val="16"/>
    </w:rPr>
  </w:style>
  <w:style w:type="character" w:customStyle="1" w:styleId="81">
    <w:name w:val="标题 5 字符"/>
    <w:basedOn w:val="28"/>
    <w:link w:val="7"/>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7">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88">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89">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1755</Words>
  <Characters>1853</Characters>
  <Lines>87</Lines>
  <Paragraphs>24</Paragraphs>
  <TotalTime>5</TotalTime>
  <ScaleCrop>false</ScaleCrop>
  <LinksUpToDate>false</LinksUpToDate>
  <CharactersWithSpaces>1913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2026-04-08T00:29:23Z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