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5CD21">
      <w:pPr>
        <w:spacing w:line="560" w:lineRule="exact"/>
        <w:jc w:val="center"/>
        <w:rPr>
          <w:rFonts w:hint="eastAsia"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A20CEE9">
      <w:pPr>
        <w:spacing w:line="640" w:lineRule="exact"/>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64068CFC">
      <w:pPr>
        <w:spacing w:line="540" w:lineRule="exact"/>
        <w:ind w:firstLine="240" w:firstLineChars="100"/>
        <w:rPr>
          <w:rFonts w:hint="eastAsia"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DE8AEE2">
      <w:pPr>
        <w:spacing w:line="540" w:lineRule="exact"/>
        <w:ind w:firstLine="361" w:firstLineChars="100"/>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20BAEEBF">
      <w:pPr>
        <w:spacing w:before="100" w:beforeAutospacing="1" w:line="276" w:lineRule="auto"/>
        <w:rPr>
          <w:rFonts w:hint="eastAsia"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23DFC278">
      <w:pPr>
        <w:spacing w:before="100" w:beforeAutospacing="1" w:line="276" w:lineRule="auto"/>
        <w:ind w:firstLine="723" w:firstLineChars="300"/>
        <w:rPr>
          <w:rFonts w:hint="eastAsia"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 心血管内科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11"/>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0184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5D6861F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1CE33B4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1B04E5A0">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6D8CF083">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428A618B">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186C14B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0AF4F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7E84B515">
            <w:pPr>
              <w:jc w:val="center"/>
              <w:rPr>
                <w:rFonts w:hint="eastAsia" w:asciiTheme="majorEastAsia" w:hAnsiTheme="majorEastAsia" w:eastAsiaTheme="majorEastAsia"/>
                <w:sz w:val="24"/>
                <w:szCs w:val="21"/>
              </w:rPr>
            </w:pPr>
            <w:bookmarkStart w:id="0" w:name="OLE_LINK7"/>
            <w:r>
              <w:rPr>
                <w:rFonts w:hint="eastAsia" w:asciiTheme="majorEastAsia" w:hAnsiTheme="majorEastAsia" w:eastAsiaTheme="majorEastAsia"/>
                <w:sz w:val="24"/>
                <w:szCs w:val="21"/>
              </w:rPr>
              <w:t>肾动脉射频消融仪</w:t>
            </w:r>
            <w:bookmarkEnd w:id="0"/>
          </w:p>
        </w:tc>
        <w:tc>
          <w:tcPr>
            <w:tcW w:w="1559" w:type="dxa"/>
            <w:gridSpan w:val="3"/>
            <w:vAlign w:val="center"/>
          </w:tcPr>
          <w:p w14:paraId="6DF29735">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0EB9CCEC">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0F2407F9">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84" w:type="dxa"/>
            <w:gridSpan w:val="2"/>
          </w:tcPr>
          <w:p w14:paraId="7DFDC5EE">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0.15</w:t>
            </w:r>
          </w:p>
        </w:tc>
        <w:tc>
          <w:tcPr>
            <w:tcW w:w="2055" w:type="dxa"/>
            <w:gridSpan w:val="2"/>
            <w:vAlign w:val="center"/>
          </w:tcPr>
          <w:p w14:paraId="0CAED2F5">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0.15</w:t>
            </w:r>
          </w:p>
        </w:tc>
      </w:tr>
      <w:tr w14:paraId="401F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3" w:type="dxa"/>
            <w:gridSpan w:val="2"/>
            <w:vAlign w:val="center"/>
          </w:tcPr>
          <w:p w14:paraId="57B059A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6DBEE5DD">
            <w:pPr>
              <w:rPr>
                <w:rFonts w:hint="eastAsia" w:asciiTheme="majorEastAsia" w:hAnsiTheme="majorEastAsia" w:eastAsiaTheme="majorEastAsia"/>
                <w:sz w:val="24"/>
                <w:szCs w:val="21"/>
              </w:rPr>
            </w:pPr>
            <w:r>
              <w:rPr>
                <w:rFonts w:ascii="宋体" w:hAnsi="宋体" w:cs="宋体"/>
                <w:sz w:val="24"/>
              </w:rPr>
              <w:t>随着高血压及肾动脉交感神经过度活跃相关疾病的发病率逐年上升，药物治疗存在耐药性及副作用等问题，微创介入治疗成为重要选择。肾动脉射频消融术（RDN）通过导管消融技术阻断肾动脉周围交感神经，实现长效降压及器官保护，具有创伤小、恢复快等优势。目前我院心血管内科、肾内科及高血压专科患者需求量大，但缺乏专用设备，制约了技术开展。引进肾动脉射频消融仪可填补技术空白，提升难治性高血压、慢性肾病等患者的诊疗水平，降低外转率，同时推动学科科研与临床转化。该项目符合精准医疗发展趋势，具有显著的社会效益和经济效益。</w:t>
            </w:r>
          </w:p>
        </w:tc>
      </w:tr>
      <w:tr w14:paraId="08BF1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6A571DF2">
            <w:pPr>
              <w:rPr>
                <w:rFonts w:hint="eastAsia"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659B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E282AA0">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72C4DCE8">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502728F0">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71E91B82">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10B281EF">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4FAA2391">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60989D97">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2698D940">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6732C297">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C302BC0">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11EB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C2C328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845" w:type="dxa"/>
            <w:gridSpan w:val="3"/>
            <w:vAlign w:val="center"/>
          </w:tcPr>
          <w:p w14:paraId="631F0E87">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肾动脉射频消融仪</w:t>
            </w:r>
          </w:p>
        </w:tc>
        <w:tc>
          <w:tcPr>
            <w:tcW w:w="850" w:type="dxa"/>
            <w:vAlign w:val="center"/>
          </w:tcPr>
          <w:p w14:paraId="241166EC">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76E295C0">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564151C5">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851" w:type="dxa"/>
            <w:gridSpan w:val="2"/>
            <w:vMerge w:val="restart"/>
            <w:vAlign w:val="center"/>
          </w:tcPr>
          <w:p w14:paraId="5C78932E">
            <w:pPr>
              <w:jc w:val="center"/>
              <w:rPr>
                <w:rFonts w:hint="eastAsia" w:asciiTheme="majorEastAsia" w:hAnsiTheme="majorEastAsia" w:eastAsiaTheme="majorEastAsia"/>
                <w:b/>
                <w:sz w:val="24"/>
                <w:szCs w:val="21"/>
                <w:highlight w:val="yellow"/>
              </w:rPr>
            </w:pPr>
            <w:r>
              <w:rPr>
                <w:rFonts w:hint="eastAsia" w:asciiTheme="majorEastAsia" w:hAnsiTheme="majorEastAsia" w:eastAsiaTheme="majorEastAsia"/>
                <w:b/>
                <w:sz w:val="24"/>
                <w:szCs w:val="21"/>
                <w:highlight w:val="yellow"/>
              </w:rPr>
              <w:t>0.15</w:t>
            </w:r>
          </w:p>
        </w:tc>
        <w:tc>
          <w:tcPr>
            <w:tcW w:w="1134" w:type="dxa"/>
            <w:gridSpan w:val="2"/>
            <w:vMerge w:val="restart"/>
            <w:vAlign w:val="center"/>
          </w:tcPr>
          <w:p w14:paraId="0D7BCAC0">
            <w:pPr>
              <w:jc w:val="center"/>
              <w:rPr>
                <w:rFonts w:hint="eastAsia" w:asciiTheme="majorEastAsia" w:hAnsiTheme="majorEastAsia" w:eastAsiaTheme="majorEastAsia"/>
                <w:b/>
                <w:sz w:val="24"/>
                <w:szCs w:val="21"/>
                <w:highlight w:val="yellow"/>
              </w:rPr>
            </w:pPr>
            <w:r>
              <w:rPr>
                <w:rFonts w:hint="eastAsia" w:asciiTheme="majorEastAsia" w:hAnsiTheme="majorEastAsia" w:eastAsiaTheme="majorEastAsia"/>
                <w:b/>
                <w:sz w:val="24"/>
                <w:szCs w:val="21"/>
                <w:highlight w:val="yellow"/>
              </w:rPr>
              <w:t>0.15</w:t>
            </w:r>
          </w:p>
        </w:tc>
        <w:tc>
          <w:tcPr>
            <w:tcW w:w="1417" w:type="dxa"/>
            <w:vAlign w:val="center"/>
          </w:tcPr>
          <w:p w14:paraId="0F6A2A9D">
            <w:pPr>
              <w:jc w:val="center"/>
              <w:rPr>
                <w:rFonts w:hint="eastAsia" w:asciiTheme="majorEastAsia" w:hAnsiTheme="majorEastAsia" w:eastAsiaTheme="majorEastAsia"/>
                <w:b/>
                <w:sz w:val="24"/>
                <w:szCs w:val="21"/>
                <w:highlight w:val="yellow"/>
              </w:rPr>
            </w:pPr>
            <w:r>
              <w:rPr>
                <w:rFonts w:hint="eastAsia" w:asciiTheme="majorEastAsia" w:hAnsiTheme="majorEastAsia" w:eastAsiaTheme="majorEastAsia"/>
                <w:b/>
                <w:sz w:val="24"/>
                <w:szCs w:val="21"/>
                <w:highlight w:val="yellow"/>
              </w:rPr>
              <w:t>是</w:t>
            </w:r>
          </w:p>
        </w:tc>
        <w:tc>
          <w:tcPr>
            <w:tcW w:w="993" w:type="dxa"/>
            <w:vAlign w:val="center"/>
          </w:tcPr>
          <w:p w14:paraId="71CB9C10">
            <w:pPr>
              <w:jc w:val="center"/>
              <w:rPr>
                <w:rFonts w:hint="eastAsia" w:asciiTheme="majorEastAsia" w:hAnsiTheme="majorEastAsia" w:eastAsiaTheme="majorEastAsia"/>
                <w:b/>
                <w:sz w:val="24"/>
                <w:szCs w:val="21"/>
                <w:lang w:eastAsia="zh-CN"/>
              </w:rPr>
            </w:pPr>
            <w:r>
              <w:rPr>
                <w:rFonts w:hint="eastAsia" w:asciiTheme="majorEastAsia" w:hAnsiTheme="majorEastAsia" w:eastAsiaTheme="majorEastAsia"/>
                <w:b/>
                <w:color w:val="FF0000"/>
                <w:sz w:val="24"/>
                <w:szCs w:val="21"/>
                <w:highlight w:val="yellow"/>
                <w:lang w:eastAsia="zh-CN"/>
              </w:rPr>
              <w:t>否</w:t>
            </w:r>
          </w:p>
        </w:tc>
        <w:tc>
          <w:tcPr>
            <w:tcW w:w="1062" w:type="dxa"/>
            <w:vAlign w:val="center"/>
          </w:tcPr>
          <w:p w14:paraId="21607D8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409E7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31" w:type="dxa"/>
            <w:vAlign w:val="center"/>
          </w:tcPr>
          <w:p w14:paraId="618D3402">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845" w:type="dxa"/>
            <w:gridSpan w:val="3"/>
          </w:tcPr>
          <w:p w14:paraId="00ADE4CB">
            <w:pPr>
              <w:spacing w:line="400" w:lineRule="exact"/>
              <w:jc w:val="center"/>
              <w:outlineLvl w:val="0"/>
              <w:rPr>
                <w:rFonts w:hint="eastAsia" w:cs="方正小标宋简体" w:asciiTheme="majorEastAsia" w:hAnsiTheme="majorEastAsia" w:eastAsiaTheme="majorEastAsia"/>
                <w:sz w:val="24"/>
              </w:rPr>
            </w:pPr>
            <w:r>
              <w:rPr>
                <w:rFonts w:hint="eastAsia" w:ascii="宋体" w:hAnsi="宋体"/>
                <w:snapToGrid w:val="0"/>
                <w:color w:val="000000"/>
              </w:rPr>
              <w:t>主机连接线</w:t>
            </w:r>
          </w:p>
        </w:tc>
        <w:tc>
          <w:tcPr>
            <w:tcW w:w="850" w:type="dxa"/>
            <w:vAlign w:val="center"/>
          </w:tcPr>
          <w:p w14:paraId="15698DFF">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08C29C00">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6A72DF74">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851" w:type="dxa"/>
            <w:gridSpan w:val="2"/>
            <w:vMerge w:val="continue"/>
            <w:vAlign w:val="center"/>
          </w:tcPr>
          <w:p w14:paraId="711C9563">
            <w:pPr>
              <w:jc w:val="center"/>
              <w:rPr>
                <w:rFonts w:hint="eastAsia" w:asciiTheme="majorEastAsia" w:hAnsiTheme="majorEastAsia" w:eastAsiaTheme="majorEastAsia"/>
                <w:b/>
                <w:sz w:val="24"/>
                <w:szCs w:val="21"/>
              </w:rPr>
            </w:pPr>
          </w:p>
        </w:tc>
        <w:tc>
          <w:tcPr>
            <w:tcW w:w="1134" w:type="dxa"/>
            <w:gridSpan w:val="2"/>
            <w:vMerge w:val="continue"/>
            <w:vAlign w:val="center"/>
          </w:tcPr>
          <w:p w14:paraId="2C2DF973">
            <w:pPr>
              <w:jc w:val="center"/>
              <w:rPr>
                <w:rFonts w:hint="eastAsia" w:asciiTheme="majorEastAsia" w:hAnsiTheme="majorEastAsia" w:eastAsiaTheme="majorEastAsia"/>
                <w:b/>
                <w:sz w:val="24"/>
                <w:szCs w:val="21"/>
              </w:rPr>
            </w:pPr>
          </w:p>
        </w:tc>
        <w:tc>
          <w:tcPr>
            <w:tcW w:w="1417" w:type="dxa"/>
            <w:vAlign w:val="center"/>
          </w:tcPr>
          <w:p w14:paraId="729F30A9">
            <w:pPr>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据实填报</w:t>
            </w:r>
          </w:p>
        </w:tc>
        <w:tc>
          <w:tcPr>
            <w:tcW w:w="993" w:type="dxa"/>
            <w:vAlign w:val="center"/>
          </w:tcPr>
          <w:p w14:paraId="49434831">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1062" w:type="dxa"/>
            <w:vAlign w:val="center"/>
          </w:tcPr>
          <w:p w14:paraId="4E12B9E4">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34710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456411E5">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3</w:t>
            </w:r>
          </w:p>
        </w:tc>
        <w:tc>
          <w:tcPr>
            <w:tcW w:w="2845" w:type="dxa"/>
            <w:gridSpan w:val="3"/>
          </w:tcPr>
          <w:p w14:paraId="56B59059">
            <w:pPr>
              <w:spacing w:line="400" w:lineRule="exact"/>
              <w:jc w:val="center"/>
              <w:outlineLvl w:val="0"/>
              <w:rPr>
                <w:rFonts w:hint="eastAsia" w:cs="方正小标宋简体" w:asciiTheme="majorEastAsia" w:hAnsiTheme="majorEastAsia" w:eastAsiaTheme="majorEastAsia"/>
                <w:sz w:val="24"/>
              </w:rPr>
            </w:pPr>
            <w:r>
              <w:rPr>
                <w:rFonts w:hint="eastAsia" w:ascii="宋体" w:hAnsi="宋体"/>
                <w:snapToGrid w:val="0"/>
                <w:color w:val="000000"/>
              </w:rPr>
              <w:t>体表电极连接线</w:t>
            </w:r>
          </w:p>
        </w:tc>
        <w:tc>
          <w:tcPr>
            <w:tcW w:w="850" w:type="dxa"/>
            <w:vAlign w:val="center"/>
          </w:tcPr>
          <w:p w14:paraId="7D5B617D">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33ED7CAF">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21723057">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851" w:type="dxa"/>
            <w:gridSpan w:val="2"/>
            <w:vMerge w:val="continue"/>
            <w:vAlign w:val="center"/>
          </w:tcPr>
          <w:p w14:paraId="0DFEB7A4">
            <w:pPr>
              <w:jc w:val="center"/>
              <w:rPr>
                <w:rFonts w:hint="eastAsia" w:asciiTheme="majorEastAsia" w:hAnsiTheme="majorEastAsia" w:eastAsiaTheme="majorEastAsia"/>
                <w:b/>
                <w:sz w:val="24"/>
                <w:szCs w:val="21"/>
              </w:rPr>
            </w:pPr>
          </w:p>
        </w:tc>
        <w:tc>
          <w:tcPr>
            <w:tcW w:w="1134" w:type="dxa"/>
            <w:gridSpan w:val="2"/>
            <w:vMerge w:val="continue"/>
            <w:vAlign w:val="center"/>
          </w:tcPr>
          <w:p w14:paraId="58AD8B9E">
            <w:pPr>
              <w:jc w:val="center"/>
              <w:rPr>
                <w:rFonts w:hint="eastAsia" w:asciiTheme="majorEastAsia" w:hAnsiTheme="majorEastAsia" w:eastAsiaTheme="majorEastAsia"/>
                <w:b/>
                <w:sz w:val="24"/>
                <w:szCs w:val="21"/>
              </w:rPr>
            </w:pPr>
          </w:p>
        </w:tc>
        <w:tc>
          <w:tcPr>
            <w:tcW w:w="1417" w:type="dxa"/>
            <w:vAlign w:val="center"/>
          </w:tcPr>
          <w:p w14:paraId="6B34D325">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据实填报</w:t>
            </w:r>
          </w:p>
        </w:tc>
        <w:tc>
          <w:tcPr>
            <w:tcW w:w="993" w:type="dxa"/>
            <w:vAlign w:val="center"/>
          </w:tcPr>
          <w:p w14:paraId="2ECC9F6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1062" w:type="dxa"/>
            <w:vAlign w:val="center"/>
          </w:tcPr>
          <w:p w14:paraId="4E97954D">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1584E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A9C2EA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4</w:t>
            </w:r>
          </w:p>
        </w:tc>
        <w:tc>
          <w:tcPr>
            <w:tcW w:w="2845" w:type="dxa"/>
            <w:gridSpan w:val="3"/>
          </w:tcPr>
          <w:p w14:paraId="47C14F48">
            <w:pPr>
              <w:spacing w:line="400" w:lineRule="exact"/>
              <w:jc w:val="center"/>
              <w:outlineLvl w:val="0"/>
              <w:rPr>
                <w:rFonts w:hint="eastAsia" w:cs="方正小标宋简体" w:asciiTheme="majorEastAsia" w:hAnsiTheme="majorEastAsia" w:eastAsiaTheme="majorEastAsia"/>
                <w:sz w:val="24"/>
              </w:rPr>
            </w:pPr>
            <w:r>
              <w:rPr>
                <w:rFonts w:hint="eastAsia" w:ascii="宋体" w:hAnsi="宋体"/>
                <w:snapToGrid w:val="0"/>
                <w:color w:val="000000"/>
              </w:rPr>
              <w:t>脚踏开关</w:t>
            </w:r>
          </w:p>
        </w:tc>
        <w:tc>
          <w:tcPr>
            <w:tcW w:w="850" w:type="dxa"/>
            <w:vAlign w:val="center"/>
          </w:tcPr>
          <w:p w14:paraId="5CB313E5">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国产</w:t>
            </w:r>
          </w:p>
        </w:tc>
        <w:tc>
          <w:tcPr>
            <w:tcW w:w="567" w:type="dxa"/>
            <w:gridSpan w:val="2"/>
            <w:vAlign w:val="center"/>
          </w:tcPr>
          <w:p w14:paraId="2B92C8BA">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67" w:type="dxa"/>
            <w:vAlign w:val="center"/>
          </w:tcPr>
          <w:p w14:paraId="29F7DD1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个</w:t>
            </w:r>
          </w:p>
        </w:tc>
        <w:tc>
          <w:tcPr>
            <w:tcW w:w="851" w:type="dxa"/>
            <w:gridSpan w:val="2"/>
            <w:vMerge w:val="continue"/>
            <w:vAlign w:val="center"/>
          </w:tcPr>
          <w:p w14:paraId="7430528C">
            <w:pPr>
              <w:jc w:val="center"/>
              <w:rPr>
                <w:rFonts w:hint="eastAsia" w:asciiTheme="majorEastAsia" w:hAnsiTheme="majorEastAsia" w:eastAsiaTheme="majorEastAsia"/>
                <w:b/>
                <w:sz w:val="24"/>
                <w:szCs w:val="21"/>
              </w:rPr>
            </w:pPr>
          </w:p>
        </w:tc>
        <w:tc>
          <w:tcPr>
            <w:tcW w:w="1134" w:type="dxa"/>
            <w:gridSpan w:val="2"/>
            <w:vMerge w:val="continue"/>
            <w:vAlign w:val="center"/>
          </w:tcPr>
          <w:p w14:paraId="18C3CA0C">
            <w:pPr>
              <w:jc w:val="center"/>
              <w:rPr>
                <w:rFonts w:hint="eastAsia" w:asciiTheme="majorEastAsia" w:hAnsiTheme="majorEastAsia" w:eastAsiaTheme="majorEastAsia"/>
                <w:b/>
                <w:sz w:val="24"/>
                <w:szCs w:val="21"/>
              </w:rPr>
            </w:pPr>
          </w:p>
        </w:tc>
        <w:tc>
          <w:tcPr>
            <w:tcW w:w="1417" w:type="dxa"/>
            <w:vAlign w:val="center"/>
          </w:tcPr>
          <w:p w14:paraId="3F358913">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据实填报</w:t>
            </w:r>
          </w:p>
        </w:tc>
        <w:tc>
          <w:tcPr>
            <w:tcW w:w="993" w:type="dxa"/>
            <w:vAlign w:val="center"/>
          </w:tcPr>
          <w:p w14:paraId="3A1C148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1062" w:type="dxa"/>
            <w:vAlign w:val="center"/>
          </w:tcPr>
          <w:p w14:paraId="2C1E437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bl>
    <w:p w14:paraId="6CF7C8C2">
      <w:pPr>
        <w:spacing w:before="100" w:beforeAutospacing="1" w:after="240" w:line="276" w:lineRule="auto"/>
        <w:ind w:firstLine="480" w:firstLineChars="150"/>
        <w:rPr>
          <w:rFonts w:hint="eastAsia"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6FF0847D">
      <w:pPr>
        <w:pStyle w:val="18"/>
        <w:ind w:left="400" w:firstLine="0" w:firstLineChars="0"/>
        <w:rPr>
          <w:rFonts w:hint="eastAsia"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4B7EB67">
      <w:pPr>
        <w:pStyle w:val="18"/>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2FFA05BF">
      <w:pPr>
        <w:pStyle w:val="18"/>
        <w:adjustRightInd w:val="0"/>
        <w:snapToGrid w:val="0"/>
        <w:ind w:firstLine="480"/>
        <w:rPr>
          <w:rFonts w:hint="eastAsia" w:cs="宋体" w:asciiTheme="majorEastAsia" w:hAnsiTheme="majorEastAsia" w:eastAsiaTheme="majorEastAsia"/>
          <w:sz w:val="24"/>
        </w:rPr>
      </w:pPr>
    </w:p>
    <w:p w14:paraId="2CA2911F">
      <w:pPr>
        <w:numPr>
          <w:ilvl w:val="0"/>
          <w:numId w:val="1"/>
        </w:numPr>
        <w:spacing w:before="240" w:line="540" w:lineRule="exact"/>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71B31656">
      <w:pPr>
        <w:spacing w:before="240"/>
        <w:ind w:firstLine="241" w:firstLineChars="100"/>
        <w:rPr>
          <w:rFonts w:hint="eastAsia"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7218A24A">
      <w:pPr>
        <w:ind w:firstLine="360" w:firstLineChars="100"/>
        <w:rPr>
          <w:rFonts w:hint="eastAsia"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3B804966">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11"/>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382A9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209" w:type="dxa"/>
            <w:gridSpan w:val="4"/>
            <w:vAlign w:val="center"/>
          </w:tcPr>
          <w:p w14:paraId="511DB866">
            <w:pPr>
              <w:adjustRightInd w:val="0"/>
              <w:snapToGrid w:val="0"/>
              <w:rPr>
                <w:rFonts w:hint="eastAsia"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2655AF0A">
            <w:pPr>
              <w:adjustRightInd w:val="0"/>
              <w:snapToGrid w:val="0"/>
              <w:jc w:val="center"/>
              <w:rPr>
                <w:rFonts w:hint="eastAsia" w:asciiTheme="majorEastAsia" w:hAnsiTheme="majorEastAsia" w:eastAsiaTheme="majorEastAsia"/>
                <w:b/>
                <w:sz w:val="24"/>
                <w:szCs w:val="21"/>
              </w:rPr>
            </w:pPr>
          </w:p>
        </w:tc>
      </w:tr>
      <w:tr w14:paraId="70EEB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2B8B60F7">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206FA089">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32F8C5D5">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3701437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1611D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723643C5">
            <w:pPr>
              <w:adjustRightInd w:val="0"/>
              <w:snapToGrid w:val="0"/>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1</w:t>
            </w:r>
          </w:p>
        </w:tc>
        <w:tc>
          <w:tcPr>
            <w:tcW w:w="935" w:type="dxa"/>
            <w:vMerge w:val="restart"/>
          </w:tcPr>
          <w:p w14:paraId="6F0AB57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sz w:val="24"/>
                <w:szCs w:val="21"/>
              </w:rPr>
              <w:t>肾动脉射频消融仪</w:t>
            </w:r>
          </w:p>
        </w:tc>
        <w:tc>
          <w:tcPr>
            <w:tcW w:w="7564" w:type="dxa"/>
            <w:gridSpan w:val="2"/>
            <w:vAlign w:val="center"/>
          </w:tcPr>
          <w:p w14:paraId="518888CF">
            <w:pPr>
              <w:widowControl/>
              <w:jc w:val="left"/>
              <w:textAlignment w:val="center"/>
              <w:rPr>
                <w:rFonts w:hint="eastAsia"/>
                <w:lang w:val="en-US" w:eastAsia="zh-CN"/>
              </w:rPr>
            </w:pPr>
            <w:r>
              <w:rPr>
                <w:rFonts w:hint="eastAsia"/>
                <w:lang w:val="en-US" w:eastAsia="zh-CN"/>
              </w:rPr>
              <w:t>1、具备温度阈值控制能量输出功能，控制消融的温度，保护消融部位不过度损伤</w:t>
            </w:r>
          </w:p>
        </w:tc>
        <w:tc>
          <w:tcPr>
            <w:tcW w:w="817" w:type="dxa"/>
          </w:tcPr>
          <w:p w14:paraId="2D3506B5">
            <w:pPr>
              <w:adjustRightInd w:val="0"/>
              <w:snapToGrid w:val="0"/>
              <w:rPr>
                <w:rFonts w:hint="eastAsia"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647E4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ACE45EA">
            <w:pPr>
              <w:adjustRightInd w:val="0"/>
              <w:snapToGrid w:val="0"/>
              <w:rPr>
                <w:rFonts w:hint="eastAsia" w:asciiTheme="majorEastAsia" w:hAnsiTheme="majorEastAsia" w:eastAsiaTheme="majorEastAsia"/>
                <w:b/>
                <w:sz w:val="24"/>
                <w:szCs w:val="21"/>
              </w:rPr>
            </w:pPr>
          </w:p>
        </w:tc>
        <w:tc>
          <w:tcPr>
            <w:tcW w:w="935" w:type="dxa"/>
            <w:vMerge w:val="continue"/>
          </w:tcPr>
          <w:p w14:paraId="280644F4">
            <w:pPr>
              <w:adjustRightInd w:val="0"/>
              <w:snapToGrid w:val="0"/>
              <w:rPr>
                <w:rFonts w:hint="eastAsia" w:asciiTheme="majorEastAsia" w:hAnsiTheme="majorEastAsia" w:eastAsiaTheme="majorEastAsia"/>
                <w:b/>
                <w:sz w:val="24"/>
                <w:szCs w:val="21"/>
              </w:rPr>
            </w:pPr>
          </w:p>
        </w:tc>
        <w:tc>
          <w:tcPr>
            <w:tcW w:w="7564" w:type="dxa"/>
            <w:gridSpan w:val="2"/>
            <w:vAlign w:val="center"/>
          </w:tcPr>
          <w:p w14:paraId="3982E260">
            <w:pPr>
              <w:widowControl/>
              <w:jc w:val="left"/>
              <w:textAlignment w:val="center"/>
              <w:rPr>
                <w:rFonts w:hint="eastAsia"/>
                <w:lang w:val="en-US" w:eastAsia="zh-CN"/>
              </w:rPr>
            </w:pPr>
            <w:r>
              <w:rPr>
                <w:rFonts w:hint="eastAsia"/>
                <w:lang w:val="en-US" w:eastAsia="zh-CN"/>
              </w:rPr>
              <w:t>2</w:t>
            </w:r>
            <w:bookmarkStart w:id="1" w:name="OLE_LINK1"/>
            <w:r>
              <w:rPr>
                <w:rFonts w:hint="eastAsia"/>
                <w:lang w:val="en-US" w:eastAsia="zh-CN"/>
              </w:rPr>
              <w:t>、能够实时显示阻抗变化情况，判断导管贴壁情况</w:t>
            </w:r>
            <w:bookmarkEnd w:id="1"/>
            <w:r>
              <w:rPr>
                <w:rFonts w:hint="eastAsia"/>
                <w:lang w:val="en-US" w:eastAsia="zh-CN"/>
              </w:rPr>
              <w:t>；</w:t>
            </w:r>
          </w:p>
        </w:tc>
        <w:tc>
          <w:tcPr>
            <w:tcW w:w="817" w:type="dxa"/>
          </w:tcPr>
          <w:p w14:paraId="6B6148F6">
            <w:pPr>
              <w:adjustRightInd w:val="0"/>
              <w:snapToGrid w:val="0"/>
              <w:rPr>
                <w:rFonts w:hint="eastAsia"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5AC6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3ABBE9B">
            <w:pPr>
              <w:adjustRightInd w:val="0"/>
              <w:snapToGrid w:val="0"/>
              <w:rPr>
                <w:rFonts w:hint="eastAsia" w:asciiTheme="majorEastAsia" w:hAnsiTheme="majorEastAsia" w:eastAsiaTheme="majorEastAsia"/>
                <w:b/>
                <w:sz w:val="24"/>
                <w:szCs w:val="21"/>
              </w:rPr>
            </w:pPr>
          </w:p>
        </w:tc>
        <w:tc>
          <w:tcPr>
            <w:tcW w:w="935" w:type="dxa"/>
            <w:vMerge w:val="continue"/>
          </w:tcPr>
          <w:p w14:paraId="579D75EC">
            <w:pPr>
              <w:adjustRightInd w:val="0"/>
              <w:snapToGrid w:val="0"/>
              <w:rPr>
                <w:rFonts w:hint="eastAsia" w:asciiTheme="majorEastAsia" w:hAnsiTheme="majorEastAsia" w:eastAsiaTheme="majorEastAsia"/>
                <w:b/>
                <w:sz w:val="24"/>
                <w:szCs w:val="21"/>
              </w:rPr>
            </w:pPr>
          </w:p>
        </w:tc>
        <w:tc>
          <w:tcPr>
            <w:tcW w:w="7564" w:type="dxa"/>
            <w:gridSpan w:val="2"/>
            <w:vAlign w:val="center"/>
          </w:tcPr>
          <w:p w14:paraId="190C1651">
            <w:pPr>
              <w:widowControl/>
              <w:jc w:val="left"/>
              <w:textAlignment w:val="center"/>
              <w:rPr>
                <w:rFonts w:hint="eastAsia"/>
                <w:lang w:val="en-US" w:eastAsia="zh-CN"/>
              </w:rPr>
            </w:pPr>
            <w:r>
              <w:rPr>
                <w:rFonts w:hint="eastAsia"/>
                <w:lang w:val="en-US" w:eastAsia="zh-CN"/>
              </w:rPr>
              <w:t>3、可消融3-12mm不同形态和直径的血管</w:t>
            </w:r>
          </w:p>
        </w:tc>
        <w:tc>
          <w:tcPr>
            <w:tcW w:w="817" w:type="dxa"/>
          </w:tcPr>
          <w:p w14:paraId="38F9FB84">
            <w:pPr>
              <w:adjustRightInd w:val="0"/>
              <w:snapToGrid w:val="0"/>
              <w:rPr>
                <w:rFonts w:hint="eastAsia" w:asciiTheme="majorEastAsia" w:hAnsiTheme="majorEastAsia" w:eastAsiaTheme="majorEastAsia"/>
                <w:b/>
                <w:sz w:val="24"/>
                <w:szCs w:val="21"/>
              </w:rPr>
            </w:pPr>
            <w:r>
              <w:rPr>
                <w:rFonts w:hint="eastAsia" w:asciiTheme="minorEastAsia" w:hAnsiTheme="minorEastAsia"/>
                <w:sz w:val="18"/>
                <w:szCs w:val="18"/>
              </w:rPr>
              <w:t>▲</w:t>
            </w:r>
          </w:p>
        </w:tc>
      </w:tr>
      <w:tr w14:paraId="4606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E9185B6">
            <w:pPr>
              <w:adjustRightInd w:val="0"/>
              <w:snapToGrid w:val="0"/>
              <w:rPr>
                <w:rFonts w:hint="eastAsia" w:asciiTheme="majorEastAsia" w:hAnsiTheme="majorEastAsia" w:eastAsiaTheme="majorEastAsia"/>
                <w:b/>
                <w:sz w:val="24"/>
                <w:szCs w:val="21"/>
              </w:rPr>
            </w:pPr>
          </w:p>
        </w:tc>
        <w:tc>
          <w:tcPr>
            <w:tcW w:w="935" w:type="dxa"/>
            <w:vMerge w:val="continue"/>
          </w:tcPr>
          <w:p w14:paraId="4672BBE6">
            <w:pPr>
              <w:adjustRightInd w:val="0"/>
              <w:snapToGrid w:val="0"/>
              <w:rPr>
                <w:rFonts w:hint="eastAsia" w:asciiTheme="majorEastAsia" w:hAnsiTheme="majorEastAsia" w:eastAsiaTheme="majorEastAsia"/>
                <w:b/>
                <w:sz w:val="24"/>
                <w:szCs w:val="21"/>
              </w:rPr>
            </w:pPr>
          </w:p>
        </w:tc>
        <w:tc>
          <w:tcPr>
            <w:tcW w:w="7564" w:type="dxa"/>
            <w:gridSpan w:val="2"/>
            <w:vAlign w:val="center"/>
          </w:tcPr>
          <w:p w14:paraId="4C983769">
            <w:pPr>
              <w:widowControl/>
              <w:jc w:val="left"/>
              <w:textAlignment w:val="center"/>
              <w:rPr>
                <w:rFonts w:hint="eastAsia"/>
                <w:lang w:val="en-US" w:eastAsia="zh-CN"/>
              </w:rPr>
            </w:pPr>
            <w:r>
              <w:rPr>
                <w:rFonts w:hint="eastAsia"/>
                <w:lang w:val="en-US" w:eastAsia="zh-CN"/>
              </w:rPr>
              <w:t>4、具备手术效果评价功能：在术中、术后提供有效反馈，以评判肾交感神经去除术的即时效果；</w:t>
            </w:r>
          </w:p>
        </w:tc>
        <w:tc>
          <w:tcPr>
            <w:tcW w:w="817" w:type="dxa"/>
          </w:tcPr>
          <w:p w14:paraId="157535D5">
            <w:pPr>
              <w:adjustRightInd w:val="0"/>
              <w:snapToGrid w:val="0"/>
              <w:rPr>
                <w:rFonts w:hint="eastAsia" w:asciiTheme="majorEastAsia" w:hAnsiTheme="majorEastAsia" w:eastAsiaTheme="majorEastAsia"/>
                <w:b/>
                <w:sz w:val="24"/>
                <w:szCs w:val="21"/>
              </w:rPr>
            </w:pPr>
            <w:r>
              <w:rPr>
                <w:rFonts w:hint="eastAsia" w:asciiTheme="minorEastAsia" w:hAnsiTheme="minorEastAsia"/>
                <w:sz w:val="18"/>
                <w:szCs w:val="18"/>
              </w:rPr>
              <w:t>▲</w:t>
            </w:r>
          </w:p>
        </w:tc>
      </w:tr>
      <w:tr w14:paraId="6B9A5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A6B8351">
            <w:pPr>
              <w:adjustRightInd w:val="0"/>
              <w:snapToGrid w:val="0"/>
              <w:rPr>
                <w:rFonts w:hint="eastAsia" w:asciiTheme="majorEastAsia" w:hAnsiTheme="majorEastAsia" w:eastAsiaTheme="majorEastAsia"/>
                <w:b/>
                <w:sz w:val="24"/>
                <w:szCs w:val="21"/>
              </w:rPr>
            </w:pPr>
          </w:p>
        </w:tc>
        <w:tc>
          <w:tcPr>
            <w:tcW w:w="935" w:type="dxa"/>
            <w:vMerge w:val="continue"/>
          </w:tcPr>
          <w:p w14:paraId="00F72C59">
            <w:pPr>
              <w:adjustRightInd w:val="0"/>
              <w:snapToGrid w:val="0"/>
              <w:rPr>
                <w:rFonts w:hint="eastAsia" w:asciiTheme="majorEastAsia" w:hAnsiTheme="majorEastAsia" w:eastAsiaTheme="majorEastAsia"/>
                <w:b/>
                <w:sz w:val="24"/>
                <w:szCs w:val="21"/>
              </w:rPr>
            </w:pPr>
          </w:p>
        </w:tc>
        <w:tc>
          <w:tcPr>
            <w:tcW w:w="7564" w:type="dxa"/>
            <w:gridSpan w:val="2"/>
            <w:vAlign w:val="center"/>
          </w:tcPr>
          <w:p w14:paraId="148E3848">
            <w:pPr>
              <w:widowControl/>
              <w:jc w:val="left"/>
              <w:textAlignment w:val="center"/>
              <w:rPr>
                <w:rFonts w:hint="eastAsia"/>
                <w:lang w:val="en-US" w:eastAsia="zh-CN"/>
              </w:rPr>
            </w:pPr>
            <w:r>
              <w:rPr>
                <w:rFonts w:hint="eastAsia"/>
                <w:lang w:val="en-US" w:eastAsia="zh-CN"/>
              </w:rPr>
              <w:t>5、负载阻抗监测范围：100Ω～300Ω（涵盖此范围即视为符合）</w:t>
            </w:r>
          </w:p>
        </w:tc>
        <w:tc>
          <w:tcPr>
            <w:tcW w:w="817" w:type="dxa"/>
          </w:tcPr>
          <w:p w14:paraId="5A4A0948">
            <w:pPr>
              <w:adjustRightInd w:val="0"/>
              <w:snapToGrid w:val="0"/>
              <w:rPr>
                <w:rFonts w:hint="eastAsia" w:asciiTheme="majorEastAsia" w:hAnsiTheme="majorEastAsia" w:eastAsiaTheme="majorEastAsia"/>
                <w:b/>
                <w:sz w:val="24"/>
                <w:szCs w:val="21"/>
              </w:rPr>
            </w:pPr>
          </w:p>
        </w:tc>
      </w:tr>
      <w:tr w14:paraId="4E3F7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95B3495">
            <w:pPr>
              <w:adjustRightInd w:val="0"/>
              <w:snapToGrid w:val="0"/>
              <w:rPr>
                <w:rFonts w:hint="eastAsia" w:asciiTheme="majorEastAsia" w:hAnsiTheme="majorEastAsia" w:eastAsiaTheme="majorEastAsia"/>
                <w:b/>
                <w:sz w:val="24"/>
                <w:szCs w:val="21"/>
              </w:rPr>
            </w:pPr>
          </w:p>
        </w:tc>
        <w:tc>
          <w:tcPr>
            <w:tcW w:w="935" w:type="dxa"/>
            <w:vMerge w:val="continue"/>
          </w:tcPr>
          <w:p w14:paraId="3250C65D">
            <w:pPr>
              <w:adjustRightInd w:val="0"/>
              <w:snapToGrid w:val="0"/>
              <w:rPr>
                <w:rFonts w:hint="eastAsia" w:asciiTheme="majorEastAsia" w:hAnsiTheme="majorEastAsia" w:eastAsiaTheme="majorEastAsia"/>
                <w:b/>
                <w:sz w:val="24"/>
                <w:szCs w:val="21"/>
              </w:rPr>
            </w:pPr>
          </w:p>
        </w:tc>
        <w:tc>
          <w:tcPr>
            <w:tcW w:w="7564" w:type="dxa"/>
            <w:gridSpan w:val="2"/>
            <w:vAlign w:val="center"/>
          </w:tcPr>
          <w:p w14:paraId="4BED95A2">
            <w:pPr>
              <w:widowControl/>
              <w:jc w:val="left"/>
              <w:textAlignment w:val="center"/>
              <w:rPr>
                <w:rFonts w:hint="eastAsia"/>
                <w:lang w:val="en-US" w:eastAsia="zh-CN"/>
              </w:rPr>
            </w:pPr>
            <w:r>
              <w:rPr>
                <w:rFonts w:hint="eastAsia"/>
                <w:lang w:val="en-US" w:eastAsia="zh-CN"/>
              </w:rPr>
              <w:t>6、具备消融时间变化实时监测计时功能；</w:t>
            </w:r>
          </w:p>
        </w:tc>
        <w:tc>
          <w:tcPr>
            <w:tcW w:w="817" w:type="dxa"/>
          </w:tcPr>
          <w:p w14:paraId="1F14898D">
            <w:pPr>
              <w:adjustRightInd w:val="0"/>
              <w:snapToGrid w:val="0"/>
              <w:rPr>
                <w:rFonts w:hint="eastAsia" w:asciiTheme="majorEastAsia" w:hAnsiTheme="majorEastAsia" w:eastAsiaTheme="majorEastAsia"/>
                <w:b/>
                <w:sz w:val="24"/>
                <w:szCs w:val="21"/>
              </w:rPr>
            </w:pPr>
          </w:p>
        </w:tc>
      </w:tr>
      <w:tr w14:paraId="0890E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E3872BD">
            <w:pPr>
              <w:adjustRightInd w:val="0"/>
              <w:snapToGrid w:val="0"/>
              <w:rPr>
                <w:rFonts w:hint="eastAsia" w:asciiTheme="majorEastAsia" w:hAnsiTheme="majorEastAsia" w:eastAsiaTheme="majorEastAsia"/>
                <w:b/>
                <w:sz w:val="24"/>
                <w:szCs w:val="21"/>
              </w:rPr>
            </w:pPr>
          </w:p>
        </w:tc>
        <w:tc>
          <w:tcPr>
            <w:tcW w:w="935" w:type="dxa"/>
            <w:vMerge w:val="continue"/>
          </w:tcPr>
          <w:p w14:paraId="3F3D7522">
            <w:pPr>
              <w:adjustRightInd w:val="0"/>
              <w:snapToGrid w:val="0"/>
              <w:rPr>
                <w:rFonts w:hint="eastAsia" w:asciiTheme="majorEastAsia" w:hAnsiTheme="majorEastAsia" w:eastAsiaTheme="majorEastAsia"/>
                <w:b/>
                <w:sz w:val="24"/>
                <w:szCs w:val="21"/>
              </w:rPr>
            </w:pPr>
          </w:p>
        </w:tc>
        <w:tc>
          <w:tcPr>
            <w:tcW w:w="7564" w:type="dxa"/>
            <w:gridSpan w:val="2"/>
          </w:tcPr>
          <w:p w14:paraId="2AFE4870">
            <w:pPr>
              <w:widowControl/>
              <w:jc w:val="left"/>
              <w:textAlignment w:val="center"/>
              <w:rPr>
                <w:rFonts w:hint="eastAsia"/>
                <w:lang w:val="en-US" w:eastAsia="zh-CN"/>
              </w:rPr>
            </w:pPr>
            <w:r>
              <w:rPr>
                <w:rFonts w:hint="eastAsia"/>
                <w:lang w:val="en-US" w:eastAsia="zh-CN"/>
              </w:rPr>
              <w:t>7、消融（治疗）时间范围≤120(s)</w:t>
            </w:r>
          </w:p>
        </w:tc>
        <w:tc>
          <w:tcPr>
            <w:tcW w:w="817" w:type="dxa"/>
          </w:tcPr>
          <w:p w14:paraId="197650A6">
            <w:pPr>
              <w:adjustRightInd w:val="0"/>
              <w:snapToGrid w:val="0"/>
              <w:rPr>
                <w:rFonts w:hint="eastAsia" w:asciiTheme="majorEastAsia" w:hAnsiTheme="majorEastAsia" w:eastAsiaTheme="majorEastAsia"/>
                <w:b/>
                <w:sz w:val="24"/>
                <w:szCs w:val="21"/>
              </w:rPr>
            </w:pPr>
          </w:p>
        </w:tc>
      </w:tr>
      <w:tr w14:paraId="3F1C3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18B864B">
            <w:pPr>
              <w:adjustRightInd w:val="0"/>
              <w:snapToGrid w:val="0"/>
              <w:rPr>
                <w:rFonts w:hint="eastAsia" w:asciiTheme="majorEastAsia" w:hAnsiTheme="majorEastAsia" w:eastAsiaTheme="majorEastAsia"/>
                <w:b/>
                <w:sz w:val="24"/>
                <w:szCs w:val="21"/>
              </w:rPr>
            </w:pPr>
          </w:p>
        </w:tc>
        <w:tc>
          <w:tcPr>
            <w:tcW w:w="935" w:type="dxa"/>
            <w:vMerge w:val="continue"/>
          </w:tcPr>
          <w:p w14:paraId="49016C84">
            <w:pPr>
              <w:adjustRightInd w:val="0"/>
              <w:snapToGrid w:val="0"/>
              <w:rPr>
                <w:rFonts w:hint="eastAsia" w:asciiTheme="majorEastAsia" w:hAnsiTheme="majorEastAsia" w:eastAsiaTheme="majorEastAsia"/>
                <w:b/>
                <w:sz w:val="24"/>
                <w:szCs w:val="21"/>
              </w:rPr>
            </w:pPr>
          </w:p>
        </w:tc>
        <w:tc>
          <w:tcPr>
            <w:tcW w:w="7564" w:type="dxa"/>
            <w:gridSpan w:val="2"/>
          </w:tcPr>
          <w:p w14:paraId="78221D85">
            <w:pPr>
              <w:widowControl/>
              <w:jc w:val="left"/>
              <w:textAlignment w:val="center"/>
              <w:rPr>
                <w:rFonts w:hint="eastAsia"/>
                <w:lang w:val="en-US" w:eastAsia="zh-CN"/>
              </w:rPr>
            </w:pPr>
            <w:r>
              <w:rPr>
                <w:rFonts w:hint="eastAsia"/>
                <w:lang w:val="en-US" w:eastAsia="zh-CN"/>
              </w:rPr>
              <w:t>8、温度变化实时监测功能</w:t>
            </w:r>
          </w:p>
        </w:tc>
        <w:tc>
          <w:tcPr>
            <w:tcW w:w="817" w:type="dxa"/>
          </w:tcPr>
          <w:p w14:paraId="77CCE4C8">
            <w:pPr>
              <w:adjustRightInd w:val="0"/>
              <w:snapToGrid w:val="0"/>
              <w:rPr>
                <w:rFonts w:hint="eastAsia" w:asciiTheme="majorEastAsia" w:hAnsiTheme="majorEastAsia" w:eastAsiaTheme="majorEastAsia"/>
                <w:b/>
                <w:sz w:val="24"/>
                <w:szCs w:val="21"/>
              </w:rPr>
            </w:pPr>
          </w:p>
        </w:tc>
      </w:tr>
      <w:tr w14:paraId="5573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FFC04BE">
            <w:pPr>
              <w:adjustRightInd w:val="0"/>
              <w:snapToGrid w:val="0"/>
              <w:rPr>
                <w:rFonts w:hint="eastAsia" w:asciiTheme="majorEastAsia" w:hAnsiTheme="majorEastAsia" w:eastAsiaTheme="majorEastAsia"/>
                <w:b/>
                <w:sz w:val="24"/>
                <w:szCs w:val="21"/>
              </w:rPr>
            </w:pPr>
          </w:p>
        </w:tc>
        <w:tc>
          <w:tcPr>
            <w:tcW w:w="935" w:type="dxa"/>
            <w:vMerge w:val="continue"/>
          </w:tcPr>
          <w:p w14:paraId="042C1C33">
            <w:pPr>
              <w:adjustRightInd w:val="0"/>
              <w:snapToGrid w:val="0"/>
              <w:rPr>
                <w:rFonts w:hint="eastAsia" w:asciiTheme="majorEastAsia" w:hAnsiTheme="majorEastAsia" w:eastAsiaTheme="majorEastAsia"/>
                <w:b/>
                <w:sz w:val="24"/>
                <w:szCs w:val="21"/>
              </w:rPr>
            </w:pPr>
          </w:p>
        </w:tc>
        <w:tc>
          <w:tcPr>
            <w:tcW w:w="7564" w:type="dxa"/>
            <w:gridSpan w:val="2"/>
          </w:tcPr>
          <w:p w14:paraId="630ED806">
            <w:pPr>
              <w:widowControl/>
              <w:jc w:val="left"/>
              <w:textAlignment w:val="center"/>
              <w:rPr>
                <w:rFonts w:hint="eastAsia"/>
                <w:lang w:val="en-US" w:eastAsia="zh-CN"/>
              </w:rPr>
            </w:pPr>
            <w:r>
              <w:rPr>
                <w:rFonts w:hint="eastAsia"/>
                <w:lang w:val="en-US" w:eastAsia="zh-CN"/>
              </w:rPr>
              <w:t>9、电极输出功率≥6W</w:t>
            </w:r>
          </w:p>
        </w:tc>
        <w:tc>
          <w:tcPr>
            <w:tcW w:w="817" w:type="dxa"/>
          </w:tcPr>
          <w:p w14:paraId="2C45CF73">
            <w:pPr>
              <w:adjustRightInd w:val="0"/>
              <w:snapToGrid w:val="0"/>
              <w:rPr>
                <w:rFonts w:hint="eastAsia" w:asciiTheme="majorEastAsia" w:hAnsiTheme="majorEastAsia" w:eastAsiaTheme="majorEastAsia"/>
                <w:b/>
                <w:sz w:val="24"/>
                <w:szCs w:val="21"/>
              </w:rPr>
            </w:pPr>
          </w:p>
        </w:tc>
      </w:tr>
      <w:tr w14:paraId="475C9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855ED82">
            <w:pPr>
              <w:adjustRightInd w:val="0"/>
              <w:snapToGrid w:val="0"/>
              <w:rPr>
                <w:rFonts w:hint="eastAsia" w:asciiTheme="majorEastAsia" w:hAnsiTheme="majorEastAsia" w:eastAsiaTheme="majorEastAsia"/>
                <w:b/>
                <w:sz w:val="24"/>
                <w:szCs w:val="21"/>
              </w:rPr>
            </w:pPr>
          </w:p>
        </w:tc>
        <w:tc>
          <w:tcPr>
            <w:tcW w:w="935" w:type="dxa"/>
            <w:vMerge w:val="continue"/>
          </w:tcPr>
          <w:p w14:paraId="29D2D2AD">
            <w:pPr>
              <w:adjustRightInd w:val="0"/>
              <w:snapToGrid w:val="0"/>
              <w:rPr>
                <w:rFonts w:hint="eastAsia" w:asciiTheme="majorEastAsia" w:hAnsiTheme="majorEastAsia" w:eastAsiaTheme="majorEastAsia"/>
                <w:b/>
                <w:sz w:val="24"/>
                <w:szCs w:val="21"/>
              </w:rPr>
            </w:pPr>
          </w:p>
        </w:tc>
        <w:tc>
          <w:tcPr>
            <w:tcW w:w="7564" w:type="dxa"/>
            <w:gridSpan w:val="2"/>
          </w:tcPr>
          <w:p w14:paraId="7E497310">
            <w:pPr>
              <w:widowControl/>
              <w:jc w:val="left"/>
              <w:textAlignment w:val="center"/>
              <w:rPr>
                <w:rFonts w:hint="eastAsia"/>
                <w:lang w:val="en-US" w:eastAsia="zh-CN"/>
              </w:rPr>
            </w:pPr>
            <w:r>
              <w:rPr>
                <w:rFonts w:hint="eastAsia"/>
                <w:lang w:val="en-US" w:eastAsia="zh-CN"/>
              </w:rPr>
              <w:t>10、温度检测温度检测(℃)</w:t>
            </w:r>
            <w:r>
              <w:rPr>
                <w:rFonts w:hint="eastAsia"/>
                <w:lang w:val="en-US" w:eastAsia="zh-CN"/>
              </w:rPr>
              <w:tab/>
            </w:r>
            <w:r>
              <w:rPr>
                <w:rFonts w:hint="eastAsia"/>
                <w:lang w:val="en-US" w:eastAsia="zh-CN"/>
              </w:rPr>
              <w:t xml:space="preserve">0~99  </w:t>
            </w:r>
          </w:p>
        </w:tc>
        <w:tc>
          <w:tcPr>
            <w:tcW w:w="817" w:type="dxa"/>
          </w:tcPr>
          <w:p w14:paraId="24374F2E">
            <w:pPr>
              <w:adjustRightInd w:val="0"/>
              <w:snapToGrid w:val="0"/>
              <w:rPr>
                <w:rFonts w:hint="eastAsia" w:asciiTheme="majorEastAsia" w:hAnsiTheme="majorEastAsia" w:eastAsiaTheme="majorEastAsia"/>
                <w:b/>
                <w:sz w:val="24"/>
                <w:szCs w:val="21"/>
              </w:rPr>
            </w:pPr>
          </w:p>
        </w:tc>
      </w:tr>
      <w:tr w14:paraId="3960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121CD80">
            <w:pPr>
              <w:adjustRightInd w:val="0"/>
              <w:snapToGrid w:val="0"/>
              <w:rPr>
                <w:rFonts w:hint="eastAsia" w:asciiTheme="majorEastAsia" w:hAnsiTheme="majorEastAsia" w:eastAsiaTheme="majorEastAsia"/>
                <w:b/>
                <w:sz w:val="24"/>
                <w:szCs w:val="21"/>
              </w:rPr>
            </w:pPr>
          </w:p>
        </w:tc>
        <w:tc>
          <w:tcPr>
            <w:tcW w:w="935" w:type="dxa"/>
            <w:vMerge w:val="continue"/>
          </w:tcPr>
          <w:p w14:paraId="5018D8A1">
            <w:pPr>
              <w:adjustRightInd w:val="0"/>
              <w:snapToGrid w:val="0"/>
              <w:rPr>
                <w:rFonts w:hint="eastAsia" w:asciiTheme="majorEastAsia" w:hAnsiTheme="majorEastAsia" w:eastAsiaTheme="majorEastAsia"/>
                <w:b/>
                <w:sz w:val="24"/>
                <w:szCs w:val="21"/>
              </w:rPr>
            </w:pPr>
          </w:p>
        </w:tc>
        <w:tc>
          <w:tcPr>
            <w:tcW w:w="7564" w:type="dxa"/>
            <w:gridSpan w:val="2"/>
            <w:vAlign w:val="center"/>
          </w:tcPr>
          <w:p w14:paraId="5E6BADB3">
            <w:pPr>
              <w:widowControl/>
              <w:jc w:val="left"/>
              <w:textAlignment w:val="center"/>
              <w:rPr>
                <w:rFonts w:hint="eastAsia"/>
                <w:lang w:val="en-US" w:eastAsia="zh-CN"/>
              </w:rPr>
            </w:pPr>
            <w:r>
              <w:rPr>
                <w:rFonts w:hint="eastAsia"/>
                <w:lang w:val="en-US" w:eastAsia="zh-CN"/>
              </w:rPr>
              <w:t>11、具备触摸显示屏，可连接脚踏射频开关；</w:t>
            </w:r>
          </w:p>
        </w:tc>
        <w:tc>
          <w:tcPr>
            <w:tcW w:w="817" w:type="dxa"/>
          </w:tcPr>
          <w:p w14:paraId="0DE5C2F1">
            <w:pPr>
              <w:adjustRightInd w:val="0"/>
              <w:snapToGrid w:val="0"/>
              <w:rPr>
                <w:rFonts w:hint="eastAsia" w:asciiTheme="majorEastAsia" w:hAnsiTheme="majorEastAsia" w:eastAsiaTheme="majorEastAsia"/>
                <w:b/>
                <w:sz w:val="24"/>
                <w:szCs w:val="21"/>
              </w:rPr>
            </w:pPr>
          </w:p>
        </w:tc>
      </w:tr>
      <w:tr w14:paraId="6384E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36E6716">
            <w:pPr>
              <w:adjustRightInd w:val="0"/>
              <w:snapToGrid w:val="0"/>
              <w:rPr>
                <w:rFonts w:hint="eastAsia" w:asciiTheme="majorEastAsia" w:hAnsiTheme="majorEastAsia" w:eastAsiaTheme="majorEastAsia"/>
                <w:b/>
                <w:sz w:val="24"/>
                <w:szCs w:val="21"/>
              </w:rPr>
            </w:pPr>
          </w:p>
        </w:tc>
        <w:tc>
          <w:tcPr>
            <w:tcW w:w="935" w:type="dxa"/>
            <w:vMerge w:val="continue"/>
          </w:tcPr>
          <w:p w14:paraId="293BE899">
            <w:pPr>
              <w:adjustRightInd w:val="0"/>
              <w:snapToGrid w:val="0"/>
              <w:rPr>
                <w:rFonts w:hint="eastAsia" w:asciiTheme="majorEastAsia" w:hAnsiTheme="majorEastAsia" w:eastAsiaTheme="majorEastAsia"/>
                <w:b/>
                <w:sz w:val="24"/>
                <w:szCs w:val="21"/>
              </w:rPr>
            </w:pPr>
          </w:p>
        </w:tc>
        <w:tc>
          <w:tcPr>
            <w:tcW w:w="7564" w:type="dxa"/>
            <w:gridSpan w:val="2"/>
            <w:vAlign w:val="center"/>
          </w:tcPr>
          <w:p w14:paraId="5785BDD7">
            <w:pPr>
              <w:widowControl/>
              <w:jc w:val="left"/>
              <w:textAlignment w:val="center"/>
              <w:rPr>
                <w:rFonts w:hint="eastAsia"/>
                <w:lang w:val="en-US" w:eastAsia="zh-CN"/>
              </w:rPr>
            </w:pPr>
            <w:r>
              <w:rPr>
                <w:rFonts w:hint="eastAsia"/>
                <w:lang w:val="en-US" w:eastAsia="zh-CN"/>
              </w:rPr>
              <w:t>12、具备术中数据和曲线回顾功能；</w:t>
            </w:r>
          </w:p>
        </w:tc>
        <w:tc>
          <w:tcPr>
            <w:tcW w:w="817" w:type="dxa"/>
          </w:tcPr>
          <w:p w14:paraId="38C8C331">
            <w:pPr>
              <w:adjustRightInd w:val="0"/>
              <w:snapToGrid w:val="0"/>
              <w:rPr>
                <w:rFonts w:hint="eastAsia" w:asciiTheme="majorEastAsia" w:hAnsiTheme="majorEastAsia" w:eastAsiaTheme="majorEastAsia"/>
                <w:b/>
                <w:sz w:val="24"/>
                <w:szCs w:val="21"/>
              </w:rPr>
            </w:pPr>
          </w:p>
        </w:tc>
      </w:tr>
      <w:tr w14:paraId="0625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10" w:type="dxa"/>
            <w:vMerge w:val="continue"/>
          </w:tcPr>
          <w:p w14:paraId="32717DD8">
            <w:pPr>
              <w:adjustRightInd w:val="0"/>
              <w:snapToGrid w:val="0"/>
              <w:rPr>
                <w:rFonts w:hint="eastAsia" w:asciiTheme="majorEastAsia" w:hAnsiTheme="majorEastAsia" w:eastAsiaTheme="majorEastAsia"/>
                <w:b/>
                <w:sz w:val="24"/>
                <w:szCs w:val="21"/>
              </w:rPr>
            </w:pPr>
          </w:p>
        </w:tc>
        <w:tc>
          <w:tcPr>
            <w:tcW w:w="935" w:type="dxa"/>
            <w:vMerge w:val="continue"/>
          </w:tcPr>
          <w:p w14:paraId="62359B09">
            <w:pPr>
              <w:adjustRightInd w:val="0"/>
              <w:snapToGrid w:val="0"/>
              <w:rPr>
                <w:rFonts w:hint="eastAsia" w:asciiTheme="majorEastAsia" w:hAnsiTheme="majorEastAsia" w:eastAsiaTheme="majorEastAsia"/>
                <w:b/>
                <w:sz w:val="24"/>
                <w:szCs w:val="21"/>
              </w:rPr>
            </w:pPr>
          </w:p>
        </w:tc>
        <w:tc>
          <w:tcPr>
            <w:tcW w:w="7564" w:type="dxa"/>
            <w:gridSpan w:val="2"/>
            <w:vAlign w:val="center"/>
          </w:tcPr>
          <w:p w14:paraId="692C2097">
            <w:pPr>
              <w:widowControl/>
              <w:jc w:val="left"/>
              <w:textAlignment w:val="center"/>
              <w:rPr>
                <w:rFonts w:hint="eastAsia"/>
                <w:lang w:val="en-US" w:eastAsia="zh-CN"/>
              </w:rPr>
            </w:pPr>
            <w:r>
              <w:rPr>
                <w:rFonts w:hint="eastAsia"/>
                <w:lang w:val="en-US" w:eastAsia="zh-CN"/>
              </w:rPr>
              <w:t>13、治疗过程中具备温度保护机制，当导管电极端反馈温度＞65℃时，功率会自动停止输出避免血管内皮损伤；</w:t>
            </w:r>
          </w:p>
        </w:tc>
        <w:tc>
          <w:tcPr>
            <w:tcW w:w="817" w:type="dxa"/>
          </w:tcPr>
          <w:p w14:paraId="787D0346">
            <w:pPr>
              <w:adjustRightInd w:val="0"/>
              <w:snapToGrid w:val="0"/>
              <w:rPr>
                <w:rFonts w:hint="eastAsia" w:asciiTheme="majorEastAsia" w:hAnsiTheme="majorEastAsia" w:eastAsiaTheme="majorEastAsia"/>
                <w:b/>
                <w:sz w:val="24"/>
                <w:szCs w:val="21"/>
              </w:rPr>
            </w:pPr>
          </w:p>
        </w:tc>
      </w:tr>
      <w:tr w14:paraId="22E0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8D29B0">
            <w:pPr>
              <w:adjustRightInd w:val="0"/>
              <w:snapToGrid w:val="0"/>
              <w:rPr>
                <w:rFonts w:hint="eastAsia" w:asciiTheme="majorEastAsia" w:hAnsiTheme="majorEastAsia" w:eastAsiaTheme="majorEastAsia"/>
                <w:b/>
                <w:sz w:val="24"/>
                <w:szCs w:val="21"/>
              </w:rPr>
            </w:pPr>
          </w:p>
        </w:tc>
        <w:tc>
          <w:tcPr>
            <w:tcW w:w="935" w:type="dxa"/>
            <w:vMerge w:val="continue"/>
          </w:tcPr>
          <w:p w14:paraId="35B3EBAD">
            <w:pPr>
              <w:adjustRightInd w:val="0"/>
              <w:snapToGrid w:val="0"/>
              <w:rPr>
                <w:rFonts w:hint="eastAsia" w:asciiTheme="majorEastAsia" w:hAnsiTheme="majorEastAsia" w:eastAsiaTheme="majorEastAsia"/>
                <w:b/>
                <w:sz w:val="24"/>
                <w:szCs w:val="21"/>
              </w:rPr>
            </w:pPr>
          </w:p>
        </w:tc>
        <w:tc>
          <w:tcPr>
            <w:tcW w:w="7564" w:type="dxa"/>
            <w:gridSpan w:val="2"/>
            <w:vAlign w:val="center"/>
          </w:tcPr>
          <w:p w14:paraId="6BF31C82">
            <w:pPr>
              <w:widowControl/>
              <w:jc w:val="left"/>
              <w:textAlignment w:val="center"/>
              <w:rPr>
                <w:rFonts w:hint="eastAsia"/>
                <w:lang w:val="en-US" w:eastAsia="zh-CN"/>
              </w:rPr>
            </w:pPr>
            <w:r>
              <w:rPr>
                <w:rFonts w:hint="eastAsia"/>
                <w:lang w:val="en-US" w:eastAsia="zh-CN"/>
              </w:rPr>
              <w:t>14、治疗过程中具备导管和中性电极不良连接提示功能，并及时关断能量输出机制，保护患者皮肤不被灼伤；</w:t>
            </w:r>
          </w:p>
        </w:tc>
        <w:tc>
          <w:tcPr>
            <w:tcW w:w="817" w:type="dxa"/>
          </w:tcPr>
          <w:p w14:paraId="0B095A22">
            <w:pPr>
              <w:adjustRightInd w:val="0"/>
              <w:snapToGrid w:val="0"/>
              <w:rPr>
                <w:rFonts w:hint="eastAsia" w:asciiTheme="majorEastAsia" w:hAnsiTheme="majorEastAsia" w:eastAsiaTheme="majorEastAsia"/>
                <w:b/>
                <w:sz w:val="24"/>
                <w:szCs w:val="21"/>
              </w:rPr>
            </w:pPr>
          </w:p>
        </w:tc>
      </w:tr>
      <w:tr w14:paraId="2E3B0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5089D77">
            <w:pPr>
              <w:adjustRightInd w:val="0"/>
              <w:snapToGrid w:val="0"/>
              <w:rPr>
                <w:rFonts w:hint="eastAsia" w:asciiTheme="majorEastAsia" w:hAnsiTheme="majorEastAsia" w:eastAsiaTheme="majorEastAsia"/>
                <w:b/>
                <w:sz w:val="24"/>
                <w:szCs w:val="21"/>
              </w:rPr>
            </w:pPr>
          </w:p>
        </w:tc>
        <w:tc>
          <w:tcPr>
            <w:tcW w:w="935" w:type="dxa"/>
            <w:vMerge w:val="continue"/>
          </w:tcPr>
          <w:p w14:paraId="094D2F3E">
            <w:pPr>
              <w:adjustRightInd w:val="0"/>
              <w:snapToGrid w:val="0"/>
              <w:rPr>
                <w:rFonts w:hint="eastAsia" w:asciiTheme="majorEastAsia" w:hAnsiTheme="majorEastAsia" w:eastAsiaTheme="majorEastAsia"/>
                <w:b/>
                <w:sz w:val="24"/>
                <w:szCs w:val="21"/>
              </w:rPr>
            </w:pPr>
          </w:p>
        </w:tc>
        <w:tc>
          <w:tcPr>
            <w:tcW w:w="7564" w:type="dxa"/>
            <w:gridSpan w:val="2"/>
            <w:vAlign w:val="center"/>
          </w:tcPr>
          <w:p w14:paraId="313147CC">
            <w:pPr>
              <w:widowControl/>
              <w:jc w:val="left"/>
              <w:textAlignment w:val="center"/>
              <w:rPr>
                <w:rFonts w:hint="eastAsia"/>
                <w:lang w:val="en-US" w:eastAsia="zh-CN"/>
              </w:rPr>
            </w:pPr>
            <w:r>
              <w:rPr>
                <w:rFonts w:hint="eastAsia"/>
                <w:lang w:val="en-US" w:eastAsia="zh-CN"/>
              </w:rPr>
              <w:t>15、具备电极通道的单独管理，具备阻抗变化，温度变化、功率变化实时监测功能；根据目标消融温度，自动调节射频能量输出；</w:t>
            </w:r>
          </w:p>
        </w:tc>
        <w:tc>
          <w:tcPr>
            <w:tcW w:w="817" w:type="dxa"/>
          </w:tcPr>
          <w:p w14:paraId="08D16A44">
            <w:pPr>
              <w:adjustRightInd w:val="0"/>
              <w:snapToGrid w:val="0"/>
              <w:rPr>
                <w:rFonts w:hint="eastAsia" w:asciiTheme="majorEastAsia" w:hAnsiTheme="majorEastAsia" w:eastAsiaTheme="majorEastAsia"/>
                <w:b/>
                <w:sz w:val="24"/>
                <w:szCs w:val="21"/>
              </w:rPr>
            </w:pPr>
          </w:p>
        </w:tc>
      </w:tr>
      <w:tr w14:paraId="7AB4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F76AF5D">
            <w:pPr>
              <w:adjustRightInd w:val="0"/>
              <w:snapToGrid w:val="0"/>
              <w:rPr>
                <w:rFonts w:hint="eastAsia" w:asciiTheme="majorEastAsia" w:hAnsiTheme="majorEastAsia" w:eastAsiaTheme="majorEastAsia"/>
                <w:b/>
                <w:sz w:val="24"/>
                <w:szCs w:val="21"/>
              </w:rPr>
            </w:pPr>
          </w:p>
        </w:tc>
        <w:tc>
          <w:tcPr>
            <w:tcW w:w="935" w:type="dxa"/>
            <w:vMerge w:val="continue"/>
          </w:tcPr>
          <w:p w14:paraId="49BF9FCB">
            <w:pPr>
              <w:adjustRightInd w:val="0"/>
              <w:snapToGrid w:val="0"/>
              <w:rPr>
                <w:rFonts w:hint="eastAsia" w:asciiTheme="majorEastAsia" w:hAnsiTheme="majorEastAsia" w:eastAsiaTheme="majorEastAsia"/>
                <w:b/>
                <w:sz w:val="24"/>
                <w:szCs w:val="21"/>
              </w:rPr>
            </w:pPr>
          </w:p>
        </w:tc>
        <w:tc>
          <w:tcPr>
            <w:tcW w:w="7564" w:type="dxa"/>
            <w:gridSpan w:val="2"/>
            <w:vAlign w:val="center"/>
          </w:tcPr>
          <w:p w14:paraId="27D148B7">
            <w:pPr>
              <w:widowControl/>
              <w:jc w:val="left"/>
              <w:textAlignment w:val="center"/>
              <w:rPr>
                <w:rFonts w:hint="eastAsia"/>
                <w:lang w:val="en-US" w:eastAsia="zh-CN"/>
              </w:rPr>
            </w:pPr>
            <w:r>
              <w:rPr>
                <w:rFonts w:hint="eastAsia"/>
                <w:lang w:val="en-US" w:eastAsia="zh-CN"/>
              </w:rPr>
              <w:t>16、治疗过程中可实时显示温度、阻抗、功率变化，且无需进行任何手动参数设置。根据参数判断贴壁情况和消融情况，并显示消融治疗时长；</w:t>
            </w:r>
          </w:p>
        </w:tc>
        <w:tc>
          <w:tcPr>
            <w:tcW w:w="817" w:type="dxa"/>
          </w:tcPr>
          <w:p w14:paraId="6646AE30">
            <w:pPr>
              <w:adjustRightInd w:val="0"/>
              <w:snapToGrid w:val="0"/>
              <w:rPr>
                <w:rFonts w:hint="eastAsia" w:asciiTheme="majorEastAsia" w:hAnsiTheme="majorEastAsia" w:eastAsiaTheme="majorEastAsia"/>
                <w:b/>
                <w:sz w:val="24"/>
                <w:szCs w:val="21"/>
              </w:rPr>
            </w:pPr>
          </w:p>
        </w:tc>
      </w:tr>
      <w:tr w14:paraId="16BB8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5F13099">
            <w:pPr>
              <w:adjustRightInd w:val="0"/>
              <w:snapToGrid w:val="0"/>
              <w:rPr>
                <w:rFonts w:hint="eastAsia" w:asciiTheme="majorEastAsia" w:hAnsiTheme="majorEastAsia" w:eastAsiaTheme="majorEastAsia"/>
                <w:b/>
                <w:sz w:val="24"/>
                <w:szCs w:val="21"/>
              </w:rPr>
            </w:pPr>
          </w:p>
        </w:tc>
        <w:tc>
          <w:tcPr>
            <w:tcW w:w="935" w:type="dxa"/>
            <w:vMerge w:val="continue"/>
          </w:tcPr>
          <w:p w14:paraId="60E20B23">
            <w:pPr>
              <w:adjustRightInd w:val="0"/>
              <w:snapToGrid w:val="0"/>
              <w:rPr>
                <w:rFonts w:hint="eastAsia" w:asciiTheme="majorEastAsia" w:hAnsiTheme="majorEastAsia" w:eastAsiaTheme="majorEastAsia"/>
                <w:b/>
                <w:sz w:val="24"/>
                <w:szCs w:val="21"/>
              </w:rPr>
            </w:pPr>
          </w:p>
        </w:tc>
        <w:tc>
          <w:tcPr>
            <w:tcW w:w="7564" w:type="dxa"/>
            <w:gridSpan w:val="2"/>
            <w:vAlign w:val="center"/>
          </w:tcPr>
          <w:p w14:paraId="5AD22856">
            <w:pPr>
              <w:widowControl/>
              <w:jc w:val="left"/>
              <w:textAlignment w:val="center"/>
              <w:rPr>
                <w:rFonts w:hint="eastAsia"/>
                <w:lang w:val="en-US" w:eastAsia="zh-CN"/>
              </w:rPr>
            </w:pPr>
            <w:r>
              <w:rPr>
                <w:rFonts w:hint="eastAsia"/>
                <w:lang w:val="en-US" w:eastAsia="zh-CN"/>
              </w:rPr>
              <w:t>17、每个通道最大输出功率不大于15W，在100Ω负载下最大输出功率误差不大于±20%</w:t>
            </w:r>
          </w:p>
        </w:tc>
        <w:tc>
          <w:tcPr>
            <w:tcW w:w="817" w:type="dxa"/>
          </w:tcPr>
          <w:p w14:paraId="4B62574A">
            <w:pPr>
              <w:adjustRightInd w:val="0"/>
              <w:snapToGrid w:val="0"/>
              <w:rPr>
                <w:rFonts w:hint="eastAsia" w:asciiTheme="majorEastAsia" w:hAnsiTheme="majorEastAsia" w:eastAsiaTheme="majorEastAsia"/>
                <w:b/>
                <w:sz w:val="24"/>
                <w:szCs w:val="21"/>
              </w:rPr>
            </w:pPr>
          </w:p>
        </w:tc>
      </w:tr>
      <w:tr w14:paraId="1D034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13DD8ED">
            <w:pPr>
              <w:adjustRightInd w:val="0"/>
              <w:snapToGrid w:val="0"/>
              <w:rPr>
                <w:rFonts w:hint="eastAsia" w:asciiTheme="majorEastAsia" w:hAnsiTheme="majorEastAsia" w:eastAsiaTheme="majorEastAsia"/>
                <w:b/>
                <w:sz w:val="24"/>
                <w:szCs w:val="21"/>
              </w:rPr>
            </w:pPr>
          </w:p>
        </w:tc>
        <w:tc>
          <w:tcPr>
            <w:tcW w:w="935" w:type="dxa"/>
            <w:vMerge w:val="continue"/>
          </w:tcPr>
          <w:p w14:paraId="5408908B">
            <w:pPr>
              <w:adjustRightInd w:val="0"/>
              <w:snapToGrid w:val="0"/>
              <w:rPr>
                <w:rFonts w:hint="eastAsia" w:asciiTheme="majorEastAsia" w:hAnsiTheme="majorEastAsia" w:eastAsiaTheme="majorEastAsia"/>
                <w:b/>
                <w:sz w:val="24"/>
                <w:szCs w:val="21"/>
              </w:rPr>
            </w:pPr>
          </w:p>
        </w:tc>
        <w:tc>
          <w:tcPr>
            <w:tcW w:w="7564" w:type="dxa"/>
            <w:gridSpan w:val="2"/>
            <w:vAlign w:val="center"/>
          </w:tcPr>
          <w:p w14:paraId="7C36A2F2">
            <w:pPr>
              <w:widowControl/>
              <w:jc w:val="left"/>
              <w:textAlignment w:val="center"/>
              <w:rPr>
                <w:rFonts w:hint="eastAsia"/>
                <w:lang w:val="en-US" w:eastAsia="zh-CN"/>
              </w:rPr>
            </w:pPr>
            <w:r>
              <w:rPr>
                <w:rFonts w:hint="eastAsia"/>
                <w:lang w:val="en-US" w:eastAsia="zh-CN"/>
              </w:rPr>
              <w:t>18、温控型,动态调整射频能量输出，保护血管为目标；</w:t>
            </w:r>
          </w:p>
        </w:tc>
        <w:tc>
          <w:tcPr>
            <w:tcW w:w="817" w:type="dxa"/>
          </w:tcPr>
          <w:p w14:paraId="716B69BF">
            <w:pPr>
              <w:adjustRightInd w:val="0"/>
              <w:snapToGrid w:val="0"/>
              <w:rPr>
                <w:rFonts w:hint="eastAsia" w:asciiTheme="majorEastAsia" w:hAnsiTheme="majorEastAsia" w:eastAsiaTheme="majorEastAsia"/>
                <w:b/>
                <w:sz w:val="24"/>
                <w:szCs w:val="21"/>
              </w:rPr>
            </w:pPr>
          </w:p>
        </w:tc>
      </w:tr>
      <w:tr w14:paraId="0E1B2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5CDEE5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2C45D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02E1676">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4FA7DED0">
            <w:pP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合同签订后并接采购人通知_____日历日内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7 日历日内）</w:t>
            </w:r>
            <w:r>
              <w:rPr>
                <w:rFonts w:hint="eastAsia" w:asciiTheme="majorEastAsia" w:hAnsiTheme="majorEastAsia" w:eastAsiaTheme="majorEastAsia"/>
                <w:b/>
                <w:sz w:val="24"/>
                <w:szCs w:val="21"/>
              </w:rPr>
              <w:t>。</w:t>
            </w:r>
          </w:p>
        </w:tc>
      </w:tr>
      <w:tr w14:paraId="64A0C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BC89EA3">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708421EA">
            <w:pPr>
              <w:adjustRightInd w:val="0"/>
              <w:snapToGrid w:val="0"/>
              <w:rPr>
                <w:rFonts w:hint="eastAsia"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10BB5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4CCD283">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5F35F11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0B5D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C748CF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7DF1CCC">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113E1B1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10个工作日内，支付100%合同货款到乙方指定帐户。</w:t>
            </w:r>
          </w:p>
          <w:p w14:paraId="6F42A266">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10个工作日内，甲方将履约保证金无息返还给乙方。</w:t>
            </w:r>
          </w:p>
          <w:p w14:paraId="4424AA43">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1B8959E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货到清点、安装调试验收合格正常使用后，出具全额发票，甲方凭乙方提供的完整资料，自发票到达甲方财务之日起10个工作日内，支付100%合同货款到乙方指定帐户。</w:t>
            </w:r>
          </w:p>
        </w:tc>
      </w:tr>
      <w:tr w14:paraId="0187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25505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46C8D2E4">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7AAACE3E">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F817F86">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77A1566C">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61EC7788">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279D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39BDC0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42A131FF">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24DA0B45">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384F467E">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328DA43C">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26ECE9AB">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40244123">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14B9F4F7">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638A3120">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71397B1F">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62F5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5BA5A6">
            <w:pPr>
              <w:adjustRightInd w:val="0"/>
              <w:snapToGrid w:val="0"/>
              <w:rPr>
                <w:rFonts w:hint="eastAsia"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1771BD35">
            <w:pPr>
              <w:adjustRightInd w:val="0"/>
              <w:snapToGrid w:val="0"/>
              <w:rPr>
                <w:rFonts w:hint="eastAsia" w:asciiTheme="majorEastAsia" w:hAnsiTheme="majorEastAsia" w:eastAsiaTheme="majorEastAsia"/>
                <w:sz w:val="24"/>
                <w:szCs w:val="21"/>
              </w:rPr>
            </w:pPr>
          </w:p>
        </w:tc>
        <w:tc>
          <w:tcPr>
            <w:tcW w:w="8261" w:type="dxa"/>
            <w:gridSpan w:val="2"/>
          </w:tcPr>
          <w:p w14:paraId="01FA1FE9">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报价已包含提供整机终身原厂保修</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01BC3372">
            <w:pPr>
              <w:adjustRightInd w:val="0"/>
              <w:snapToGrid w:val="0"/>
              <w:ind w:firstLine="360" w:firstLineChars="200"/>
              <w:rPr>
                <w:rFonts w:hint="eastAsia"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14763D3F">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7.24小时内响应，24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5F769DD3">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78DC85C2">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116ED771">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4387D211">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172F6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1ED1E50">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4A943610">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130AF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03D6718">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26CA81CE">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56427718">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59E74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24BB778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1E785575">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0E470E7E">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27A4F7B7">
            <w:pPr>
              <w:adjustRightInd w:val="0"/>
              <w:snapToGrid w:val="0"/>
              <w:ind w:firstLine="420" w:firstLineChars="200"/>
              <w:rPr>
                <w:rFonts w:hint="eastAsia"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7EB21E14">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07C610EA">
      <w:pPr>
        <w:spacing w:line="360" w:lineRule="auto"/>
        <w:ind w:firstLine="150" w:firstLineChars="100"/>
        <w:rPr>
          <w:rFonts w:hint="eastAsia" w:cs="方正小标宋简体" w:asciiTheme="majorEastAsia" w:hAnsiTheme="majorEastAsia" w:eastAsiaTheme="majorEastAsia"/>
          <w:sz w:val="15"/>
          <w:szCs w:val="15"/>
        </w:rPr>
      </w:pPr>
    </w:p>
    <w:p w14:paraId="4719517A">
      <w:pPr>
        <w:spacing w:line="540" w:lineRule="exact"/>
        <w:ind w:left="400"/>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7CC4F940">
      <w:pPr>
        <w:pStyle w:val="3"/>
        <w:ind w:left="400"/>
        <w:rPr>
          <w:rFonts w:hint="eastAsia"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11"/>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0041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9BEF93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7EA2BF28">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□否）（具体列明）：_</w:t>
            </w:r>
            <w:r>
              <w:rPr>
                <w:rFonts w:hint="eastAsia" w:asciiTheme="majorEastAsia" w:hAnsiTheme="majorEastAsia" w:eastAsiaTheme="majorEastAsia"/>
                <w:b/>
                <w:sz w:val="24"/>
                <w:szCs w:val="21"/>
                <w:u w:val="single"/>
              </w:rPr>
              <w:t>一次性使用肾动脉射频消融导管_</w:t>
            </w:r>
            <w:r>
              <w:rPr>
                <w:rFonts w:hint="eastAsia" w:asciiTheme="majorEastAsia" w:hAnsiTheme="majorEastAsia" w:eastAsiaTheme="majorEastAsia"/>
                <w:b/>
                <w:sz w:val="24"/>
                <w:szCs w:val="21"/>
              </w:rPr>
              <w:t xml:space="preserve">  是否有同类在库：□是 ☑否</w:t>
            </w:r>
          </w:p>
          <w:p w14:paraId="5256EB19">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1B4A4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2385A7A6">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1C2949B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2E47167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408CFAC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☑无配套试剂 </w:t>
            </w:r>
          </w:p>
        </w:tc>
      </w:tr>
      <w:tr w14:paraId="124D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029FE6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451D890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54D28D1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0AE7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62774CF8">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3DDC394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54ADAEA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66F96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13107E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4897954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19776C5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5219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6C6F5F78">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7DE02F24">
            <w:pPr>
              <w:adjustRightInd w:val="0"/>
              <w:snapToGrid w:val="0"/>
              <w:rPr>
                <w:rFonts w:hint="eastAsia" w:ascii="宋体" w:hAnsi="宋体" w:cs="宋体"/>
                <w:bCs/>
                <w:color w:val="000000"/>
                <w:szCs w:val="21"/>
              </w:rPr>
            </w:pPr>
            <w:r>
              <w:rPr>
                <w:rFonts w:hint="eastAsia" w:ascii="宋体" w:hAnsi="宋体" w:cs="宋体"/>
                <w:bCs/>
                <w:color w:val="000000"/>
                <w:szCs w:val="21"/>
              </w:rPr>
              <w:t>8年</w:t>
            </w:r>
          </w:p>
        </w:tc>
      </w:tr>
      <w:tr w14:paraId="0764E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05B6DC6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10D6181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☑有（具体列明）：□一类  □二类   ☑三类   □至少为   类</w:t>
            </w:r>
          </w:p>
          <w:p w14:paraId="6A889313">
            <w:pPr>
              <w:adjustRightInd w:val="0"/>
              <w:snapToGrid w:val="0"/>
              <w:rPr>
                <w:rFonts w:hint="eastAsia" w:ascii="宋体" w:hAnsi="宋体" w:cs="宋体"/>
                <w:bCs/>
                <w:color w:val="000000"/>
                <w:szCs w:val="21"/>
              </w:rPr>
            </w:pPr>
            <w:r>
              <w:rPr>
                <w:rFonts w:hint="eastAsia" w:asciiTheme="majorEastAsia" w:hAnsiTheme="majorEastAsia" w:eastAsiaTheme="majorEastAsia"/>
                <w:b/>
                <w:sz w:val="24"/>
                <w:szCs w:val="21"/>
              </w:rPr>
              <w:t xml:space="preserve">□无  </w:t>
            </w:r>
          </w:p>
        </w:tc>
      </w:tr>
      <w:tr w14:paraId="1024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4CF4154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19E1437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无</w:t>
            </w:r>
          </w:p>
        </w:tc>
      </w:tr>
    </w:tbl>
    <w:p w14:paraId="026580CB">
      <w:pPr>
        <w:adjustRightInd w:val="0"/>
        <w:snapToGrid w:val="0"/>
        <w:spacing w:line="360" w:lineRule="auto"/>
        <w:ind w:firstLine="1807" w:firstLineChars="500"/>
        <w:jc w:val="center"/>
        <w:rPr>
          <w:rFonts w:hint="eastAsia" w:asciiTheme="majorEastAsia" w:hAnsiTheme="majorEastAsia" w:eastAsiaTheme="majorEastAsia"/>
          <w:bCs/>
          <w:sz w:val="28"/>
          <w:highlight w:val="yellow"/>
        </w:rPr>
      </w:pPr>
      <w:bookmarkStart w:id="2" w:name="_GoBack"/>
      <w:bookmarkEnd w:id="2"/>
      <w:r>
        <w:rPr>
          <w:rFonts w:hint="eastAsia" w:cs="方正小标宋简体" w:asciiTheme="majorEastAsia" w:hAnsiTheme="majorEastAsia" w:eastAsiaTheme="majorEastAsia"/>
          <w:b/>
          <w:sz w:val="36"/>
          <w:szCs w:val="36"/>
          <w:highlight w:val="yellow"/>
        </w:rPr>
        <w:t>第四部分 设备主要维修配件、易损配件</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2CD51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0590745E">
            <w:pPr>
              <w:adjustRightInd w:val="0"/>
              <w:snapToGrid w:val="0"/>
              <w:jc w:val="center"/>
              <w:rPr>
                <w:rFonts w:hint="eastAsia"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54139637">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476762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41193E07">
            <w:pPr>
              <w:adjustRightInd w:val="0"/>
              <w:snapToGrid w:val="0"/>
              <w:jc w:val="center"/>
              <w:rPr>
                <w:rFonts w:hint="eastAsia"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2A048B76">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12305D9B">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4FA0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7D3D7964">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60BEC793">
            <w:pPr>
              <w:spacing w:line="400" w:lineRule="exact"/>
              <w:jc w:val="center"/>
              <w:outlineLvl w:val="0"/>
              <w:rPr>
                <w:rFonts w:hint="eastAsia" w:cs="方正小标宋简体" w:asciiTheme="majorEastAsia" w:hAnsiTheme="majorEastAsia" w:eastAsiaTheme="majorEastAsia"/>
                <w:sz w:val="24"/>
              </w:rPr>
            </w:pPr>
            <w:r>
              <w:rPr>
                <w:rFonts w:hint="eastAsia" w:ascii="宋体" w:hAnsi="宋体"/>
                <w:snapToGrid w:val="0"/>
                <w:color w:val="000000"/>
              </w:rPr>
              <w:t>主机连接线</w:t>
            </w:r>
          </w:p>
        </w:tc>
        <w:tc>
          <w:tcPr>
            <w:tcW w:w="2005" w:type="dxa"/>
          </w:tcPr>
          <w:p w14:paraId="2EE6AC67">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rPr>
              <w:t>1，Pcs</w:t>
            </w:r>
          </w:p>
        </w:tc>
        <w:tc>
          <w:tcPr>
            <w:tcW w:w="1843" w:type="dxa"/>
          </w:tcPr>
          <w:p w14:paraId="40B5028B">
            <w:pPr>
              <w:widowControl/>
              <w:adjustRightInd w:val="0"/>
              <w:snapToGrid w:val="0"/>
              <w:rPr>
                <w:rFonts w:hint="eastAsia" w:cs="方正小标宋简体" w:asciiTheme="majorEastAsia" w:hAnsiTheme="majorEastAsia" w:eastAsiaTheme="majorEastAsia"/>
              </w:rPr>
            </w:pPr>
          </w:p>
        </w:tc>
        <w:tc>
          <w:tcPr>
            <w:tcW w:w="1417" w:type="dxa"/>
          </w:tcPr>
          <w:p w14:paraId="599F48E5">
            <w:pPr>
              <w:widowControl/>
              <w:adjustRightInd w:val="0"/>
              <w:snapToGrid w:val="0"/>
              <w:rPr>
                <w:rFonts w:hint="eastAsia" w:cs="方正小标宋简体" w:asciiTheme="majorEastAsia" w:hAnsiTheme="majorEastAsia" w:eastAsiaTheme="majorEastAsia"/>
              </w:rPr>
            </w:pPr>
          </w:p>
        </w:tc>
        <w:tc>
          <w:tcPr>
            <w:tcW w:w="1560" w:type="dxa"/>
          </w:tcPr>
          <w:p w14:paraId="4CF79FA1">
            <w:pPr>
              <w:widowControl/>
              <w:adjustRightInd w:val="0"/>
              <w:snapToGrid w:val="0"/>
              <w:rPr>
                <w:rFonts w:hint="eastAsia" w:cs="方正小标宋简体" w:asciiTheme="majorEastAsia" w:hAnsiTheme="majorEastAsia" w:eastAsiaTheme="majorEastAsia"/>
                <w:sz w:val="24"/>
              </w:rPr>
            </w:pPr>
          </w:p>
        </w:tc>
      </w:tr>
      <w:tr w14:paraId="14AA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93" w:type="dxa"/>
          </w:tcPr>
          <w:p w14:paraId="76E657B2">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2</w:t>
            </w:r>
          </w:p>
          <w:p w14:paraId="780714A3">
            <w:pPr>
              <w:widowControl/>
              <w:adjustRightInd w:val="0"/>
              <w:snapToGrid w:val="0"/>
              <w:jc w:val="center"/>
              <w:rPr>
                <w:rFonts w:hint="eastAsia" w:cs="方正小标宋简体" w:asciiTheme="majorEastAsia" w:hAnsiTheme="majorEastAsia" w:eastAsiaTheme="majorEastAsia"/>
                <w:sz w:val="24"/>
              </w:rPr>
            </w:pPr>
          </w:p>
        </w:tc>
        <w:tc>
          <w:tcPr>
            <w:tcW w:w="2247" w:type="dxa"/>
          </w:tcPr>
          <w:p w14:paraId="42AFB0AB">
            <w:pPr>
              <w:spacing w:line="400" w:lineRule="exact"/>
              <w:jc w:val="center"/>
              <w:outlineLvl w:val="0"/>
              <w:rPr>
                <w:rFonts w:hint="eastAsia" w:cs="方正小标宋简体" w:asciiTheme="majorEastAsia" w:hAnsiTheme="majorEastAsia" w:eastAsiaTheme="majorEastAsia"/>
                <w:sz w:val="24"/>
              </w:rPr>
            </w:pPr>
            <w:r>
              <w:rPr>
                <w:rFonts w:hint="eastAsia" w:ascii="宋体" w:hAnsi="宋体"/>
                <w:snapToGrid w:val="0"/>
                <w:color w:val="000000"/>
              </w:rPr>
              <w:t>体表电极连接线</w:t>
            </w:r>
          </w:p>
        </w:tc>
        <w:tc>
          <w:tcPr>
            <w:tcW w:w="2005" w:type="dxa"/>
          </w:tcPr>
          <w:p w14:paraId="691968E9">
            <w:pPr>
              <w:widowControl/>
              <w:adjustRightInd w:val="0"/>
              <w:snapToGrid w:val="0"/>
              <w:jc w:val="center"/>
              <w:rPr>
                <w:rFonts w:hint="eastAsia" w:cs="方正小标宋简体" w:asciiTheme="majorEastAsia" w:hAnsiTheme="majorEastAsia" w:eastAsiaTheme="majorEastAsia"/>
                <w:sz w:val="24"/>
              </w:rPr>
            </w:pPr>
            <w:r>
              <w:rPr>
                <w:rFonts w:hint="eastAsia"/>
              </w:rPr>
              <w:t>1，Pcs</w:t>
            </w:r>
          </w:p>
        </w:tc>
        <w:tc>
          <w:tcPr>
            <w:tcW w:w="1843" w:type="dxa"/>
          </w:tcPr>
          <w:p w14:paraId="0EDA95DA">
            <w:pPr>
              <w:widowControl/>
              <w:adjustRightInd w:val="0"/>
              <w:snapToGrid w:val="0"/>
              <w:rPr>
                <w:rFonts w:hint="eastAsia" w:cs="方正小标宋简体" w:asciiTheme="majorEastAsia" w:hAnsiTheme="majorEastAsia" w:eastAsiaTheme="majorEastAsia"/>
                <w:sz w:val="24"/>
              </w:rPr>
            </w:pPr>
          </w:p>
        </w:tc>
        <w:tc>
          <w:tcPr>
            <w:tcW w:w="1417" w:type="dxa"/>
          </w:tcPr>
          <w:p w14:paraId="72B3928D">
            <w:pPr>
              <w:widowControl/>
              <w:adjustRightInd w:val="0"/>
              <w:snapToGrid w:val="0"/>
              <w:rPr>
                <w:rFonts w:hint="eastAsia" w:cs="方正小标宋简体" w:asciiTheme="majorEastAsia" w:hAnsiTheme="majorEastAsia" w:eastAsiaTheme="majorEastAsia"/>
                <w:sz w:val="24"/>
              </w:rPr>
            </w:pPr>
          </w:p>
        </w:tc>
        <w:tc>
          <w:tcPr>
            <w:tcW w:w="1560" w:type="dxa"/>
          </w:tcPr>
          <w:p w14:paraId="6E0A1A90">
            <w:pPr>
              <w:widowControl/>
              <w:adjustRightInd w:val="0"/>
              <w:snapToGrid w:val="0"/>
              <w:rPr>
                <w:rFonts w:hint="eastAsia" w:cs="方正小标宋简体" w:asciiTheme="majorEastAsia" w:hAnsiTheme="majorEastAsia" w:eastAsiaTheme="majorEastAsia"/>
                <w:sz w:val="24"/>
              </w:rPr>
            </w:pPr>
          </w:p>
        </w:tc>
      </w:tr>
      <w:tr w14:paraId="4174C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435B8ABE">
            <w:pPr>
              <w:widowControl/>
              <w:adjustRightInd w:val="0"/>
              <w:snapToGrid w:val="0"/>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3</w:t>
            </w:r>
          </w:p>
        </w:tc>
        <w:tc>
          <w:tcPr>
            <w:tcW w:w="2247" w:type="dxa"/>
          </w:tcPr>
          <w:p w14:paraId="29E68101">
            <w:pPr>
              <w:spacing w:line="400" w:lineRule="exact"/>
              <w:jc w:val="center"/>
              <w:outlineLvl w:val="0"/>
              <w:rPr>
                <w:rFonts w:hint="eastAsia" w:cs="方正小标宋简体" w:asciiTheme="majorEastAsia" w:hAnsiTheme="majorEastAsia" w:eastAsiaTheme="majorEastAsia"/>
                <w:sz w:val="24"/>
              </w:rPr>
            </w:pPr>
            <w:r>
              <w:rPr>
                <w:rFonts w:hint="eastAsia" w:ascii="宋体" w:hAnsi="宋体"/>
                <w:snapToGrid w:val="0"/>
                <w:color w:val="000000"/>
              </w:rPr>
              <w:t>脚踏开关</w:t>
            </w:r>
          </w:p>
        </w:tc>
        <w:tc>
          <w:tcPr>
            <w:tcW w:w="2005" w:type="dxa"/>
          </w:tcPr>
          <w:p w14:paraId="0AEFBF03">
            <w:pPr>
              <w:widowControl/>
              <w:adjustRightInd w:val="0"/>
              <w:snapToGrid w:val="0"/>
              <w:jc w:val="center"/>
              <w:rPr>
                <w:rFonts w:hint="eastAsia" w:cs="方正小标宋简体" w:asciiTheme="majorEastAsia" w:hAnsiTheme="majorEastAsia" w:eastAsiaTheme="majorEastAsia"/>
                <w:sz w:val="24"/>
              </w:rPr>
            </w:pPr>
            <w:r>
              <w:rPr>
                <w:rFonts w:hint="eastAsia"/>
              </w:rPr>
              <w:t>1，Pcs</w:t>
            </w:r>
          </w:p>
        </w:tc>
        <w:tc>
          <w:tcPr>
            <w:tcW w:w="1843" w:type="dxa"/>
          </w:tcPr>
          <w:p w14:paraId="2A7F79AF">
            <w:pPr>
              <w:widowControl/>
              <w:adjustRightInd w:val="0"/>
              <w:snapToGrid w:val="0"/>
              <w:rPr>
                <w:rFonts w:hint="eastAsia" w:cs="方正小标宋简体" w:asciiTheme="majorEastAsia" w:hAnsiTheme="majorEastAsia" w:eastAsiaTheme="majorEastAsia"/>
                <w:sz w:val="24"/>
              </w:rPr>
            </w:pPr>
          </w:p>
        </w:tc>
        <w:tc>
          <w:tcPr>
            <w:tcW w:w="1417" w:type="dxa"/>
          </w:tcPr>
          <w:p w14:paraId="776BECC3">
            <w:pPr>
              <w:widowControl/>
              <w:adjustRightInd w:val="0"/>
              <w:snapToGrid w:val="0"/>
              <w:rPr>
                <w:rFonts w:hint="eastAsia" w:cs="方正小标宋简体" w:asciiTheme="majorEastAsia" w:hAnsiTheme="majorEastAsia" w:eastAsiaTheme="majorEastAsia"/>
                <w:sz w:val="24"/>
              </w:rPr>
            </w:pPr>
          </w:p>
        </w:tc>
        <w:tc>
          <w:tcPr>
            <w:tcW w:w="1560" w:type="dxa"/>
          </w:tcPr>
          <w:p w14:paraId="0266EBE8">
            <w:pPr>
              <w:widowControl/>
              <w:adjustRightInd w:val="0"/>
              <w:snapToGrid w:val="0"/>
              <w:rPr>
                <w:rFonts w:hint="eastAsia" w:cs="方正小标宋简体" w:asciiTheme="majorEastAsia" w:hAnsiTheme="majorEastAsia" w:eastAsiaTheme="majorEastAsia"/>
                <w:sz w:val="24"/>
              </w:rPr>
            </w:pPr>
          </w:p>
        </w:tc>
      </w:tr>
    </w:tbl>
    <w:p w14:paraId="07C05AEB">
      <w:pPr>
        <w:adjustRightInd w:val="0"/>
        <w:snapToGrid w:val="0"/>
        <w:spacing w:line="300" w:lineRule="auto"/>
        <w:jc w:val="center"/>
        <w:rPr>
          <w:rFonts w:hint="eastAsia" w:asciiTheme="majorEastAsia" w:hAnsiTheme="majorEastAsia" w:eastAsiaTheme="majorEastAsia"/>
          <w:b/>
          <w:sz w:val="24"/>
          <w:szCs w:val="21"/>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2C94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5098C906">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7FE2A017">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2ED88B30">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33755353">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价格（元）</w:t>
            </w:r>
          </w:p>
        </w:tc>
      </w:tr>
      <w:tr w14:paraId="7062B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19B1149C">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47E92CA1">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5B710365">
            <w:pPr>
              <w:widowControl/>
              <w:jc w:val="center"/>
              <w:rPr>
                <w:rFonts w:hint="eastAsia" w:cs="方正小标宋简体" w:asciiTheme="majorEastAsia" w:hAnsiTheme="majorEastAsia" w:eastAsiaTheme="majorEastAsia"/>
                <w:sz w:val="24"/>
              </w:rPr>
            </w:pPr>
            <w:r>
              <w:rPr>
                <w:rFonts w:hint="eastAsia" w:cs="方正小标宋简体" w:asciiTheme="majorEastAsia" w:hAnsiTheme="majorEastAsia" w:eastAsiaTheme="majorEastAsia"/>
                <w:sz w:val="24"/>
              </w:rPr>
              <w:t>日常设备维护；紧急响应维护</w:t>
            </w:r>
          </w:p>
        </w:tc>
        <w:tc>
          <w:tcPr>
            <w:tcW w:w="2605" w:type="dxa"/>
            <w:vAlign w:val="center"/>
          </w:tcPr>
          <w:p w14:paraId="6AAB45EC">
            <w:pPr>
              <w:widowControl/>
              <w:jc w:val="center"/>
              <w:rPr>
                <w:rFonts w:hint="eastAsia" w:cs="方正小标宋简体" w:asciiTheme="majorEastAsia" w:hAnsiTheme="majorEastAsia" w:eastAsiaTheme="majorEastAsia"/>
                <w:sz w:val="24"/>
              </w:rPr>
            </w:pPr>
          </w:p>
        </w:tc>
      </w:tr>
    </w:tbl>
    <w:p w14:paraId="45EEAB5B">
      <w:pPr>
        <w:rPr>
          <w:rFonts w:hint="eastAsia" w:cs="方正小标宋简体" w:asciiTheme="majorEastAsia" w:hAnsiTheme="majorEastAsia" w:eastAsiaTheme="majorEastAsia"/>
          <w:sz w:val="30"/>
          <w:szCs w:val="30"/>
        </w:rPr>
      </w:pPr>
    </w:p>
    <w:tbl>
      <w:tblPr>
        <w:tblStyle w:val="11"/>
        <w:tblW w:w="10507"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63"/>
        <w:gridCol w:w="3152"/>
        <w:gridCol w:w="1741"/>
        <w:gridCol w:w="1753"/>
        <w:gridCol w:w="2698"/>
      </w:tblGrid>
      <w:tr w14:paraId="37E5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8" w:hRule="atLeast"/>
        </w:trPr>
        <w:tc>
          <w:tcPr>
            <w:tcW w:w="1163" w:type="dxa"/>
            <w:shd w:val="clear" w:color="auto" w:fill="auto"/>
            <w:noWrap/>
            <w:vAlign w:val="center"/>
          </w:tcPr>
          <w:p w14:paraId="273162B0">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3A784719">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52" w:type="dxa"/>
            <w:shd w:val="clear" w:color="auto" w:fill="auto"/>
            <w:vAlign w:val="center"/>
          </w:tcPr>
          <w:p w14:paraId="4D98BEB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41" w:type="dxa"/>
            <w:shd w:val="clear" w:color="auto" w:fill="auto"/>
            <w:vAlign w:val="center"/>
          </w:tcPr>
          <w:p w14:paraId="7633B6D4">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53" w:type="dxa"/>
            <w:shd w:val="clear" w:color="auto" w:fill="auto"/>
            <w:vAlign w:val="center"/>
          </w:tcPr>
          <w:p w14:paraId="7B9605EA">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98" w:type="dxa"/>
            <w:shd w:val="clear" w:color="auto" w:fill="auto"/>
            <w:vAlign w:val="center"/>
          </w:tcPr>
          <w:p w14:paraId="127C27B7">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0743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1163" w:type="dxa"/>
            <w:shd w:val="clear" w:color="auto" w:fill="auto"/>
            <w:vAlign w:val="center"/>
          </w:tcPr>
          <w:p w14:paraId="213FE676">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52" w:type="dxa"/>
            <w:shd w:val="clear" w:color="auto" w:fill="auto"/>
            <w:vAlign w:val="center"/>
          </w:tcPr>
          <w:p w14:paraId="6D7F7A37">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一次性使用肾动脉射频消融导管</w:t>
            </w:r>
          </w:p>
        </w:tc>
        <w:tc>
          <w:tcPr>
            <w:tcW w:w="1741" w:type="dxa"/>
            <w:shd w:val="clear" w:color="auto" w:fill="auto"/>
            <w:vAlign w:val="center"/>
          </w:tcPr>
          <w:p w14:paraId="7FA493C6">
            <w:pPr>
              <w:adjustRightInd w:val="0"/>
              <w:snapToGrid w:val="0"/>
              <w:jc w:val="center"/>
              <w:rPr>
                <w:rFonts w:hint="default" w:asciiTheme="majorEastAsia" w:hAnsiTheme="majorEastAsia" w:eastAsiaTheme="majorEastAsia"/>
                <w:b/>
                <w:sz w:val="24"/>
                <w:szCs w:val="21"/>
                <w:lang w:val="en-US" w:eastAsia="zh-CN"/>
              </w:rPr>
            </w:pPr>
          </w:p>
        </w:tc>
        <w:tc>
          <w:tcPr>
            <w:tcW w:w="1753" w:type="dxa"/>
            <w:shd w:val="clear" w:color="auto" w:fill="auto"/>
            <w:vAlign w:val="center"/>
          </w:tcPr>
          <w:p w14:paraId="0691CBA4">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w:t>
            </w:r>
          </w:p>
        </w:tc>
        <w:tc>
          <w:tcPr>
            <w:tcW w:w="2698" w:type="dxa"/>
            <w:shd w:val="clear" w:color="auto" w:fill="auto"/>
            <w:vAlign w:val="center"/>
          </w:tcPr>
          <w:p w14:paraId="6C30806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89500</w:t>
            </w:r>
          </w:p>
        </w:tc>
      </w:tr>
    </w:tbl>
    <w:p w14:paraId="61C5DAB3">
      <w:pPr>
        <w:rPr>
          <w:rFonts w:hint="eastAsia" w:cs="方正小标宋简体" w:asciiTheme="majorEastAsia" w:hAnsiTheme="majorEastAsia" w:eastAsiaTheme="majorEastAsia"/>
          <w:sz w:val="30"/>
          <w:szCs w:val="30"/>
        </w:rPr>
      </w:pPr>
    </w:p>
    <w:p w14:paraId="032B267D">
      <w:pPr>
        <w:rPr>
          <w:rFonts w:hint="eastAsia"/>
          <w:sz w:val="30"/>
          <w:szCs w:val="30"/>
          <w:highlight w:val="yellow"/>
        </w:rPr>
      </w:pPr>
    </w:p>
    <w:p w14:paraId="2FB2931F">
      <w:pPr>
        <w:rPr>
          <w:rFonts w:hint="eastAsia"/>
          <w:sz w:val="30"/>
          <w:szCs w:val="30"/>
          <w:highlight w:val="yellow"/>
        </w:rPr>
      </w:pPr>
    </w:p>
    <w:p w14:paraId="17A2DADD">
      <w:pPr>
        <w:rPr>
          <w:rFonts w:hint="eastAsia"/>
          <w:sz w:val="30"/>
          <w:szCs w:val="30"/>
          <w:highlight w:val="yellow"/>
        </w:rPr>
      </w:pPr>
    </w:p>
    <w:p w14:paraId="56021EBF">
      <w:pPr>
        <w:rPr>
          <w:rFonts w:hint="eastAsia"/>
          <w:sz w:val="30"/>
          <w:szCs w:val="30"/>
          <w:highlight w:val="yellow"/>
        </w:rPr>
      </w:pPr>
    </w:p>
    <w:p w14:paraId="0E9DEF44">
      <w:pPr>
        <w:rPr>
          <w:rFonts w:hint="eastAsia"/>
          <w:sz w:val="30"/>
          <w:szCs w:val="30"/>
          <w:highlight w:val="yellow"/>
        </w:rPr>
      </w:pPr>
    </w:p>
    <w:p w14:paraId="1C060509">
      <w:pPr>
        <w:rPr>
          <w:rFonts w:hint="eastAsia"/>
          <w:sz w:val="30"/>
          <w:szCs w:val="30"/>
          <w:highlight w:val="yellow"/>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78CB8304">
            <w:pPr>
              <w:pStyle w:val="7"/>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3EF3256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5F6B"/>
    <w:rsid w:val="000170C1"/>
    <w:rsid w:val="00021B63"/>
    <w:rsid w:val="00022431"/>
    <w:rsid w:val="00024E35"/>
    <w:rsid w:val="00027536"/>
    <w:rsid w:val="00027A10"/>
    <w:rsid w:val="0003257D"/>
    <w:rsid w:val="00047765"/>
    <w:rsid w:val="00056650"/>
    <w:rsid w:val="00057D8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53D79"/>
    <w:rsid w:val="00162C8C"/>
    <w:rsid w:val="00164210"/>
    <w:rsid w:val="00164E0C"/>
    <w:rsid w:val="0017347E"/>
    <w:rsid w:val="00173505"/>
    <w:rsid w:val="001755A1"/>
    <w:rsid w:val="0018628F"/>
    <w:rsid w:val="001B112F"/>
    <w:rsid w:val="001B29FF"/>
    <w:rsid w:val="001F45BE"/>
    <w:rsid w:val="001F5D4E"/>
    <w:rsid w:val="00201CE8"/>
    <w:rsid w:val="00205C1B"/>
    <w:rsid w:val="00207531"/>
    <w:rsid w:val="00213A4E"/>
    <w:rsid w:val="00214240"/>
    <w:rsid w:val="00217453"/>
    <w:rsid w:val="0022066A"/>
    <w:rsid w:val="00223188"/>
    <w:rsid w:val="002243DF"/>
    <w:rsid w:val="00240237"/>
    <w:rsid w:val="0024191C"/>
    <w:rsid w:val="00244C7F"/>
    <w:rsid w:val="00262E90"/>
    <w:rsid w:val="00275F39"/>
    <w:rsid w:val="00282B6D"/>
    <w:rsid w:val="002850D0"/>
    <w:rsid w:val="002956A8"/>
    <w:rsid w:val="0029701C"/>
    <w:rsid w:val="00297C31"/>
    <w:rsid w:val="002B3785"/>
    <w:rsid w:val="002C2DED"/>
    <w:rsid w:val="002C4247"/>
    <w:rsid w:val="002F5D5E"/>
    <w:rsid w:val="00307648"/>
    <w:rsid w:val="00311FDE"/>
    <w:rsid w:val="003213BB"/>
    <w:rsid w:val="00321F08"/>
    <w:rsid w:val="00322AE6"/>
    <w:rsid w:val="00326BC1"/>
    <w:rsid w:val="00334AA0"/>
    <w:rsid w:val="00352B55"/>
    <w:rsid w:val="00354F4C"/>
    <w:rsid w:val="00376AC2"/>
    <w:rsid w:val="003942D3"/>
    <w:rsid w:val="0039648A"/>
    <w:rsid w:val="003B23C1"/>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B42F6"/>
    <w:rsid w:val="004C1160"/>
    <w:rsid w:val="004C74AE"/>
    <w:rsid w:val="004D0A11"/>
    <w:rsid w:val="004E0D21"/>
    <w:rsid w:val="004F46AD"/>
    <w:rsid w:val="004F6661"/>
    <w:rsid w:val="00504B0F"/>
    <w:rsid w:val="00511DC2"/>
    <w:rsid w:val="00520EBE"/>
    <w:rsid w:val="00521AF4"/>
    <w:rsid w:val="00523CD5"/>
    <w:rsid w:val="005275A8"/>
    <w:rsid w:val="00535190"/>
    <w:rsid w:val="0053721B"/>
    <w:rsid w:val="00542363"/>
    <w:rsid w:val="00543959"/>
    <w:rsid w:val="0055112D"/>
    <w:rsid w:val="00553925"/>
    <w:rsid w:val="005666F4"/>
    <w:rsid w:val="005675B0"/>
    <w:rsid w:val="005772ED"/>
    <w:rsid w:val="00582ACB"/>
    <w:rsid w:val="00590721"/>
    <w:rsid w:val="00597CA2"/>
    <w:rsid w:val="005C211C"/>
    <w:rsid w:val="005C239D"/>
    <w:rsid w:val="005C57CC"/>
    <w:rsid w:val="005D1F81"/>
    <w:rsid w:val="00603257"/>
    <w:rsid w:val="0060593D"/>
    <w:rsid w:val="006231CE"/>
    <w:rsid w:val="00651D42"/>
    <w:rsid w:val="00654133"/>
    <w:rsid w:val="0065504F"/>
    <w:rsid w:val="00662021"/>
    <w:rsid w:val="00662B11"/>
    <w:rsid w:val="006C7CF0"/>
    <w:rsid w:val="006D202B"/>
    <w:rsid w:val="006D3D0D"/>
    <w:rsid w:val="006D571D"/>
    <w:rsid w:val="007024B9"/>
    <w:rsid w:val="007130B5"/>
    <w:rsid w:val="00716C4F"/>
    <w:rsid w:val="007246DD"/>
    <w:rsid w:val="00750A3D"/>
    <w:rsid w:val="007554DF"/>
    <w:rsid w:val="007644C2"/>
    <w:rsid w:val="00793785"/>
    <w:rsid w:val="007A0C07"/>
    <w:rsid w:val="007A2E18"/>
    <w:rsid w:val="007A7BFE"/>
    <w:rsid w:val="007B1DF4"/>
    <w:rsid w:val="007C4096"/>
    <w:rsid w:val="007D020D"/>
    <w:rsid w:val="007D196F"/>
    <w:rsid w:val="007D65D9"/>
    <w:rsid w:val="007E274A"/>
    <w:rsid w:val="0080050C"/>
    <w:rsid w:val="008120B0"/>
    <w:rsid w:val="00813523"/>
    <w:rsid w:val="00871F5E"/>
    <w:rsid w:val="00872D2F"/>
    <w:rsid w:val="00874934"/>
    <w:rsid w:val="00876B02"/>
    <w:rsid w:val="008802B6"/>
    <w:rsid w:val="00886A3D"/>
    <w:rsid w:val="008964A3"/>
    <w:rsid w:val="008B2B77"/>
    <w:rsid w:val="008B74EE"/>
    <w:rsid w:val="008C28A8"/>
    <w:rsid w:val="008D2C79"/>
    <w:rsid w:val="008D3E82"/>
    <w:rsid w:val="008E56F3"/>
    <w:rsid w:val="0090107D"/>
    <w:rsid w:val="009122AA"/>
    <w:rsid w:val="00914B58"/>
    <w:rsid w:val="00926D10"/>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D7E8E"/>
    <w:rsid w:val="00AF5FA9"/>
    <w:rsid w:val="00AF7A87"/>
    <w:rsid w:val="00B01564"/>
    <w:rsid w:val="00B06C01"/>
    <w:rsid w:val="00B21F51"/>
    <w:rsid w:val="00B22795"/>
    <w:rsid w:val="00B25EF8"/>
    <w:rsid w:val="00B63890"/>
    <w:rsid w:val="00B74119"/>
    <w:rsid w:val="00B77C98"/>
    <w:rsid w:val="00B82233"/>
    <w:rsid w:val="00BA0FDA"/>
    <w:rsid w:val="00BA17A1"/>
    <w:rsid w:val="00BA5B17"/>
    <w:rsid w:val="00BC4EC7"/>
    <w:rsid w:val="00BC5AE8"/>
    <w:rsid w:val="00BF1CC2"/>
    <w:rsid w:val="00BF69AA"/>
    <w:rsid w:val="00C03748"/>
    <w:rsid w:val="00C05356"/>
    <w:rsid w:val="00C11198"/>
    <w:rsid w:val="00C13828"/>
    <w:rsid w:val="00C276F8"/>
    <w:rsid w:val="00C32BEC"/>
    <w:rsid w:val="00C35949"/>
    <w:rsid w:val="00C46532"/>
    <w:rsid w:val="00C52EBE"/>
    <w:rsid w:val="00C55020"/>
    <w:rsid w:val="00C619DD"/>
    <w:rsid w:val="00C67D6C"/>
    <w:rsid w:val="00C77FD8"/>
    <w:rsid w:val="00CF09E5"/>
    <w:rsid w:val="00D05083"/>
    <w:rsid w:val="00D51907"/>
    <w:rsid w:val="00D5343F"/>
    <w:rsid w:val="00D54D59"/>
    <w:rsid w:val="00D647C2"/>
    <w:rsid w:val="00D976F6"/>
    <w:rsid w:val="00DA6EC9"/>
    <w:rsid w:val="00DB1E59"/>
    <w:rsid w:val="00DB4D7A"/>
    <w:rsid w:val="00DB528F"/>
    <w:rsid w:val="00DC0A59"/>
    <w:rsid w:val="00DC4CC7"/>
    <w:rsid w:val="00DC7DA0"/>
    <w:rsid w:val="00DE105F"/>
    <w:rsid w:val="00DF5E92"/>
    <w:rsid w:val="00E052D9"/>
    <w:rsid w:val="00E1520C"/>
    <w:rsid w:val="00E35AFC"/>
    <w:rsid w:val="00E92938"/>
    <w:rsid w:val="00E93F8F"/>
    <w:rsid w:val="00EC3541"/>
    <w:rsid w:val="00ED7224"/>
    <w:rsid w:val="00EF0BF4"/>
    <w:rsid w:val="00F0149B"/>
    <w:rsid w:val="00F06EFC"/>
    <w:rsid w:val="00F07294"/>
    <w:rsid w:val="00F1549D"/>
    <w:rsid w:val="00F225D8"/>
    <w:rsid w:val="00F23DB0"/>
    <w:rsid w:val="00F30025"/>
    <w:rsid w:val="00F464BC"/>
    <w:rsid w:val="00F524AF"/>
    <w:rsid w:val="00F60CB5"/>
    <w:rsid w:val="00F65BCF"/>
    <w:rsid w:val="00F6788A"/>
    <w:rsid w:val="00F81403"/>
    <w:rsid w:val="00F83533"/>
    <w:rsid w:val="00F945B0"/>
    <w:rsid w:val="00FB0FB8"/>
    <w:rsid w:val="00FB421E"/>
    <w:rsid w:val="00FB5FAD"/>
    <w:rsid w:val="00FC40CA"/>
    <w:rsid w:val="00FD0656"/>
    <w:rsid w:val="00FD23ED"/>
    <w:rsid w:val="00FD44F8"/>
    <w:rsid w:val="00FF30DB"/>
    <w:rsid w:val="036A1355"/>
    <w:rsid w:val="050C0A55"/>
    <w:rsid w:val="0611217C"/>
    <w:rsid w:val="07AE3385"/>
    <w:rsid w:val="0E4D13D8"/>
    <w:rsid w:val="0F7B40F3"/>
    <w:rsid w:val="0F8E7447"/>
    <w:rsid w:val="1151493A"/>
    <w:rsid w:val="119B6051"/>
    <w:rsid w:val="11CA4DB0"/>
    <w:rsid w:val="12A25084"/>
    <w:rsid w:val="142B2292"/>
    <w:rsid w:val="14443CD0"/>
    <w:rsid w:val="15FB47D0"/>
    <w:rsid w:val="19A66D0D"/>
    <w:rsid w:val="1A1F49CA"/>
    <w:rsid w:val="1A385FE8"/>
    <w:rsid w:val="1E12700E"/>
    <w:rsid w:val="20B869BA"/>
    <w:rsid w:val="20E21F80"/>
    <w:rsid w:val="21971856"/>
    <w:rsid w:val="22E10C1D"/>
    <w:rsid w:val="267A53F0"/>
    <w:rsid w:val="28841DED"/>
    <w:rsid w:val="2B252436"/>
    <w:rsid w:val="359B56E2"/>
    <w:rsid w:val="35ED7DC4"/>
    <w:rsid w:val="366D6BB6"/>
    <w:rsid w:val="3C410359"/>
    <w:rsid w:val="3DFD5C3F"/>
    <w:rsid w:val="3EB2662C"/>
    <w:rsid w:val="3FF51815"/>
    <w:rsid w:val="43F25F76"/>
    <w:rsid w:val="445F60B6"/>
    <w:rsid w:val="4E280CF3"/>
    <w:rsid w:val="50537D95"/>
    <w:rsid w:val="513A7953"/>
    <w:rsid w:val="566D4594"/>
    <w:rsid w:val="57CF7AD2"/>
    <w:rsid w:val="58242AE0"/>
    <w:rsid w:val="58AB396B"/>
    <w:rsid w:val="592D0208"/>
    <w:rsid w:val="5AB62510"/>
    <w:rsid w:val="5AD66F64"/>
    <w:rsid w:val="5B063F8F"/>
    <w:rsid w:val="5BD631BA"/>
    <w:rsid w:val="5BDE3A84"/>
    <w:rsid w:val="5C483C8E"/>
    <w:rsid w:val="663B31C1"/>
    <w:rsid w:val="66AC0259"/>
    <w:rsid w:val="6844188F"/>
    <w:rsid w:val="6AFD60D5"/>
    <w:rsid w:val="6DBE0CCD"/>
    <w:rsid w:val="6E0D3110"/>
    <w:rsid w:val="6F0F1F75"/>
    <w:rsid w:val="6F633413"/>
    <w:rsid w:val="6F9E571F"/>
    <w:rsid w:val="71271901"/>
    <w:rsid w:val="73374A1C"/>
    <w:rsid w:val="738F7392"/>
    <w:rsid w:val="762C283F"/>
    <w:rsid w:val="767D5D1E"/>
    <w:rsid w:val="76E03ABB"/>
    <w:rsid w:val="77A730FA"/>
    <w:rsid w:val="7A6F030F"/>
    <w:rsid w:val="7A8916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unhideWhenUsed/>
    <w:qFormat/>
    <w:uiPriority w:val="99"/>
    <w:pPr>
      <w:jc w:val="left"/>
    </w:pPr>
  </w:style>
  <w:style w:type="paragraph" w:styleId="3">
    <w:name w:val="Body Text"/>
    <w:basedOn w:val="1"/>
    <w:link w:val="24"/>
    <w:qFormat/>
    <w:uiPriority w:val="0"/>
    <w:pPr>
      <w:adjustRightInd w:val="0"/>
      <w:snapToGrid w:val="0"/>
      <w:spacing w:line="500" w:lineRule="atLeast"/>
    </w:pPr>
    <w:rPr>
      <w:rFonts w:ascii="宋体"/>
      <w:bCs/>
      <w:sz w:val="28"/>
    </w:rPr>
  </w:style>
  <w:style w:type="paragraph" w:styleId="4">
    <w:name w:val="Body Text Indent"/>
    <w:basedOn w:val="1"/>
    <w:qFormat/>
    <w:uiPriority w:val="0"/>
    <w:pPr>
      <w:spacing w:after="120"/>
      <w:ind w:left="420" w:leftChars="200"/>
    </w:pPr>
  </w:style>
  <w:style w:type="paragraph" w:styleId="5">
    <w:name w:val="Plain Text"/>
    <w:basedOn w:val="1"/>
    <w:link w:val="19"/>
    <w:unhideWhenUsed/>
    <w:qFormat/>
    <w:uiPriority w:val="99"/>
    <w:rPr>
      <w:rFonts w:ascii="宋体" w:hAnsi="Courier New" w:cs="Courier New"/>
      <w:szCs w:val="21"/>
    </w:rPr>
  </w:style>
  <w:style w:type="paragraph" w:styleId="6">
    <w:name w:val="Balloon Text"/>
    <w:basedOn w:val="1"/>
    <w:link w:val="21"/>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23"/>
    <w:semiHidden/>
    <w:unhideWhenUsed/>
    <w:qFormat/>
    <w:uiPriority w:val="99"/>
    <w:rPr>
      <w:b/>
      <w:bCs/>
    </w:rPr>
  </w:style>
  <w:style w:type="paragraph" w:styleId="10">
    <w:name w:val="Body Text First Indent 2"/>
    <w:basedOn w:val="4"/>
    <w:qFormat/>
    <w:uiPriority w:val="0"/>
    <w:pPr>
      <w:ind w:firstLine="420" w:firstLineChars="200"/>
    </w:p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0"/>
    <w:rPr>
      <w:rFonts w:ascii="Tahoma" w:hAnsi="Tahoma" w:eastAsia="宋体"/>
      <w:b/>
      <w:bCs/>
      <w:spacing w:val="10"/>
      <w:kern w:val="2"/>
      <w:sz w:val="24"/>
      <w:szCs w:val="24"/>
      <w:lang w:val="en-US" w:eastAsia="zh-CN" w:bidi="ar-SA"/>
    </w:rPr>
  </w:style>
  <w:style w:type="character" w:styleId="15">
    <w:name w:val="annotation reference"/>
    <w:basedOn w:val="13"/>
    <w:semiHidden/>
    <w:unhideWhenUsed/>
    <w:qFormat/>
    <w:uiPriority w:val="99"/>
    <w:rPr>
      <w:sz w:val="21"/>
      <w:szCs w:val="21"/>
    </w:rPr>
  </w:style>
  <w:style w:type="character" w:customStyle="1" w:styleId="16">
    <w:name w:val="页眉 字符"/>
    <w:basedOn w:val="13"/>
    <w:link w:val="8"/>
    <w:qFormat/>
    <w:uiPriority w:val="99"/>
    <w:rPr>
      <w:sz w:val="18"/>
      <w:szCs w:val="18"/>
    </w:rPr>
  </w:style>
  <w:style w:type="character" w:customStyle="1" w:styleId="17">
    <w:name w:val="页脚 字符"/>
    <w:basedOn w:val="13"/>
    <w:link w:val="7"/>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纯文本 字符"/>
    <w:basedOn w:val="13"/>
    <w:link w:val="5"/>
    <w:qFormat/>
    <w:uiPriority w:val="99"/>
    <w:rPr>
      <w:rFonts w:ascii="宋体" w:hAnsi="Courier New" w:eastAsia="宋体" w:cs="Courier New"/>
      <w:szCs w:val="21"/>
    </w:rPr>
  </w:style>
  <w:style w:type="paragraph" w:customStyle="1" w:styleId="20">
    <w:name w:val="样式1 Char Char"/>
    <w:basedOn w:val="1"/>
    <w:next w:val="5"/>
    <w:qFormat/>
    <w:uiPriority w:val="0"/>
    <w:pPr>
      <w:spacing w:line="360" w:lineRule="auto"/>
      <w:ind w:firstLine="516" w:firstLineChars="215"/>
    </w:pPr>
    <w:rPr>
      <w:sz w:val="24"/>
    </w:rPr>
  </w:style>
  <w:style w:type="character" w:customStyle="1" w:styleId="21">
    <w:name w:val="批注框文本 字符"/>
    <w:basedOn w:val="13"/>
    <w:link w:val="6"/>
    <w:semiHidden/>
    <w:qFormat/>
    <w:uiPriority w:val="99"/>
    <w:rPr>
      <w:rFonts w:ascii="Times New Roman" w:hAnsi="Times New Roman" w:eastAsia="宋体" w:cs="Times New Roman"/>
      <w:kern w:val="2"/>
      <w:sz w:val="18"/>
      <w:szCs w:val="18"/>
    </w:rPr>
  </w:style>
  <w:style w:type="character" w:customStyle="1" w:styleId="22">
    <w:name w:val="批注文字 字符"/>
    <w:basedOn w:val="13"/>
    <w:link w:val="2"/>
    <w:qFormat/>
    <w:uiPriority w:val="99"/>
    <w:rPr>
      <w:rFonts w:ascii="Times New Roman" w:hAnsi="Times New Roman" w:eastAsia="宋体" w:cs="Times New Roman"/>
      <w:kern w:val="2"/>
      <w:sz w:val="21"/>
      <w:szCs w:val="24"/>
    </w:rPr>
  </w:style>
  <w:style w:type="character" w:customStyle="1" w:styleId="23">
    <w:name w:val="批注主题 字符"/>
    <w:basedOn w:val="22"/>
    <w:link w:val="9"/>
    <w:semiHidden/>
    <w:qFormat/>
    <w:uiPriority w:val="99"/>
    <w:rPr>
      <w:rFonts w:ascii="Times New Roman" w:hAnsi="Times New Roman" w:eastAsia="宋体" w:cs="Times New Roman"/>
      <w:b/>
      <w:bCs/>
      <w:kern w:val="2"/>
      <w:sz w:val="21"/>
      <w:szCs w:val="24"/>
    </w:rPr>
  </w:style>
  <w:style w:type="character" w:customStyle="1" w:styleId="24">
    <w:name w:val="正文文本 字符"/>
    <w:basedOn w:val="13"/>
    <w:link w:val="3"/>
    <w:qFormat/>
    <w:uiPriority w:val="0"/>
    <w:rPr>
      <w:rFonts w:ascii="宋体" w:hAnsi="Times New Roman" w:eastAsia="宋体" w:cs="Times New Roman"/>
      <w:bCs/>
      <w:kern w:val="2"/>
      <w:sz w:val="28"/>
      <w:szCs w:val="24"/>
    </w:rPr>
  </w:style>
  <w:style w:type="paragraph" w:customStyle="1" w:styleId="25">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5250</Words>
  <Characters>5433</Characters>
  <Lines>493</Lines>
  <Paragraphs>593</Paragraphs>
  <TotalTime>1</TotalTime>
  <ScaleCrop>false</ScaleCrop>
  <LinksUpToDate>false</LinksUpToDate>
  <CharactersWithSpaces>5515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2025-06-27T07:52:00Z</dcterms:created>
  <dc:creator>陈蕾</dc:creator>
  <cp:lastModifiedBy>5J1</cp:lastModifiedBy>
  <cp:lastPrinted>2025-09-02T02:55:00Z</cp:lastPrinted>
  <dcterms:modified xsi:type="dcterms:W3CDTF">2026-04-14T02:39:56Z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9A8A7A9F09C54583B4FE5EA692B35E94_13</vt:lpwstr>
  </property>
</Properties>
</file>