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478AE">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1513F53E">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6E329FAA">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7C3461F7">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17F12E09">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1001E82B">
      <w:pPr>
        <w:spacing w:before="100" w:beforeAutospacing="1" w:line="276" w:lineRule="auto"/>
        <w:ind w:firstLine="482" w:firstLineChars="200"/>
        <w:rPr>
          <w:rFonts w:cs="方正小标宋简体" w:asciiTheme="majorEastAsia" w:hAnsiTheme="majorEastAsia"/>
          <w:sz w:val="24"/>
          <w:shd w:val="clear" w:color="auto" w:fill="FFFFFF"/>
        </w:rPr>
      </w:pPr>
      <w:r>
        <w:rPr>
          <w:rFonts w:hint="eastAsia" w:asciiTheme="majorEastAsia" w:hAnsiTheme="majorEastAsia" w:eastAsiaTheme="majorEastAsia"/>
          <w:b/>
          <w:color w:val="000000"/>
          <w:sz w:val="24"/>
          <w:szCs w:val="21"/>
        </w:rPr>
        <w:t xml:space="preserve">申请科室：心血管内科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10"/>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206"/>
        <w:gridCol w:w="850"/>
        <w:gridCol w:w="503"/>
        <w:gridCol w:w="64"/>
        <w:gridCol w:w="567"/>
        <w:gridCol w:w="503"/>
        <w:gridCol w:w="348"/>
        <w:gridCol w:w="567"/>
        <w:gridCol w:w="567"/>
        <w:gridCol w:w="1417"/>
        <w:gridCol w:w="993"/>
        <w:gridCol w:w="1062"/>
      </w:tblGrid>
      <w:tr w14:paraId="54D98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270" w:type="dxa"/>
            <w:gridSpan w:val="3"/>
          </w:tcPr>
          <w:p w14:paraId="22AB45F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4B9027B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74D81BB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202AEC5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0F4E6B1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0411AEE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2C758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0D2F1404">
            <w:pPr>
              <w:jc w:val="center"/>
              <w:rPr>
                <w:rFonts w:asciiTheme="majorEastAsia" w:hAnsiTheme="majorEastAsia" w:eastAsiaTheme="majorEastAsia"/>
                <w:sz w:val="24"/>
                <w:szCs w:val="21"/>
              </w:rPr>
            </w:pPr>
            <w:r>
              <w:rPr>
                <w:rFonts w:hint="eastAsia"/>
                <w:spacing w:val="-2"/>
              </w:rPr>
              <w:t>肺动脉射频消融仪</w:t>
            </w:r>
          </w:p>
        </w:tc>
        <w:tc>
          <w:tcPr>
            <w:tcW w:w="1559" w:type="dxa"/>
            <w:gridSpan w:val="3"/>
            <w:vAlign w:val="center"/>
          </w:tcPr>
          <w:p w14:paraId="2A331442">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1134" w:type="dxa"/>
            <w:gridSpan w:val="3"/>
            <w:vAlign w:val="center"/>
          </w:tcPr>
          <w:p w14:paraId="454901B2">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915" w:type="dxa"/>
            <w:gridSpan w:val="2"/>
            <w:vAlign w:val="center"/>
          </w:tcPr>
          <w:p w14:paraId="1B4E688D">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984" w:type="dxa"/>
            <w:gridSpan w:val="2"/>
          </w:tcPr>
          <w:p w14:paraId="09A86C98">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rPr>
              <w:t>0.</w:t>
            </w:r>
            <w:r>
              <w:rPr>
                <w:rFonts w:hint="eastAsia" w:asciiTheme="majorEastAsia" w:hAnsiTheme="majorEastAsia" w:eastAsiaTheme="majorEastAsia"/>
                <w:sz w:val="24"/>
                <w:szCs w:val="21"/>
                <w:lang w:val="en-US" w:eastAsia="zh-CN"/>
              </w:rPr>
              <w:t>15</w:t>
            </w:r>
          </w:p>
        </w:tc>
        <w:tc>
          <w:tcPr>
            <w:tcW w:w="2055" w:type="dxa"/>
            <w:gridSpan w:val="2"/>
            <w:vAlign w:val="center"/>
          </w:tcPr>
          <w:p w14:paraId="139AAE01">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rPr>
              <w:t>0.</w:t>
            </w:r>
            <w:r>
              <w:rPr>
                <w:rFonts w:hint="eastAsia" w:asciiTheme="majorEastAsia" w:hAnsiTheme="majorEastAsia" w:eastAsiaTheme="majorEastAsia"/>
                <w:sz w:val="24"/>
                <w:szCs w:val="21"/>
                <w:lang w:val="en-US" w:eastAsia="zh-CN"/>
              </w:rPr>
              <w:t>15</w:t>
            </w:r>
          </w:p>
        </w:tc>
      </w:tr>
      <w:tr w14:paraId="27BDF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1CC1697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58BC246F">
            <w:pPr>
              <w:spacing w:line="240" w:lineRule="exact"/>
              <w:ind w:firstLine="420" w:firstLineChars="200"/>
            </w:pPr>
            <w:r>
              <w:rPr>
                <w:rFonts w:hint="eastAsia"/>
              </w:rPr>
              <w:t>肺动脉高压被喻为心脏的“癌症”，患者治疗需依赖靶向降肺压药物，但目前治疗体系下仍有</w:t>
            </w:r>
            <w:r>
              <w:t>70%</w:t>
            </w:r>
            <w:r>
              <w:rPr>
                <w:rFonts w:hint="eastAsia"/>
              </w:rPr>
              <w:t>的患者处于中高危以上风险，难以延缓疾病进展，</w:t>
            </w:r>
            <w:r>
              <w:t>1</w:t>
            </w:r>
            <w:r>
              <w:rPr>
                <w:rFonts w:hint="eastAsia"/>
              </w:rPr>
              <w:t>年死亡率在</w:t>
            </w:r>
            <w:r>
              <w:t>5-20%</w:t>
            </w:r>
            <w:r>
              <w:rPr>
                <w:rFonts w:hint="eastAsia"/>
              </w:rPr>
              <w:t>以上。此外，口服药物有头痛、低血压、水肿、呕吐等副作用，且三联药物治疗常包含高浓度皮下药物注射，严重影响患者生存质量，长期使用还将导致局部软组织感染、坏死。患者长期生存率和生活质量有迫切改善的需求。</w:t>
            </w:r>
          </w:p>
          <w:p w14:paraId="0E750FE5">
            <w:pPr>
              <w:spacing w:line="240" w:lineRule="exact"/>
              <w:ind w:firstLine="420" w:firstLineChars="200"/>
            </w:pPr>
            <w:r>
              <w:rPr>
                <w:rFonts w:hint="eastAsia"/>
              </w:rPr>
              <w:t>肺动脉射频消融仪及其配套的一次性使用环形肺动脉射频消融导管是我国自主研发的产品，领先世界的一项微创介入治疗技术。对比单纯药物治疗，经皮肺动脉去神经射频消融术后</w:t>
            </w:r>
            <w:r>
              <w:t>6</w:t>
            </w:r>
            <w:r>
              <w:rPr>
                <w:rFonts w:hint="eastAsia"/>
              </w:rPr>
              <w:t>月活动耐量提高</w:t>
            </w:r>
            <w:r>
              <w:t>60%</w:t>
            </w:r>
            <w:r>
              <w:rPr>
                <w:rFonts w:hint="eastAsia"/>
              </w:rPr>
              <w:t>，疗效达标率提高</w:t>
            </w:r>
            <w:r>
              <w:t>50%</w:t>
            </w:r>
            <w:r>
              <w:rPr>
                <w:rFonts w:hint="eastAsia"/>
              </w:rPr>
              <w:t>，临床恶化事件减少</w:t>
            </w:r>
            <w:r>
              <w:t>90%</w:t>
            </w:r>
            <w:r>
              <w:rPr>
                <w:rFonts w:hint="eastAsia"/>
              </w:rPr>
              <w:t>，极大改善患者症状及预后。经皮肺动脉去神经术的发明填补了肺动脉高压早中期介入治疗的空白，有效延缓、避免患者接受房间隔造口等姑息性手术及心肺移植术。</w:t>
            </w:r>
          </w:p>
          <w:p w14:paraId="526FA442">
            <w:pPr>
              <w:spacing w:line="240" w:lineRule="exact"/>
              <w:ind w:firstLine="420" w:firstLineChars="200"/>
              <w:rPr>
                <w:rFonts w:asciiTheme="majorEastAsia" w:hAnsiTheme="majorEastAsia" w:eastAsiaTheme="majorEastAsia"/>
                <w:sz w:val="24"/>
                <w:szCs w:val="21"/>
              </w:rPr>
            </w:pPr>
            <w:r>
              <w:rPr>
                <w:rFonts w:hint="eastAsia"/>
              </w:rPr>
              <w:t>中山大学附属第八医院长期以来，充分关注肺动脉高压患者的诊疗工作。在普通药物治疗和靶向药物治疗的阶段，保持着与国内外同步的治疗水平，也是患者深度信赖的诊疗中心。希望能尽快开展该新技术，在肺动脉高压介入治疗领域成为深圳市乃至全国的领先医院，真正成为双一流的高水平医院。</w:t>
            </w:r>
          </w:p>
        </w:tc>
      </w:tr>
      <w:tr w14:paraId="222AA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4517E22A">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3DFA8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A0BC36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845" w:type="dxa"/>
            <w:gridSpan w:val="3"/>
            <w:vAlign w:val="center"/>
          </w:tcPr>
          <w:p w14:paraId="7B4FB93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129CD08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gridSpan w:val="2"/>
            <w:vAlign w:val="center"/>
          </w:tcPr>
          <w:p w14:paraId="16665F4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639002F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851" w:type="dxa"/>
            <w:gridSpan w:val="2"/>
            <w:vAlign w:val="center"/>
          </w:tcPr>
          <w:p w14:paraId="58391B1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1660E3A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417" w:type="dxa"/>
            <w:vAlign w:val="center"/>
          </w:tcPr>
          <w:p w14:paraId="0CED8E6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03B20CC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34865B6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0EF8D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B78474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845" w:type="dxa"/>
            <w:gridSpan w:val="3"/>
            <w:vAlign w:val="center"/>
          </w:tcPr>
          <w:p w14:paraId="73F00ED7">
            <w:pPr>
              <w:jc w:val="center"/>
              <w:rPr>
                <w:rFonts w:hint="eastAsia" w:eastAsia="宋体" w:asciiTheme="majorEastAsia" w:hAnsiTheme="majorEastAsia"/>
                <w:b/>
                <w:sz w:val="24"/>
                <w:szCs w:val="21"/>
                <w:lang w:val="en-US" w:eastAsia="zh-CN"/>
              </w:rPr>
            </w:pPr>
            <w:r>
              <w:rPr>
                <w:rFonts w:hint="eastAsia"/>
                <w:spacing w:val="-2"/>
              </w:rPr>
              <w:t>肺动脉射频消融仪</w:t>
            </w:r>
            <w:r>
              <w:rPr>
                <w:rStyle w:val="14"/>
                <w:rFonts w:hint="eastAsia"/>
                <w:lang w:val="en-US" w:eastAsia="zh-CN"/>
              </w:rPr>
              <w:t>主机</w:t>
            </w:r>
          </w:p>
        </w:tc>
        <w:tc>
          <w:tcPr>
            <w:tcW w:w="850" w:type="dxa"/>
            <w:vAlign w:val="center"/>
          </w:tcPr>
          <w:p w14:paraId="1C020E0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567" w:type="dxa"/>
            <w:gridSpan w:val="2"/>
            <w:vAlign w:val="center"/>
          </w:tcPr>
          <w:p w14:paraId="497D0CE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567" w:type="dxa"/>
            <w:vAlign w:val="center"/>
          </w:tcPr>
          <w:p w14:paraId="49B83FA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台</w:t>
            </w:r>
          </w:p>
        </w:tc>
        <w:tc>
          <w:tcPr>
            <w:tcW w:w="851" w:type="dxa"/>
            <w:gridSpan w:val="2"/>
            <w:vAlign w:val="center"/>
          </w:tcPr>
          <w:p w14:paraId="6C379516">
            <w:pPr>
              <w:jc w:val="center"/>
              <w:rPr>
                <w:rFonts w:hint="default"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rPr>
              <w:t>0.</w:t>
            </w:r>
            <w:r>
              <w:rPr>
                <w:rFonts w:hint="eastAsia" w:asciiTheme="majorEastAsia" w:hAnsiTheme="majorEastAsia" w:eastAsiaTheme="majorEastAsia"/>
                <w:b/>
                <w:sz w:val="24"/>
                <w:szCs w:val="21"/>
                <w:lang w:val="en-US" w:eastAsia="zh-CN"/>
              </w:rPr>
              <w:t>15</w:t>
            </w:r>
          </w:p>
        </w:tc>
        <w:tc>
          <w:tcPr>
            <w:tcW w:w="1134" w:type="dxa"/>
            <w:gridSpan w:val="2"/>
            <w:vAlign w:val="center"/>
          </w:tcPr>
          <w:p w14:paraId="10DEBD54">
            <w:pPr>
              <w:jc w:val="center"/>
              <w:rPr>
                <w:rFonts w:hint="default"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rPr>
              <w:t>0.</w:t>
            </w:r>
            <w:r>
              <w:rPr>
                <w:rFonts w:hint="eastAsia" w:asciiTheme="majorEastAsia" w:hAnsiTheme="majorEastAsia" w:eastAsiaTheme="majorEastAsia"/>
                <w:b/>
                <w:sz w:val="24"/>
                <w:szCs w:val="21"/>
                <w:lang w:val="en-US" w:eastAsia="zh-CN"/>
              </w:rPr>
              <w:t>15</w:t>
            </w:r>
          </w:p>
        </w:tc>
        <w:tc>
          <w:tcPr>
            <w:tcW w:w="1417" w:type="dxa"/>
            <w:vAlign w:val="center"/>
          </w:tcPr>
          <w:p w14:paraId="3F60538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c>
          <w:tcPr>
            <w:tcW w:w="993" w:type="dxa"/>
            <w:vAlign w:val="center"/>
          </w:tcPr>
          <w:p w14:paraId="61C7A70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1062" w:type="dxa"/>
            <w:vAlign w:val="center"/>
          </w:tcPr>
          <w:p w14:paraId="426789E0">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是</w:t>
            </w:r>
          </w:p>
        </w:tc>
      </w:tr>
      <w:tr w14:paraId="062CF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6509FD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2</w:t>
            </w:r>
          </w:p>
        </w:tc>
        <w:tc>
          <w:tcPr>
            <w:tcW w:w="2845" w:type="dxa"/>
            <w:gridSpan w:val="3"/>
            <w:vAlign w:val="center"/>
          </w:tcPr>
          <w:p w14:paraId="3C75EFB2">
            <w:pPr>
              <w:jc w:val="center"/>
              <w:rPr>
                <w:rFonts w:asciiTheme="majorEastAsia" w:hAnsiTheme="majorEastAsia" w:eastAsiaTheme="majorEastAsia"/>
                <w:b/>
                <w:sz w:val="24"/>
                <w:szCs w:val="21"/>
              </w:rPr>
            </w:pPr>
            <w:r>
              <w:rPr>
                <w:rFonts w:hint="eastAsia" w:ascii="宋体" w:hAnsi="宋体" w:cs="宋体"/>
                <w:kern w:val="0"/>
                <w:sz w:val="22"/>
              </w:rPr>
              <w:t>电源线</w:t>
            </w:r>
          </w:p>
        </w:tc>
        <w:tc>
          <w:tcPr>
            <w:tcW w:w="850" w:type="dxa"/>
            <w:vAlign w:val="center"/>
          </w:tcPr>
          <w:p w14:paraId="1E05150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567" w:type="dxa"/>
            <w:gridSpan w:val="2"/>
            <w:vAlign w:val="center"/>
          </w:tcPr>
          <w:p w14:paraId="42073984">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1</w:t>
            </w:r>
          </w:p>
        </w:tc>
        <w:tc>
          <w:tcPr>
            <w:tcW w:w="567" w:type="dxa"/>
            <w:vAlign w:val="center"/>
          </w:tcPr>
          <w:p w14:paraId="16D9C2BD">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条</w:t>
            </w:r>
          </w:p>
        </w:tc>
        <w:tc>
          <w:tcPr>
            <w:tcW w:w="851" w:type="dxa"/>
            <w:gridSpan w:val="2"/>
            <w:vAlign w:val="center"/>
          </w:tcPr>
          <w:p w14:paraId="79FFB1BB">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0</w:t>
            </w:r>
          </w:p>
        </w:tc>
        <w:tc>
          <w:tcPr>
            <w:tcW w:w="1134" w:type="dxa"/>
            <w:gridSpan w:val="2"/>
            <w:vAlign w:val="center"/>
          </w:tcPr>
          <w:p w14:paraId="2EB07D93">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0</w:t>
            </w:r>
          </w:p>
        </w:tc>
        <w:tc>
          <w:tcPr>
            <w:tcW w:w="1417" w:type="dxa"/>
            <w:vAlign w:val="center"/>
          </w:tcPr>
          <w:p w14:paraId="149721AB">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否</w:t>
            </w:r>
          </w:p>
        </w:tc>
        <w:tc>
          <w:tcPr>
            <w:tcW w:w="993" w:type="dxa"/>
            <w:vAlign w:val="center"/>
          </w:tcPr>
          <w:p w14:paraId="4AED6D60">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否</w:t>
            </w:r>
          </w:p>
        </w:tc>
        <w:tc>
          <w:tcPr>
            <w:tcW w:w="1062" w:type="dxa"/>
            <w:vAlign w:val="center"/>
          </w:tcPr>
          <w:p w14:paraId="49E4CDE6">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否</w:t>
            </w:r>
          </w:p>
        </w:tc>
      </w:tr>
      <w:tr w14:paraId="48322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6A58D8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3</w:t>
            </w:r>
          </w:p>
        </w:tc>
        <w:tc>
          <w:tcPr>
            <w:tcW w:w="2845" w:type="dxa"/>
            <w:gridSpan w:val="3"/>
            <w:vAlign w:val="center"/>
          </w:tcPr>
          <w:p w14:paraId="796F3902">
            <w:pPr>
              <w:jc w:val="center"/>
              <w:rPr>
                <w:rFonts w:asciiTheme="majorEastAsia" w:hAnsiTheme="majorEastAsia" w:eastAsiaTheme="majorEastAsia"/>
                <w:b/>
                <w:sz w:val="24"/>
                <w:szCs w:val="21"/>
              </w:rPr>
            </w:pPr>
            <w:r>
              <w:rPr>
                <w:rFonts w:hint="eastAsia" w:ascii="宋体" w:hAnsi="宋体" w:cs="宋体"/>
                <w:kern w:val="0"/>
                <w:sz w:val="22"/>
              </w:rPr>
              <w:t>射频导管连接电缆</w:t>
            </w:r>
          </w:p>
        </w:tc>
        <w:tc>
          <w:tcPr>
            <w:tcW w:w="850" w:type="dxa"/>
            <w:vAlign w:val="center"/>
          </w:tcPr>
          <w:p w14:paraId="665A992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567" w:type="dxa"/>
            <w:gridSpan w:val="2"/>
            <w:vAlign w:val="center"/>
          </w:tcPr>
          <w:p w14:paraId="64F4BC2F">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1</w:t>
            </w:r>
          </w:p>
        </w:tc>
        <w:tc>
          <w:tcPr>
            <w:tcW w:w="567" w:type="dxa"/>
            <w:vAlign w:val="center"/>
          </w:tcPr>
          <w:p w14:paraId="17190316">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条</w:t>
            </w:r>
          </w:p>
        </w:tc>
        <w:tc>
          <w:tcPr>
            <w:tcW w:w="851" w:type="dxa"/>
            <w:gridSpan w:val="2"/>
            <w:vAlign w:val="center"/>
          </w:tcPr>
          <w:p w14:paraId="0E8E8941">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0</w:t>
            </w:r>
          </w:p>
        </w:tc>
        <w:tc>
          <w:tcPr>
            <w:tcW w:w="1134" w:type="dxa"/>
            <w:gridSpan w:val="2"/>
            <w:vAlign w:val="center"/>
          </w:tcPr>
          <w:p w14:paraId="7FDF92F6">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0</w:t>
            </w:r>
          </w:p>
        </w:tc>
        <w:tc>
          <w:tcPr>
            <w:tcW w:w="1417" w:type="dxa"/>
            <w:vAlign w:val="center"/>
          </w:tcPr>
          <w:p w14:paraId="0F6C867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993" w:type="dxa"/>
            <w:vAlign w:val="center"/>
          </w:tcPr>
          <w:p w14:paraId="25F4432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1062" w:type="dxa"/>
            <w:vAlign w:val="center"/>
          </w:tcPr>
          <w:p w14:paraId="4979592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r>
      <w:tr w14:paraId="73F95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B004B0F">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4</w:t>
            </w:r>
          </w:p>
        </w:tc>
        <w:tc>
          <w:tcPr>
            <w:tcW w:w="2845" w:type="dxa"/>
            <w:gridSpan w:val="3"/>
            <w:vAlign w:val="center"/>
          </w:tcPr>
          <w:p w14:paraId="2F555049">
            <w:pPr>
              <w:jc w:val="center"/>
              <w:rPr>
                <w:rFonts w:asciiTheme="majorEastAsia" w:hAnsiTheme="majorEastAsia" w:eastAsiaTheme="majorEastAsia"/>
                <w:b/>
                <w:sz w:val="24"/>
                <w:szCs w:val="21"/>
              </w:rPr>
            </w:pPr>
            <w:r>
              <w:rPr>
                <w:rFonts w:hint="eastAsia" w:ascii="宋体" w:hAnsi="宋体" w:cs="宋体"/>
                <w:kern w:val="0"/>
                <w:sz w:val="22"/>
              </w:rPr>
              <w:t>中性电极连接电缆</w:t>
            </w:r>
          </w:p>
        </w:tc>
        <w:tc>
          <w:tcPr>
            <w:tcW w:w="850" w:type="dxa"/>
            <w:vAlign w:val="center"/>
          </w:tcPr>
          <w:p w14:paraId="65DA035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567" w:type="dxa"/>
            <w:gridSpan w:val="2"/>
            <w:vAlign w:val="center"/>
          </w:tcPr>
          <w:p w14:paraId="7FD5E6B7">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1</w:t>
            </w:r>
          </w:p>
        </w:tc>
        <w:tc>
          <w:tcPr>
            <w:tcW w:w="567" w:type="dxa"/>
            <w:vAlign w:val="center"/>
          </w:tcPr>
          <w:p w14:paraId="19D00F9A">
            <w:pPr>
              <w:jc w:val="center"/>
              <w:rPr>
                <w:rFonts w:hint="default"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条</w:t>
            </w:r>
          </w:p>
        </w:tc>
        <w:tc>
          <w:tcPr>
            <w:tcW w:w="851" w:type="dxa"/>
            <w:gridSpan w:val="2"/>
            <w:vAlign w:val="center"/>
          </w:tcPr>
          <w:p w14:paraId="2343EC7F">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0</w:t>
            </w:r>
          </w:p>
        </w:tc>
        <w:tc>
          <w:tcPr>
            <w:tcW w:w="1134" w:type="dxa"/>
            <w:gridSpan w:val="2"/>
            <w:vAlign w:val="center"/>
          </w:tcPr>
          <w:p w14:paraId="7DA68977">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0</w:t>
            </w:r>
          </w:p>
        </w:tc>
        <w:tc>
          <w:tcPr>
            <w:tcW w:w="1417" w:type="dxa"/>
            <w:vAlign w:val="center"/>
          </w:tcPr>
          <w:p w14:paraId="6FA7A96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993" w:type="dxa"/>
            <w:vAlign w:val="center"/>
          </w:tcPr>
          <w:p w14:paraId="2677CC7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1062" w:type="dxa"/>
            <w:vAlign w:val="center"/>
          </w:tcPr>
          <w:p w14:paraId="2B9E176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r>
      <w:tr w14:paraId="07F81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6F78472">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5</w:t>
            </w:r>
          </w:p>
        </w:tc>
        <w:tc>
          <w:tcPr>
            <w:tcW w:w="2845" w:type="dxa"/>
            <w:gridSpan w:val="3"/>
            <w:vAlign w:val="center"/>
          </w:tcPr>
          <w:p w14:paraId="009AC160">
            <w:pPr>
              <w:jc w:val="center"/>
              <w:rPr>
                <w:rFonts w:asciiTheme="majorEastAsia" w:hAnsiTheme="majorEastAsia" w:eastAsiaTheme="majorEastAsia"/>
                <w:b/>
                <w:sz w:val="24"/>
                <w:szCs w:val="21"/>
              </w:rPr>
            </w:pPr>
            <w:r>
              <w:rPr>
                <w:rFonts w:hint="eastAsia" w:ascii="宋体" w:hAnsi="宋体" w:cs="宋体"/>
                <w:kern w:val="0"/>
                <w:sz w:val="22"/>
              </w:rPr>
              <w:t>脚踏开关电缆</w:t>
            </w:r>
          </w:p>
        </w:tc>
        <w:tc>
          <w:tcPr>
            <w:tcW w:w="850" w:type="dxa"/>
            <w:vAlign w:val="center"/>
          </w:tcPr>
          <w:p w14:paraId="2F49C72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567" w:type="dxa"/>
            <w:gridSpan w:val="2"/>
            <w:vAlign w:val="center"/>
          </w:tcPr>
          <w:p w14:paraId="16B4D26C">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1</w:t>
            </w:r>
          </w:p>
        </w:tc>
        <w:tc>
          <w:tcPr>
            <w:tcW w:w="567" w:type="dxa"/>
            <w:vAlign w:val="center"/>
          </w:tcPr>
          <w:p w14:paraId="0E6E624F">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条</w:t>
            </w:r>
          </w:p>
        </w:tc>
        <w:tc>
          <w:tcPr>
            <w:tcW w:w="851" w:type="dxa"/>
            <w:gridSpan w:val="2"/>
            <w:vAlign w:val="center"/>
          </w:tcPr>
          <w:p w14:paraId="21D3C73B">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0</w:t>
            </w:r>
          </w:p>
        </w:tc>
        <w:tc>
          <w:tcPr>
            <w:tcW w:w="1134" w:type="dxa"/>
            <w:gridSpan w:val="2"/>
            <w:vAlign w:val="center"/>
          </w:tcPr>
          <w:p w14:paraId="40A7A2CD">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0</w:t>
            </w:r>
          </w:p>
        </w:tc>
        <w:tc>
          <w:tcPr>
            <w:tcW w:w="1417" w:type="dxa"/>
            <w:vAlign w:val="center"/>
          </w:tcPr>
          <w:p w14:paraId="4E7280E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993" w:type="dxa"/>
            <w:vAlign w:val="center"/>
          </w:tcPr>
          <w:p w14:paraId="3F5ADA6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1062" w:type="dxa"/>
            <w:vAlign w:val="center"/>
          </w:tcPr>
          <w:p w14:paraId="0D8A0B7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r>
    </w:tbl>
    <w:p w14:paraId="623D9B89">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71E35B54">
      <w:pPr>
        <w:pStyle w:val="17"/>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2CA355D8">
      <w:pPr>
        <w:pStyle w:val="17"/>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7D247972">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2D7AE8B6">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086390A5">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34BBC96E">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10"/>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212"/>
        <w:gridCol w:w="1049"/>
      </w:tblGrid>
      <w:tr w14:paraId="677CF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77" w:type="dxa"/>
            <w:gridSpan w:val="4"/>
            <w:vAlign w:val="center"/>
          </w:tcPr>
          <w:p w14:paraId="11206363">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1049" w:type="dxa"/>
            <w:vAlign w:val="center"/>
          </w:tcPr>
          <w:p w14:paraId="08E85CF6">
            <w:pPr>
              <w:adjustRightInd w:val="0"/>
              <w:snapToGrid w:val="0"/>
              <w:jc w:val="center"/>
              <w:rPr>
                <w:rFonts w:asciiTheme="majorEastAsia" w:hAnsiTheme="majorEastAsia" w:eastAsiaTheme="majorEastAsia"/>
                <w:b/>
                <w:sz w:val="24"/>
                <w:szCs w:val="21"/>
              </w:rPr>
            </w:pPr>
          </w:p>
        </w:tc>
      </w:tr>
      <w:tr w14:paraId="68F34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211E499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65DB006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332" w:type="dxa"/>
            <w:gridSpan w:val="2"/>
            <w:vAlign w:val="center"/>
          </w:tcPr>
          <w:p w14:paraId="478BCD6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highlight w:val="none"/>
              </w:rPr>
              <w:t>技术要求</w:t>
            </w:r>
          </w:p>
        </w:tc>
        <w:tc>
          <w:tcPr>
            <w:tcW w:w="1049" w:type="dxa"/>
            <w:vAlign w:val="center"/>
          </w:tcPr>
          <w:p w14:paraId="4232D89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08E64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2FAB3D4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7CCADB8B">
            <w:pPr>
              <w:widowControl/>
              <w:jc w:val="left"/>
              <w:textAlignment w:val="center"/>
              <w:rPr>
                <w:rFonts w:ascii="宋体" w:hAnsi="宋体" w:cs="宋体"/>
                <w:color w:val="000000"/>
                <w:szCs w:val="21"/>
              </w:rPr>
            </w:pPr>
            <w:r>
              <w:rPr>
                <w:rFonts w:hint="eastAsia" w:ascii="宋体" w:hAnsi="宋体" w:cs="宋体"/>
                <w:color w:val="000000"/>
                <w:szCs w:val="21"/>
              </w:rPr>
              <w:t>肺动脉射频消融仪</w:t>
            </w:r>
          </w:p>
        </w:tc>
        <w:tc>
          <w:tcPr>
            <w:tcW w:w="7332" w:type="dxa"/>
            <w:gridSpan w:val="2"/>
          </w:tcPr>
          <w:p w14:paraId="65E57E2A">
            <w:pPr>
              <w:widowControl/>
              <w:jc w:val="left"/>
              <w:textAlignment w:val="center"/>
              <w:rPr>
                <w:rFonts w:ascii="宋体" w:hAnsi="宋体" w:cs="宋体"/>
                <w:color w:val="000000"/>
                <w:sz w:val="21"/>
                <w:szCs w:val="21"/>
              </w:rPr>
            </w:pPr>
            <w:r>
              <w:rPr>
                <w:rFonts w:hint="eastAsia"/>
                <w:sz w:val="21"/>
                <w:szCs w:val="21"/>
                <w:lang w:val="en-US" w:eastAsia="zh-CN"/>
              </w:rPr>
              <w:t>1.</w:t>
            </w:r>
            <w:r>
              <w:rPr>
                <w:rFonts w:ascii="宋体" w:hAnsi="宋体" w:eastAsia="宋体" w:cs="宋体"/>
                <w:sz w:val="21"/>
                <w:szCs w:val="21"/>
              </w:rPr>
              <w:t>用途：设备与一次性使用环形肺动脉射频消融导管配套使用，通过消融肺动脉交感神经，实现对肺动脉高压（PAH）的治疗。</w:t>
            </w:r>
          </w:p>
        </w:tc>
        <w:tc>
          <w:tcPr>
            <w:tcW w:w="1049" w:type="dxa"/>
          </w:tcPr>
          <w:p w14:paraId="4F0C6EBE">
            <w:pPr>
              <w:adjustRightInd w:val="0"/>
              <w:snapToGrid w:val="0"/>
              <w:rPr>
                <w:rFonts w:asciiTheme="majorEastAsia" w:hAnsiTheme="majorEastAsia" w:eastAsiaTheme="majorEastAsia"/>
                <w:b/>
                <w:sz w:val="24"/>
                <w:szCs w:val="21"/>
              </w:rPr>
            </w:pPr>
          </w:p>
        </w:tc>
      </w:tr>
      <w:tr w14:paraId="7FD83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9DA3EC5">
            <w:pPr>
              <w:adjustRightInd w:val="0"/>
              <w:snapToGrid w:val="0"/>
              <w:rPr>
                <w:rFonts w:asciiTheme="majorEastAsia" w:hAnsiTheme="majorEastAsia" w:eastAsiaTheme="majorEastAsia"/>
                <w:b/>
                <w:sz w:val="24"/>
                <w:szCs w:val="21"/>
              </w:rPr>
            </w:pPr>
          </w:p>
        </w:tc>
        <w:tc>
          <w:tcPr>
            <w:tcW w:w="935" w:type="dxa"/>
            <w:vMerge w:val="continue"/>
          </w:tcPr>
          <w:p w14:paraId="1D19626D">
            <w:pPr>
              <w:widowControl/>
              <w:jc w:val="left"/>
              <w:textAlignment w:val="center"/>
              <w:rPr>
                <w:rFonts w:ascii="宋体" w:hAnsi="宋体" w:cs="宋体"/>
                <w:color w:val="000000"/>
                <w:szCs w:val="21"/>
              </w:rPr>
            </w:pPr>
          </w:p>
        </w:tc>
        <w:tc>
          <w:tcPr>
            <w:tcW w:w="7332" w:type="dxa"/>
            <w:gridSpan w:val="2"/>
          </w:tcPr>
          <w:p w14:paraId="183EDCEA">
            <w:pPr>
              <w:widowControl/>
              <w:jc w:val="left"/>
              <w:textAlignment w:val="center"/>
              <w:rPr>
                <w:rFonts w:ascii="宋体" w:hAnsi="宋体" w:cs="宋体"/>
                <w:color w:val="000000"/>
                <w:sz w:val="21"/>
                <w:szCs w:val="21"/>
              </w:rPr>
            </w:pPr>
            <w:r>
              <w:rPr>
                <w:rFonts w:hint="eastAsia"/>
                <w:sz w:val="21"/>
                <w:szCs w:val="21"/>
                <w:lang w:val="en-US" w:eastAsia="zh-CN"/>
              </w:rPr>
              <w:t>2.</w:t>
            </w:r>
            <w:r>
              <w:rPr>
                <w:rFonts w:hint="eastAsia" w:ascii="宋体" w:hAnsi="宋体" w:eastAsia="宋体" w:cs="宋体"/>
                <w:color w:val="000000"/>
                <w:kern w:val="0"/>
                <w:sz w:val="21"/>
                <w:szCs w:val="21"/>
                <w:lang w:val="en-US" w:eastAsia="zh-CN" w:bidi="ar"/>
              </w:rPr>
              <w:t>性能：通过肺动脉射频消融仪将电能传递至环形肺动脉射频消融导管的消融电极，对肺动脉交感神经实施消融，用于肺动脉高压（PAH）的治疗。</w:t>
            </w:r>
          </w:p>
        </w:tc>
        <w:tc>
          <w:tcPr>
            <w:tcW w:w="1049" w:type="dxa"/>
          </w:tcPr>
          <w:p w14:paraId="3CC64C6F">
            <w:pPr>
              <w:adjustRightInd w:val="0"/>
              <w:snapToGrid w:val="0"/>
              <w:rPr>
                <w:rFonts w:asciiTheme="majorEastAsia" w:hAnsiTheme="majorEastAsia" w:eastAsiaTheme="majorEastAsia"/>
                <w:b/>
                <w:sz w:val="24"/>
                <w:szCs w:val="21"/>
              </w:rPr>
            </w:pPr>
          </w:p>
        </w:tc>
      </w:tr>
      <w:tr w14:paraId="50B93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710" w:type="dxa"/>
            <w:vMerge w:val="continue"/>
          </w:tcPr>
          <w:p w14:paraId="6397F14F">
            <w:pPr>
              <w:adjustRightInd w:val="0"/>
              <w:snapToGrid w:val="0"/>
              <w:rPr>
                <w:rFonts w:asciiTheme="majorEastAsia" w:hAnsiTheme="majorEastAsia" w:eastAsiaTheme="majorEastAsia"/>
                <w:b/>
                <w:sz w:val="24"/>
                <w:szCs w:val="21"/>
              </w:rPr>
            </w:pPr>
          </w:p>
        </w:tc>
        <w:tc>
          <w:tcPr>
            <w:tcW w:w="935" w:type="dxa"/>
            <w:vMerge w:val="continue"/>
          </w:tcPr>
          <w:p w14:paraId="460743F2">
            <w:pPr>
              <w:widowControl/>
              <w:jc w:val="left"/>
              <w:textAlignment w:val="center"/>
              <w:rPr>
                <w:rFonts w:ascii="宋体" w:hAnsi="宋体" w:cs="宋体"/>
                <w:color w:val="000000"/>
                <w:szCs w:val="21"/>
              </w:rPr>
            </w:pPr>
          </w:p>
        </w:tc>
        <w:tc>
          <w:tcPr>
            <w:tcW w:w="7332" w:type="dxa"/>
            <w:gridSpan w:val="2"/>
          </w:tcPr>
          <w:p w14:paraId="3FF91221">
            <w:pPr>
              <w:widowControl/>
              <w:jc w:val="left"/>
              <w:textAlignment w:val="center"/>
              <w:rPr>
                <w:rFonts w:hint="eastAsia" w:ascii="宋体" w:hAnsi="宋体" w:cs="宋体"/>
                <w:color w:val="000000"/>
                <w:szCs w:val="21"/>
              </w:rPr>
            </w:pPr>
            <w:r>
              <w:rPr>
                <w:rFonts w:hint="eastAsia" w:ascii="宋体" w:hAnsi="宋体" w:cs="宋体"/>
                <w:color w:val="000000"/>
                <w:szCs w:val="21"/>
              </w:rPr>
              <w:t>3.参数</w:t>
            </w:r>
          </w:p>
          <w:p w14:paraId="4074A718">
            <w:pPr>
              <w:widowControl/>
              <w:jc w:val="left"/>
              <w:textAlignment w:val="center"/>
              <w:rPr>
                <w:rFonts w:hint="eastAsia" w:ascii="宋体" w:hAnsi="宋体" w:eastAsia="宋体" w:cs="宋体"/>
                <w:color w:val="000000"/>
                <w:szCs w:val="21"/>
                <w:lang w:eastAsia="zh-CN"/>
              </w:rPr>
            </w:pPr>
            <w:r>
              <w:rPr>
                <w:rFonts w:hint="eastAsia" w:ascii="宋体" w:hAnsi="宋体" w:cs="宋体"/>
                <w:color w:val="000000"/>
                <w:szCs w:val="21"/>
              </w:rPr>
              <w:t>3.1 射频功率输出范围0～</w:t>
            </w:r>
            <w:r>
              <w:rPr>
                <w:rFonts w:hint="eastAsia" w:ascii="宋体" w:hAnsi="宋体" w:cs="宋体"/>
                <w:color w:val="000000"/>
                <w:szCs w:val="21"/>
                <w:lang w:val="en-US" w:eastAsia="zh-CN"/>
              </w:rPr>
              <w:t>2</w:t>
            </w:r>
            <w:r>
              <w:rPr>
                <w:rFonts w:hint="eastAsia" w:ascii="宋体" w:hAnsi="宋体" w:cs="宋体"/>
                <w:color w:val="000000"/>
                <w:szCs w:val="21"/>
              </w:rPr>
              <w:t>0W</w:t>
            </w:r>
            <w:r>
              <w:rPr>
                <w:rFonts w:hint="eastAsia" w:ascii="宋体" w:hAnsi="宋体" w:cs="宋体"/>
                <w:color w:val="000000"/>
                <w:szCs w:val="21"/>
                <w:lang w:eastAsia="zh-CN"/>
              </w:rPr>
              <w:t>（</w:t>
            </w:r>
            <w:r>
              <w:rPr>
                <w:rFonts w:hint="eastAsia"/>
                <w:lang w:val="en-US" w:eastAsia="zh-CN"/>
              </w:rPr>
              <w:t>涵盖此范围即视为符合</w:t>
            </w:r>
            <w:r>
              <w:rPr>
                <w:rFonts w:hint="eastAsia" w:ascii="宋体" w:hAnsi="宋体" w:cs="宋体"/>
                <w:color w:val="000000"/>
                <w:szCs w:val="21"/>
                <w:lang w:eastAsia="zh-CN"/>
              </w:rPr>
              <w:t>）</w:t>
            </w:r>
          </w:p>
        </w:tc>
        <w:tc>
          <w:tcPr>
            <w:tcW w:w="1049" w:type="dxa"/>
          </w:tcPr>
          <w:p w14:paraId="7298E914">
            <w:pPr>
              <w:adjustRightInd w:val="0"/>
              <w:snapToGrid w:val="0"/>
              <w:rPr>
                <w:rFonts w:hint="eastAsia" w:cs="宋体" w:asciiTheme="majorEastAsia" w:hAnsiTheme="majorEastAsia" w:eastAsiaTheme="majorEastAsia"/>
                <w:b/>
                <w:sz w:val="24"/>
              </w:rPr>
            </w:pPr>
          </w:p>
          <w:p w14:paraId="27D93551">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09F2B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1DA5D58">
            <w:pPr>
              <w:adjustRightInd w:val="0"/>
              <w:snapToGrid w:val="0"/>
              <w:rPr>
                <w:rFonts w:asciiTheme="majorEastAsia" w:hAnsiTheme="majorEastAsia" w:eastAsiaTheme="majorEastAsia"/>
                <w:b/>
                <w:sz w:val="24"/>
                <w:szCs w:val="21"/>
              </w:rPr>
            </w:pPr>
          </w:p>
        </w:tc>
        <w:tc>
          <w:tcPr>
            <w:tcW w:w="935" w:type="dxa"/>
            <w:vMerge w:val="continue"/>
          </w:tcPr>
          <w:p w14:paraId="6D7990A9">
            <w:pPr>
              <w:widowControl/>
              <w:jc w:val="left"/>
              <w:textAlignment w:val="center"/>
              <w:rPr>
                <w:rFonts w:ascii="宋体" w:hAnsi="宋体" w:cs="宋体"/>
                <w:color w:val="000000"/>
                <w:szCs w:val="21"/>
              </w:rPr>
            </w:pPr>
          </w:p>
        </w:tc>
        <w:tc>
          <w:tcPr>
            <w:tcW w:w="7332" w:type="dxa"/>
            <w:gridSpan w:val="2"/>
            <w:vAlign w:val="center"/>
          </w:tcPr>
          <w:p w14:paraId="2F8BF50B">
            <w:pPr>
              <w:widowControl/>
              <w:jc w:val="left"/>
              <w:textAlignment w:val="center"/>
              <w:rPr>
                <w:rFonts w:ascii="宋体" w:hAnsi="宋体" w:cs="宋体"/>
                <w:color w:val="000000"/>
                <w:szCs w:val="21"/>
              </w:rPr>
            </w:pPr>
            <w:r>
              <w:rPr>
                <w:rFonts w:hint="eastAsia" w:ascii="宋体" w:hAnsi="宋体" w:cs="宋体"/>
                <w:color w:val="000000"/>
                <w:szCs w:val="21"/>
              </w:rPr>
              <w:t>3.2 射频功率设置范围0～</w:t>
            </w:r>
            <w:r>
              <w:rPr>
                <w:rFonts w:hint="eastAsia" w:ascii="宋体" w:hAnsi="宋体" w:cs="宋体"/>
                <w:color w:val="000000"/>
                <w:szCs w:val="21"/>
                <w:lang w:val="en-US" w:eastAsia="zh-CN"/>
              </w:rPr>
              <w:t>2</w:t>
            </w:r>
            <w:r>
              <w:rPr>
                <w:rFonts w:hint="eastAsia" w:ascii="宋体" w:hAnsi="宋体" w:cs="宋体"/>
                <w:color w:val="000000"/>
                <w:szCs w:val="21"/>
              </w:rPr>
              <w:t>0W</w:t>
            </w:r>
            <w:r>
              <w:rPr>
                <w:rFonts w:hint="eastAsia" w:ascii="宋体" w:hAnsi="宋体" w:cs="宋体"/>
                <w:color w:val="000000"/>
                <w:szCs w:val="21"/>
                <w:lang w:eastAsia="zh-CN"/>
              </w:rPr>
              <w:t>（</w:t>
            </w:r>
            <w:r>
              <w:rPr>
                <w:rFonts w:hint="eastAsia"/>
                <w:lang w:val="en-US" w:eastAsia="zh-CN"/>
              </w:rPr>
              <w:t>涵盖此范围即视为符合</w:t>
            </w:r>
            <w:r>
              <w:rPr>
                <w:rFonts w:hint="eastAsia" w:ascii="宋体" w:hAnsi="宋体" w:cs="宋体"/>
                <w:color w:val="000000"/>
                <w:szCs w:val="21"/>
                <w:lang w:eastAsia="zh-CN"/>
              </w:rPr>
              <w:t>）</w:t>
            </w:r>
          </w:p>
        </w:tc>
        <w:tc>
          <w:tcPr>
            <w:tcW w:w="1049" w:type="dxa"/>
          </w:tcPr>
          <w:p w14:paraId="0AF1B0D3">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34EDB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580368A">
            <w:pPr>
              <w:adjustRightInd w:val="0"/>
              <w:snapToGrid w:val="0"/>
              <w:rPr>
                <w:rFonts w:asciiTheme="majorEastAsia" w:hAnsiTheme="majorEastAsia" w:eastAsiaTheme="majorEastAsia"/>
                <w:b/>
                <w:sz w:val="24"/>
                <w:szCs w:val="21"/>
              </w:rPr>
            </w:pPr>
          </w:p>
        </w:tc>
        <w:tc>
          <w:tcPr>
            <w:tcW w:w="935" w:type="dxa"/>
            <w:vMerge w:val="continue"/>
          </w:tcPr>
          <w:p w14:paraId="0B04D576">
            <w:pPr>
              <w:widowControl/>
              <w:jc w:val="left"/>
              <w:textAlignment w:val="center"/>
              <w:rPr>
                <w:rFonts w:ascii="宋体" w:hAnsi="宋体" w:cs="宋体"/>
                <w:color w:val="000000"/>
                <w:szCs w:val="21"/>
              </w:rPr>
            </w:pPr>
          </w:p>
        </w:tc>
        <w:tc>
          <w:tcPr>
            <w:tcW w:w="7332" w:type="dxa"/>
            <w:gridSpan w:val="2"/>
            <w:vAlign w:val="center"/>
          </w:tcPr>
          <w:p w14:paraId="3FA6B05B">
            <w:pPr>
              <w:widowControl/>
              <w:jc w:val="left"/>
              <w:textAlignment w:val="center"/>
              <w:rPr>
                <w:rFonts w:ascii="宋体" w:hAnsi="宋体" w:cs="宋体"/>
                <w:color w:val="000000"/>
                <w:szCs w:val="21"/>
              </w:rPr>
            </w:pPr>
            <w:r>
              <w:rPr>
                <w:rFonts w:hint="eastAsia" w:ascii="宋体" w:hAnsi="宋体" w:cs="宋体"/>
                <w:color w:val="000000"/>
                <w:szCs w:val="21"/>
              </w:rPr>
              <w:t>3.3 最大输出峰值电压170V</w:t>
            </w:r>
          </w:p>
        </w:tc>
        <w:tc>
          <w:tcPr>
            <w:tcW w:w="1049" w:type="dxa"/>
          </w:tcPr>
          <w:p w14:paraId="2ED549BA">
            <w:pPr>
              <w:adjustRightInd w:val="0"/>
              <w:snapToGrid w:val="0"/>
              <w:rPr>
                <w:rFonts w:asciiTheme="majorEastAsia" w:hAnsiTheme="majorEastAsia" w:eastAsiaTheme="majorEastAsia"/>
                <w:b/>
                <w:sz w:val="24"/>
                <w:szCs w:val="21"/>
              </w:rPr>
            </w:pPr>
          </w:p>
        </w:tc>
      </w:tr>
      <w:tr w14:paraId="4E564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C43A39E">
            <w:pPr>
              <w:adjustRightInd w:val="0"/>
              <w:snapToGrid w:val="0"/>
              <w:rPr>
                <w:rFonts w:asciiTheme="majorEastAsia" w:hAnsiTheme="majorEastAsia" w:eastAsiaTheme="majorEastAsia"/>
                <w:b/>
                <w:sz w:val="24"/>
                <w:szCs w:val="21"/>
              </w:rPr>
            </w:pPr>
          </w:p>
        </w:tc>
        <w:tc>
          <w:tcPr>
            <w:tcW w:w="935" w:type="dxa"/>
            <w:vMerge w:val="continue"/>
          </w:tcPr>
          <w:p w14:paraId="504EC79A">
            <w:pPr>
              <w:widowControl/>
              <w:jc w:val="left"/>
              <w:textAlignment w:val="center"/>
              <w:rPr>
                <w:rFonts w:ascii="宋体" w:hAnsi="宋体" w:cs="宋体"/>
                <w:color w:val="000000"/>
                <w:szCs w:val="21"/>
              </w:rPr>
            </w:pPr>
          </w:p>
        </w:tc>
        <w:tc>
          <w:tcPr>
            <w:tcW w:w="7332" w:type="dxa"/>
            <w:gridSpan w:val="2"/>
            <w:vAlign w:val="center"/>
          </w:tcPr>
          <w:p w14:paraId="4F8D5F13">
            <w:pPr>
              <w:widowControl/>
              <w:jc w:val="left"/>
              <w:textAlignment w:val="center"/>
              <w:rPr>
                <w:rFonts w:ascii="宋体" w:hAnsi="宋体" w:cs="宋体"/>
                <w:color w:val="000000"/>
                <w:szCs w:val="21"/>
              </w:rPr>
            </w:pPr>
            <w:r>
              <w:rPr>
                <w:rFonts w:hint="eastAsia" w:ascii="宋体" w:hAnsi="宋体" w:cs="宋体"/>
                <w:color w:val="000000"/>
                <w:szCs w:val="21"/>
              </w:rPr>
              <w:t>3.4最大输出电流0.58A</w:t>
            </w:r>
          </w:p>
        </w:tc>
        <w:tc>
          <w:tcPr>
            <w:tcW w:w="1049" w:type="dxa"/>
          </w:tcPr>
          <w:p w14:paraId="6E5B7C1F">
            <w:pPr>
              <w:adjustRightInd w:val="0"/>
              <w:snapToGrid w:val="0"/>
              <w:rPr>
                <w:rFonts w:asciiTheme="majorEastAsia" w:hAnsiTheme="majorEastAsia" w:eastAsiaTheme="majorEastAsia"/>
                <w:b/>
                <w:sz w:val="24"/>
                <w:szCs w:val="21"/>
              </w:rPr>
            </w:pPr>
          </w:p>
        </w:tc>
      </w:tr>
      <w:tr w14:paraId="3DF1B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F641971">
            <w:pPr>
              <w:adjustRightInd w:val="0"/>
              <w:snapToGrid w:val="0"/>
              <w:rPr>
                <w:rFonts w:asciiTheme="majorEastAsia" w:hAnsiTheme="majorEastAsia" w:eastAsiaTheme="majorEastAsia"/>
                <w:b/>
                <w:sz w:val="24"/>
                <w:szCs w:val="21"/>
              </w:rPr>
            </w:pPr>
          </w:p>
        </w:tc>
        <w:tc>
          <w:tcPr>
            <w:tcW w:w="935" w:type="dxa"/>
            <w:vMerge w:val="continue"/>
          </w:tcPr>
          <w:p w14:paraId="51DC42D9">
            <w:pPr>
              <w:widowControl/>
              <w:jc w:val="left"/>
              <w:textAlignment w:val="center"/>
              <w:rPr>
                <w:rFonts w:ascii="宋体" w:hAnsi="宋体" w:cs="宋体"/>
                <w:color w:val="000000"/>
                <w:szCs w:val="21"/>
              </w:rPr>
            </w:pPr>
          </w:p>
        </w:tc>
        <w:tc>
          <w:tcPr>
            <w:tcW w:w="7332" w:type="dxa"/>
            <w:gridSpan w:val="2"/>
            <w:vAlign w:val="center"/>
          </w:tcPr>
          <w:p w14:paraId="049FA971">
            <w:pPr>
              <w:widowControl/>
              <w:jc w:val="left"/>
              <w:textAlignment w:val="center"/>
              <w:rPr>
                <w:rFonts w:ascii="宋体" w:hAnsi="宋体" w:cs="宋体"/>
                <w:color w:val="000000"/>
                <w:szCs w:val="21"/>
              </w:rPr>
            </w:pPr>
            <w:r>
              <w:rPr>
                <w:rFonts w:hint="eastAsia" w:ascii="宋体" w:hAnsi="宋体" w:cs="宋体"/>
                <w:color w:val="000000"/>
                <w:szCs w:val="21"/>
              </w:rPr>
              <w:t>3.5射频频率465k</w:t>
            </w:r>
            <w:r>
              <w:rPr>
                <w:rFonts w:ascii="宋体" w:hAnsi="宋体" w:cs="宋体"/>
                <w:color w:val="000000"/>
                <w:szCs w:val="21"/>
              </w:rPr>
              <w:t>H</w:t>
            </w:r>
            <w:r>
              <w:rPr>
                <w:rFonts w:hint="eastAsia" w:ascii="宋体" w:hAnsi="宋体" w:cs="宋体"/>
                <w:color w:val="000000"/>
                <w:szCs w:val="21"/>
              </w:rPr>
              <w:t>z±20k</w:t>
            </w:r>
            <w:r>
              <w:rPr>
                <w:rFonts w:ascii="宋体" w:hAnsi="宋体" w:cs="宋体"/>
                <w:color w:val="000000"/>
                <w:szCs w:val="21"/>
              </w:rPr>
              <w:t>H</w:t>
            </w:r>
            <w:r>
              <w:rPr>
                <w:rFonts w:hint="eastAsia" w:ascii="宋体" w:hAnsi="宋体" w:cs="宋体"/>
                <w:color w:val="000000"/>
                <w:szCs w:val="21"/>
              </w:rPr>
              <w:t>z</w:t>
            </w:r>
            <w:r>
              <w:rPr>
                <w:rFonts w:hint="eastAsia" w:ascii="宋体" w:hAnsi="宋体" w:cs="宋体"/>
                <w:color w:val="000000"/>
                <w:szCs w:val="21"/>
                <w:lang w:eastAsia="zh-CN"/>
              </w:rPr>
              <w:t>（</w:t>
            </w:r>
            <w:r>
              <w:rPr>
                <w:rFonts w:hint="eastAsia"/>
                <w:lang w:val="en-US" w:eastAsia="zh-CN"/>
              </w:rPr>
              <w:t>涵盖此范围即视为符合</w:t>
            </w:r>
            <w:r>
              <w:rPr>
                <w:rFonts w:hint="eastAsia" w:ascii="宋体" w:hAnsi="宋体" w:cs="宋体"/>
                <w:color w:val="000000"/>
                <w:szCs w:val="21"/>
                <w:lang w:eastAsia="zh-CN"/>
              </w:rPr>
              <w:t>）</w:t>
            </w:r>
          </w:p>
        </w:tc>
        <w:tc>
          <w:tcPr>
            <w:tcW w:w="1049" w:type="dxa"/>
          </w:tcPr>
          <w:p w14:paraId="11D4D8DA">
            <w:pPr>
              <w:adjustRightInd w:val="0"/>
              <w:snapToGrid w:val="0"/>
              <w:rPr>
                <w:rFonts w:asciiTheme="majorEastAsia" w:hAnsiTheme="majorEastAsia" w:eastAsiaTheme="majorEastAsia"/>
                <w:b/>
                <w:sz w:val="24"/>
                <w:szCs w:val="21"/>
              </w:rPr>
            </w:pPr>
          </w:p>
        </w:tc>
      </w:tr>
      <w:tr w14:paraId="381B7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8125A45">
            <w:pPr>
              <w:adjustRightInd w:val="0"/>
              <w:snapToGrid w:val="0"/>
              <w:rPr>
                <w:rFonts w:asciiTheme="majorEastAsia" w:hAnsiTheme="majorEastAsia" w:eastAsiaTheme="majorEastAsia"/>
                <w:b/>
                <w:sz w:val="24"/>
                <w:szCs w:val="21"/>
              </w:rPr>
            </w:pPr>
          </w:p>
        </w:tc>
        <w:tc>
          <w:tcPr>
            <w:tcW w:w="935" w:type="dxa"/>
            <w:vMerge w:val="continue"/>
          </w:tcPr>
          <w:p w14:paraId="45E74B9D">
            <w:pPr>
              <w:widowControl/>
              <w:jc w:val="left"/>
              <w:textAlignment w:val="center"/>
              <w:rPr>
                <w:rFonts w:ascii="宋体" w:hAnsi="宋体" w:cs="宋体"/>
                <w:color w:val="000000"/>
                <w:szCs w:val="21"/>
              </w:rPr>
            </w:pPr>
          </w:p>
        </w:tc>
        <w:tc>
          <w:tcPr>
            <w:tcW w:w="7332" w:type="dxa"/>
            <w:gridSpan w:val="2"/>
            <w:vAlign w:val="center"/>
          </w:tcPr>
          <w:p w14:paraId="7C402BCD">
            <w:pPr>
              <w:widowControl/>
              <w:jc w:val="left"/>
              <w:textAlignment w:val="center"/>
              <w:rPr>
                <w:rFonts w:ascii="宋体" w:hAnsi="宋体" w:cs="宋体"/>
                <w:color w:val="000000"/>
                <w:szCs w:val="21"/>
              </w:rPr>
            </w:pPr>
            <w:r>
              <w:rPr>
                <w:rFonts w:hint="eastAsia" w:ascii="宋体" w:hAnsi="宋体" w:cs="宋体"/>
                <w:color w:val="000000"/>
                <w:szCs w:val="21"/>
              </w:rPr>
              <w:t>3.6温度检测范围30～80℃±</w:t>
            </w:r>
            <w:r>
              <w:rPr>
                <w:rFonts w:hint="eastAsia" w:ascii="宋体" w:hAnsi="宋体" w:cs="宋体"/>
                <w:color w:val="000000"/>
                <w:szCs w:val="21"/>
                <w:lang w:val="en-US" w:eastAsia="zh-CN"/>
              </w:rPr>
              <w:t>3</w:t>
            </w:r>
            <w:r>
              <w:rPr>
                <w:rFonts w:hint="eastAsia" w:ascii="宋体" w:hAnsi="宋体" w:cs="宋体"/>
                <w:color w:val="000000"/>
                <w:szCs w:val="21"/>
              </w:rPr>
              <w:t>℃</w:t>
            </w:r>
          </w:p>
        </w:tc>
        <w:tc>
          <w:tcPr>
            <w:tcW w:w="1049" w:type="dxa"/>
          </w:tcPr>
          <w:p w14:paraId="32084265">
            <w:pPr>
              <w:adjustRightInd w:val="0"/>
              <w:snapToGrid w:val="0"/>
              <w:rPr>
                <w:rFonts w:asciiTheme="majorEastAsia" w:hAnsiTheme="majorEastAsia" w:eastAsiaTheme="majorEastAsia"/>
                <w:b/>
                <w:sz w:val="24"/>
                <w:szCs w:val="21"/>
              </w:rPr>
            </w:pPr>
          </w:p>
        </w:tc>
      </w:tr>
      <w:tr w14:paraId="472C4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0E07DB4">
            <w:pPr>
              <w:adjustRightInd w:val="0"/>
              <w:snapToGrid w:val="0"/>
              <w:rPr>
                <w:rFonts w:asciiTheme="majorEastAsia" w:hAnsiTheme="majorEastAsia" w:eastAsiaTheme="majorEastAsia"/>
                <w:b/>
                <w:sz w:val="24"/>
                <w:szCs w:val="21"/>
              </w:rPr>
            </w:pPr>
          </w:p>
        </w:tc>
        <w:tc>
          <w:tcPr>
            <w:tcW w:w="935" w:type="dxa"/>
            <w:vMerge w:val="continue"/>
          </w:tcPr>
          <w:p w14:paraId="5A8C7907">
            <w:pPr>
              <w:widowControl/>
              <w:jc w:val="left"/>
              <w:textAlignment w:val="center"/>
              <w:rPr>
                <w:rFonts w:ascii="宋体" w:hAnsi="宋体" w:cs="宋体"/>
                <w:color w:val="000000"/>
                <w:szCs w:val="21"/>
              </w:rPr>
            </w:pPr>
          </w:p>
        </w:tc>
        <w:tc>
          <w:tcPr>
            <w:tcW w:w="7332" w:type="dxa"/>
            <w:gridSpan w:val="2"/>
          </w:tcPr>
          <w:p w14:paraId="5CF0F2B8">
            <w:pPr>
              <w:widowControl/>
              <w:jc w:val="left"/>
              <w:textAlignment w:val="center"/>
              <w:rPr>
                <w:rFonts w:ascii="宋体" w:hAnsi="宋体" w:cs="宋体"/>
                <w:color w:val="000000"/>
                <w:szCs w:val="21"/>
              </w:rPr>
            </w:pPr>
            <w:r>
              <w:rPr>
                <w:rFonts w:hint="eastAsia" w:ascii="宋体" w:hAnsi="宋体" w:cs="宋体"/>
                <w:color w:val="000000"/>
                <w:szCs w:val="21"/>
              </w:rPr>
              <w:t>3.7消融计时范围0～120</w:t>
            </w:r>
            <w:r>
              <w:rPr>
                <w:rFonts w:ascii="宋体" w:hAnsi="宋体" w:cs="宋体"/>
                <w:color w:val="000000"/>
                <w:szCs w:val="21"/>
              </w:rPr>
              <w:t>s</w:t>
            </w:r>
            <w:r>
              <w:rPr>
                <w:rFonts w:hint="eastAsia" w:ascii="宋体" w:hAnsi="宋体" w:cs="宋体"/>
                <w:color w:val="000000"/>
                <w:szCs w:val="21"/>
              </w:rPr>
              <w:t>（误差不超过±3</w:t>
            </w:r>
            <w:r>
              <w:rPr>
                <w:rFonts w:ascii="宋体" w:hAnsi="宋体" w:cs="宋体"/>
                <w:color w:val="000000"/>
                <w:szCs w:val="21"/>
              </w:rPr>
              <w:t>s</w:t>
            </w:r>
            <w:r>
              <w:rPr>
                <w:rFonts w:hint="eastAsia" w:ascii="宋体" w:hAnsi="宋体" w:cs="宋体"/>
                <w:color w:val="000000"/>
                <w:szCs w:val="21"/>
              </w:rPr>
              <w:t>）</w:t>
            </w:r>
          </w:p>
        </w:tc>
        <w:tc>
          <w:tcPr>
            <w:tcW w:w="1049" w:type="dxa"/>
          </w:tcPr>
          <w:p w14:paraId="4A6B7DD8">
            <w:pPr>
              <w:adjustRightInd w:val="0"/>
              <w:snapToGrid w:val="0"/>
              <w:rPr>
                <w:rFonts w:asciiTheme="majorEastAsia" w:hAnsiTheme="majorEastAsia" w:eastAsiaTheme="majorEastAsia"/>
                <w:b/>
                <w:sz w:val="24"/>
                <w:szCs w:val="21"/>
              </w:rPr>
            </w:pPr>
          </w:p>
        </w:tc>
      </w:tr>
      <w:tr w14:paraId="4C2D0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094BD95">
            <w:pPr>
              <w:adjustRightInd w:val="0"/>
              <w:snapToGrid w:val="0"/>
              <w:rPr>
                <w:rFonts w:asciiTheme="majorEastAsia" w:hAnsiTheme="majorEastAsia" w:eastAsiaTheme="majorEastAsia"/>
                <w:b/>
                <w:sz w:val="24"/>
                <w:szCs w:val="21"/>
              </w:rPr>
            </w:pPr>
          </w:p>
        </w:tc>
        <w:tc>
          <w:tcPr>
            <w:tcW w:w="935" w:type="dxa"/>
            <w:vMerge w:val="continue"/>
          </w:tcPr>
          <w:p w14:paraId="03BF5614">
            <w:pPr>
              <w:widowControl/>
              <w:jc w:val="left"/>
              <w:textAlignment w:val="center"/>
              <w:rPr>
                <w:rFonts w:ascii="宋体" w:hAnsi="宋体" w:cs="宋体"/>
                <w:color w:val="000000"/>
                <w:szCs w:val="21"/>
              </w:rPr>
            </w:pPr>
          </w:p>
        </w:tc>
        <w:tc>
          <w:tcPr>
            <w:tcW w:w="7332" w:type="dxa"/>
            <w:gridSpan w:val="2"/>
          </w:tcPr>
          <w:p w14:paraId="1A606528">
            <w:pPr>
              <w:widowControl/>
              <w:jc w:val="left"/>
              <w:textAlignment w:val="center"/>
              <w:rPr>
                <w:rFonts w:ascii="宋体" w:hAnsi="宋体" w:cs="宋体"/>
                <w:color w:val="000000"/>
                <w:szCs w:val="21"/>
              </w:rPr>
            </w:pPr>
            <w:r>
              <w:rPr>
                <w:rFonts w:hint="eastAsia" w:ascii="宋体" w:hAnsi="宋体" w:cs="宋体"/>
                <w:color w:val="000000"/>
                <w:szCs w:val="21"/>
              </w:rPr>
              <w:t>3.8消融定时范围0～120</w:t>
            </w:r>
            <w:r>
              <w:rPr>
                <w:rFonts w:ascii="宋体" w:hAnsi="宋体" w:cs="宋体"/>
                <w:color w:val="000000"/>
                <w:szCs w:val="21"/>
              </w:rPr>
              <w:t>s</w:t>
            </w:r>
            <w:r>
              <w:rPr>
                <w:rFonts w:hint="eastAsia" w:ascii="宋体" w:hAnsi="宋体" w:cs="宋体"/>
                <w:color w:val="000000"/>
                <w:szCs w:val="21"/>
              </w:rPr>
              <w:t>（误差不超过±3</w:t>
            </w:r>
            <w:r>
              <w:rPr>
                <w:rFonts w:ascii="宋体" w:hAnsi="宋体" w:cs="宋体"/>
                <w:color w:val="000000"/>
                <w:szCs w:val="21"/>
              </w:rPr>
              <w:t>s</w:t>
            </w:r>
            <w:r>
              <w:rPr>
                <w:rFonts w:hint="eastAsia" w:ascii="宋体" w:hAnsi="宋体" w:cs="宋体"/>
                <w:color w:val="000000"/>
                <w:szCs w:val="21"/>
              </w:rPr>
              <w:t>）</w:t>
            </w:r>
          </w:p>
        </w:tc>
        <w:tc>
          <w:tcPr>
            <w:tcW w:w="1049" w:type="dxa"/>
          </w:tcPr>
          <w:p w14:paraId="5A89D8B4">
            <w:pPr>
              <w:adjustRightInd w:val="0"/>
              <w:snapToGrid w:val="0"/>
              <w:rPr>
                <w:rFonts w:asciiTheme="majorEastAsia" w:hAnsiTheme="majorEastAsia" w:eastAsiaTheme="majorEastAsia"/>
                <w:b/>
                <w:sz w:val="24"/>
                <w:szCs w:val="21"/>
              </w:rPr>
            </w:pPr>
          </w:p>
        </w:tc>
      </w:tr>
      <w:tr w14:paraId="64B40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C195480">
            <w:pPr>
              <w:adjustRightInd w:val="0"/>
              <w:snapToGrid w:val="0"/>
              <w:rPr>
                <w:rFonts w:asciiTheme="majorEastAsia" w:hAnsiTheme="majorEastAsia" w:eastAsiaTheme="majorEastAsia"/>
                <w:b/>
                <w:sz w:val="24"/>
                <w:szCs w:val="21"/>
              </w:rPr>
            </w:pPr>
          </w:p>
        </w:tc>
        <w:tc>
          <w:tcPr>
            <w:tcW w:w="935" w:type="dxa"/>
            <w:vMerge w:val="continue"/>
          </w:tcPr>
          <w:p w14:paraId="2F1E77E9">
            <w:pPr>
              <w:widowControl/>
              <w:jc w:val="left"/>
              <w:textAlignment w:val="center"/>
              <w:rPr>
                <w:rFonts w:ascii="宋体" w:hAnsi="宋体" w:cs="宋体"/>
                <w:color w:val="000000"/>
                <w:szCs w:val="21"/>
              </w:rPr>
            </w:pPr>
          </w:p>
        </w:tc>
        <w:tc>
          <w:tcPr>
            <w:tcW w:w="7332" w:type="dxa"/>
            <w:gridSpan w:val="2"/>
          </w:tcPr>
          <w:p w14:paraId="66166196">
            <w:pPr>
              <w:widowControl/>
              <w:jc w:val="left"/>
              <w:textAlignment w:val="center"/>
              <w:rPr>
                <w:rFonts w:ascii="宋体" w:hAnsi="宋体" w:cs="宋体"/>
                <w:color w:val="000000"/>
                <w:szCs w:val="21"/>
              </w:rPr>
            </w:pPr>
            <w:r>
              <w:rPr>
                <w:rFonts w:hint="eastAsia" w:ascii="宋体" w:hAnsi="宋体" w:cs="宋体"/>
                <w:color w:val="000000"/>
                <w:szCs w:val="21"/>
              </w:rPr>
              <w:t>3.9阻抗检测范围80～350Ω（误差不超过±10Ω或±10%，两者取最大值）</w:t>
            </w:r>
          </w:p>
        </w:tc>
        <w:tc>
          <w:tcPr>
            <w:tcW w:w="1049" w:type="dxa"/>
          </w:tcPr>
          <w:p w14:paraId="642D388E">
            <w:pPr>
              <w:adjustRightInd w:val="0"/>
              <w:snapToGrid w:val="0"/>
              <w:rPr>
                <w:rFonts w:asciiTheme="majorEastAsia" w:hAnsiTheme="majorEastAsia" w:eastAsiaTheme="majorEastAsia"/>
                <w:b/>
                <w:sz w:val="24"/>
                <w:szCs w:val="21"/>
              </w:rPr>
            </w:pPr>
          </w:p>
        </w:tc>
      </w:tr>
      <w:tr w14:paraId="10C7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0A1C3D6">
            <w:pPr>
              <w:adjustRightInd w:val="0"/>
              <w:snapToGrid w:val="0"/>
              <w:rPr>
                <w:rFonts w:asciiTheme="majorEastAsia" w:hAnsiTheme="majorEastAsia" w:eastAsiaTheme="majorEastAsia"/>
                <w:b/>
                <w:sz w:val="24"/>
                <w:szCs w:val="21"/>
              </w:rPr>
            </w:pPr>
          </w:p>
        </w:tc>
        <w:tc>
          <w:tcPr>
            <w:tcW w:w="935" w:type="dxa"/>
            <w:vMerge w:val="continue"/>
          </w:tcPr>
          <w:p w14:paraId="0455B417">
            <w:pPr>
              <w:widowControl/>
              <w:jc w:val="left"/>
              <w:textAlignment w:val="center"/>
              <w:rPr>
                <w:rFonts w:ascii="宋体" w:hAnsi="宋体" w:cs="宋体"/>
                <w:color w:val="000000"/>
                <w:szCs w:val="21"/>
              </w:rPr>
            </w:pPr>
          </w:p>
        </w:tc>
        <w:tc>
          <w:tcPr>
            <w:tcW w:w="7332" w:type="dxa"/>
            <w:gridSpan w:val="2"/>
          </w:tcPr>
          <w:p w14:paraId="15E3DC38">
            <w:pPr>
              <w:widowControl/>
              <w:jc w:val="left"/>
              <w:textAlignment w:val="center"/>
              <w:rPr>
                <w:rFonts w:ascii="宋体" w:hAnsi="宋体" w:cs="宋体"/>
                <w:color w:val="000000"/>
                <w:szCs w:val="21"/>
              </w:rPr>
            </w:pPr>
            <w:r>
              <w:rPr>
                <w:rFonts w:hint="eastAsia" w:ascii="宋体" w:hAnsi="宋体" w:cs="宋体"/>
                <w:color w:val="000000"/>
                <w:szCs w:val="21"/>
              </w:rPr>
              <w:t>3.10低阻保护值100Ω</w:t>
            </w:r>
            <w:r>
              <w:rPr>
                <w:rFonts w:hint="eastAsia" w:ascii="宋体" w:hAnsi="宋体" w:cs="宋体"/>
                <w:color w:val="000000"/>
                <w:szCs w:val="21"/>
                <w:lang w:eastAsia="zh-CN"/>
              </w:rPr>
              <w:t>，</w:t>
            </w:r>
            <w:r>
              <w:rPr>
                <w:rFonts w:hint="eastAsia" w:ascii="宋体" w:hAnsi="宋体" w:cs="宋体"/>
                <w:color w:val="000000"/>
                <w:szCs w:val="21"/>
              </w:rPr>
              <w:t>误差±5%</w:t>
            </w:r>
          </w:p>
        </w:tc>
        <w:tc>
          <w:tcPr>
            <w:tcW w:w="1049" w:type="dxa"/>
          </w:tcPr>
          <w:p w14:paraId="148DDFFC">
            <w:pPr>
              <w:adjustRightInd w:val="0"/>
              <w:snapToGrid w:val="0"/>
              <w:rPr>
                <w:rFonts w:asciiTheme="majorEastAsia" w:hAnsiTheme="majorEastAsia" w:eastAsiaTheme="majorEastAsia"/>
                <w:b/>
                <w:sz w:val="24"/>
                <w:szCs w:val="21"/>
              </w:rPr>
            </w:pPr>
          </w:p>
        </w:tc>
      </w:tr>
      <w:tr w14:paraId="513A3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B10D025">
            <w:pPr>
              <w:adjustRightInd w:val="0"/>
              <w:snapToGrid w:val="0"/>
              <w:rPr>
                <w:rFonts w:asciiTheme="majorEastAsia" w:hAnsiTheme="majorEastAsia" w:eastAsiaTheme="majorEastAsia"/>
                <w:b/>
                <w:sz w:val="24"/>
                <w:szCs w:val="21"/>
              </w:rPr>
            </w:pPr>
          </w:p>
        </w:tc>
        <w:tc>
          <w:tcPr>
            <w:tcW w:w="935" w:type="dxa"/>
            <w:vMerge w:val="continue"/>
          </w:tcPr>
          <w:p w14:paraId="3746D472">
            <w:pPr>
              <w:adjustRightInd w:val="0"/>
              <w:snapToGrid w:val="0"/>
              <w:rPr>
                <w:rFonts w:asciiTheme="majorEastAsia" w:hAnsiTheme="majorEastAsia" w:eastAsiaTheme="majorEastAsia"/>
                <w:b/>
                <w:sz w:val="24"/>
                <w:szCs w:val="21"/>
              </w:rPr>
            </w:pPr>
          </w:p>
        </w:tc>
        <w:tc>
          <w:tcPr>
            <w:tcW w:w="7332" w:type="dxa"/>
            <w:gridSpan w:val="2"/>
          </w:tcPr>
          <w:p w14:paraId="74148273">
            <w:pPr>
              <w:widowControl/>
              <w:jc w:val="left"/>
              <w:textAlignment w:val="center"/>
              <w:rPr>
                <w:rFonts w:hint="eastAsia" w:eastAsia="宋体" w:asciiTheme="majorEastAsia" w:hAnsiTheme="majorEastAsia"/>
                <w:b/>
                <w:sz w:val="24"/>
                <w:szCs w:val="21"/>
                <w:lang w:eastAsia="zh-CN"/>
              </w:rPr>
            </w:pPr>
            <w:r>
              <w:rPr>
                <w:rFonts w:hint="eastAsia" w:ascii="宋体" w:hAnsi="宋体" w:cs="宋体"/>
                <w:color w:val="000000"/>
                <w:szCs w:val="21"/>
              </w:rPr>
              <w:t>3.11高阻保护值300Ω</w:t>
            </w:r>
            <w:r>
              <w:rPr>
                <w:rFonts w:hint="eastAsia" w:ascii="宋体" w:hAnsi="宋体" w:cs="宋体"/>
                <w:color w:val="000000"/>
                <w:szCs w:val="21"/>
                <w:lang w:eastAsia="zh-CN"/>
              </w:rPr>
              <w:t>，</w:t>
            </w:r>
            <w:r>
              <w:rPr>
                <w:rFonts w:hint="eastAsia" w:ascii="宋体" w:hAnsi="宋体" w:cs="宋体"/>
                <w:color w:val="000000"/>
                <w:szCs w:val="21"/>
              </w:rPr>
              <w:t>误差±5%</w:t>
            </w:r>
          </w:p>
        </w:tc>
        <w:tc>
          <w:tcPr>
            <w:tcW w:w="1049" w:type="dxa"/>
          </w:tcPr>
          <w:p w14:paraId="49F67D99">
            <w:pPr>
              <w:adjustRightInd w:val="0"/>
              <w:snapToGrid w:val="0"/>
              <w:rPr>
                <w:rFonts w:asciiTheme="majorEastAsia" w:hAnsiTheme="majorEastAsia" w:eastAsiaTheme="majorEastAsia"/>
                <w:b/>
                <w:sz w:val="24"/>
                <w:szCs w:val="21"/>
              </w:rPr>
            </w:pPr>
          </w:p>
        </w:tc>
      </w:tr>
      <w:tr w14:paraId="75EE4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8C766EF">
            <w:pPr>
              <w:adjustRightInd w:val="0"/>
              <w:snapToGrid w:val="0"/>
              <w:rPr>
                <w:rFonts w:asciiTheme="majorEastAsia" w:hAnsiTheme="majorEastAsia" w:eastAsiaTheme="majorEastAsia"/>
                <w:b/>
                <w:sz w:val="24"/>
                <w:szCs w:val="21"/>
              </w:rPr>
            </w:pPr>
          </w:p>
        </w:tc>
        <w:tc>
          <w:tcPr>
            <w:tcW w:w="935" w:type="dxa"/>
            <w:vMerge w:val="continue"/>
          </w:tcPr>
          <w:p w14:paraId="501AE0F6">
            <w:pPr>
              <w:adjustRightInd w:val="0"/>
              <w:snapToGrid w:val="0"/>
              <w:rPr>
                <w:rFonts w:asciiTheme="majorEastAsia" w:hAnsiTheme="majorEastAsia" w:eastAsiaTheme="majorEastAsia"/>
                <w:b/>
                <w:sz w:val="24"/>
                <w:szCs w:val="21"/>
              </w:rPr>
            </w:pPr>
          </w:p>
        </w:tc>
        <w:tc>
          <w:tcPr>
            <w:tcW w:w="7332" w:type="dxa"/>
            <w:gridSpan w:val="2"/>
          </w:tcPr>
          <w:p w14:paraId="65495DF5">
            <w:pPr>
              <w:widowControl/>
              <w:jc w:val="left"/>
              <w:textAlignment w:val="center"/>
              <w:rPr>
                <w:rFonts w:ascii="宋体" w:hAnsi="宋体" w:cs="宋体"/>
                <w:color w:val="000000"/>
                <w:szCs w:val="21"/>
              </w:rPr>
            </w:pPr>
            <w:r>
              <w:rPr>
                <w:rFonts w:hint="eastAsia" w:ascii="宋体" w:hAnsi="宋体" w:cs="宋体"/>
                <w:color w:val="000000"/>
                <w:szCs w:val="21"/>
              </w:rPr>
              <w:t>3.12低温保护值32℃</w:t>
            </w:r>
            <w:r>
              <w:rPr>
                <w:rFonts w:hint="eastAsia" w:ascii="宋体" w:hAnsi="宋体" w:cs="宋体"/>
                <w:color w:val="000000"/>
                <w:szCs w:val="21"/>
                <w:lang w:eastAsia="zh-CN"/>
              </w:rPr>
              <w:t>，</w:t>
            </w:r>
            <w:r>
              <w:rPr>
                <w:rFonts w:hint="eastAsia" w:ascii="宋体" w:hAnsi="宋体" w:cs="宋体"/>
                <w:color w:val="000000"/>
                <w:szCs w:val="21"/>
              </w:rPr>
              <w:t>误差±5%</w:t>
            </w:r>
          </w:p>
        </w:tc>
        <w:tc>
          <w:tcPr>
            <w:tcW w:w="1049" w:type="dxa"/>
          </w:tcPr>
          <w:p w14:paraId="4B953316">
            <w:pPr>
              <w:adjustRightInd w:val="0"/>
              <w:snapToGrid w:val="0"/>
              <w:rPr>
                <w:rFonts w:asciiTheme="majorEastAsia" w:hAnsiTheme="majorEastAsia" w:eastAsiaTheme="majorEastAsia"/>
                <w:b/>
                <w:sz w:val="24"/>
                <w:szCs w:val="21"/>
              </w:rPr>
            </w:pPr>
          </w:p>
        </w:tc>
      </w:tr>
      <w:tr w14:paraId="2A604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BF00C65">
            <w:pPr>
              <w:adjustRightInd w:val="0"/>
              <w:snapToGrid w:val="0"/>
              <w:rPr>
                <w:rFonts w:asciiTheme="majorEastAsia" w:hAnsiTheme="majorEastAsia" w:eastAsiaTheme="majorEastAsia"/>
                <w:b/>
                <w:sz w:val="24"/>
                <w:szCs w:val="21"/>
              </w:rPr>
            </w:pPr>
          </w:p>
        </w:tc>
        <w:tc>
          <w:tcPr>
            <w:tcW w:w="935" w:type="dxa"/>
            <w:vMerge w:val="continue"/>
          </w:tcPr>
          <w:p w14:paraId="5D202758">
            <w:pPr>
              <w:adjustRightInd w:val="0"/>
              <w:snapToGrid w:val="0"/>
              <w:rPr>
                <w:rFonts w:asciiTheme="majorEastAsia" w:hAnsiTheme="majorEastAsia" w:eastAsiaTheme="majorEastAsia"/>
                <w:b/>
                <w:sz w:val="24"/>
                <w:szCs w:val="21"/>
              </w:rPr>
            </w:pPr>
          </w:p>
        </w:tc>
        <w:tc>
          <w:tcPr>
            <w:tcW w:w="7332" w:type="dxa"/>
            <w:gridSpan w:val="2"/>
          </w:tcPr>
          <w:p w14:paraId="6F4765AF">
            <w:pPr>
              <w:widowControl/>
              <w:jc w:val="left"/>
              <w:textAlignment w:val="center"/>
              <w:rPr>
                <w:rFonts w:ascii="宋体" w:hAnsi="宋体" w:cs="宋体"/>
                <w:color w:val="000000"/>
                <w:szCs w:val="21"/>
              </w:rPr>
            </w:pPr>
            <w:r>
              <w:rPr>
                <w:rFonts w:hint="eastAsia" w:ascii="宋体" w:hAnsi="宋体" w:cs="宋体"/>
                <w:color w:val="000000"/>
                <w:szCs w:val="21"/>
              </w:rPr>
              <w:t>3.13高温保护值60℃</w:t>
            </w:r>
            <w:r>
              <w:rPr>
                <w:rFonts w:hint="eastAsia" w:ascii="宋体" w:hAnsi="宋体" w:cs="宋体"/>
                <w:color w:val="000000"/>
                <w:szCs w:val="21"/>
                <w:lang w:eastAsia="zh-CN"/>
              </w:rPr>
              <w:t>，</w:t>
            </w:r>
            <w:r>
              <w:rPr>
                <w:rFonts w:hint="eastAsia" w:ascii="宋体" w:hAnsi="宋体" w:cs="宋体"/>
                <w:color w:val="000000"/>
                <w:szCs w:val="21"/>
              </w:rPr>
              <w:t>误差±5%</w:t>
            </w:r>
          </w:p>
        </w:tc>
        <w:tc>
          <w:tcPr>
            <w:tcW w:w="1049" w:type="dxa"/>
          </w:tcPr>
          <w:p w14:paraId="4CDC8D09">
            <w:pPr>
              <w:adjustRightInd w:val="0"/>
              <w:snapToGrid w:val="0"/>
              <w:rPr>
                <w:rFonts w:asciiTheme="majorEastAsia" w:hAnsiTheme="majorEastAsia" w:eastAsiaTheme="majorEastAsia"/>
                <w:b/>
                <w:sz w:val="24"/>
                <w:szCs w:val="21"/>
              </w:rPr>
            </w:pPr>
          </w:p>
        </w:tc>
      </w:tr>
      <w:tr w14:paraId="02A3E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714742E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59067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D7D5AB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2119FC49">
            <w:pPr>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合同签订后并接采购人通知__</w:t>
            </w:r>
            <w:r>
              <w:rPr>
                <w:rFonts w:hint="eastAsia" w:asciiTheme="majorEastAsia" w:hAnsiTheme="majorEastAsia" w:eastAsiaTheme="majorEastAsia"/>
                <w:b/>
                <w:sz w:val="24"/>
                <w:szCs w:val="21"/>
                <w:u w:val="single"/>
                <w:lang w:val="en-US" w:eastAsia="zh-CN"/>
              </w:rPr>
              <w:t xml:space="preserve">  </w:t>
            </w:r>
            <w:r>
              <w:rPr>
                <w:rFonts w:hint="eastAsia" w:asciiTheme="majorEastAsia" w:hAnsiTheme="majorEastAsia" w:eastAsiaTheme="majorEastAsia"/>
                <w:b/>
                <w:sz w:val="24"/>
                <w:szCs w:val="21"/>
              </w:rPr>
              <w:t>_日历日内</w:t>
            </w:r>
            <w:r>
              <w:rPr>
                <w:rFonts w:hint="eastAsia"/>
                <w:b/>
                <w:bCs/>
                <w:color w:val="FF0000"/>
                <w:sz w:val="22"/>
                <w:szCs w:val="28"/>
                <w:lang w:val="en-US" w:eastAsia="zh-CN"/>
              </w:rPr>
              <w:t>（填写的数值</w:t>
            </w:r>
            <w:r>
              <w:rPr>
                <w:rFonts w:hint="eastAsia"/>
                <w:b/>
                <w:bCs w:val="0"/>
                <w:color w:val="FF0000"/>
                <w:lang w:val="en-US" w:eastAsia="zh-CN"/>
              </w:rPr>
              <w:t>≤</w:t>
            </w:r>
            <w:r>
              <w:rPr>
                <w:rFonts w:hint="eastAsia"/>
                <w:b/>
                <w:bCs/>
                <w:color w:val="FF0000"/>
                <w:sz w:val="22"/>
                <w:szCs w:val="28"/>
                <w:lang w:val="en-US" w:eastAsia="zh-CN"/>
              </w:rPr>
              <w:t>60 日历日内）</w:t>
            </w:r>
            <w:r>
              <w:rPr>
                <w:rFonts w:hint="eastAsia" w:asciiTheme="majorEastAsia" w:hAnsiTheme="majorEastAsia" w:eastAsiaTheme="majorEastAsia"/>
                <w:b/>
                <w:sz w:val="24"/>
                <w:szCs w:val="21"/>
              </w:rPr>
              <w:t>。</w:t>
            </w:r>
          </w:p>
        </w:tc>
      </w:tr>
      <w:tr w14:paraId="37FD9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B75526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5AFE8B0F">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55508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299685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720D0DB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54298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4C8E7F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77DF1CCC">
            <w:pPr>
              <w:adjustRightInd w:val="0"/>
              <w:snapToGrid w:val="0"/>
              <w:rPr>
                <w:rFonts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113E1B1E">
            <w:pPr>
              <w:widowControl/>
              <w:adjustRightInd w:val="0"/>
              <w:snapToGrid w:val="0"/>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10个工作日内，支付100%合同货款到乙方指定帐户。</w:t>
            </w:r>
          </w:p>
          <w:p w14:paraId="6F42A266">
            <w:pPr>
              <w:adjustRightInd w:val="0"/>
              <w:snapToGrid w:val="0"/>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10个工作日内，甲方将履约保证金无息返还给乙方。</w:t>
            </w:r>
          </w:p>
          <w:p w14:paraId="4424AA43">
            <w:pPr>
              <w:adjustRightInd w:val="0"/>
              <w:snapToGrid w:val="0"/>
              <w:rPr>
                <w:rFonts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51C6076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货到清点、安装调试验收合格正常使用后，出具全额发票，甲方凭乙方提供的完整资料，自发票到达甲方财务之日起10个工作日内，支付100%合同货款到乙方指定帐户。</w:t>
            </w:r>
          </w:p>
        </w:tc>
      </w:tr>
      <w:tr w14:paraId="6BD34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61E3C0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09302BE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6E7D4BB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60EEDD9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02D71D1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766B973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7B788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7D8E1D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356B715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12C5E82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1136BCD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70AEB35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5C6B79E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357E64A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6362B2D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175D052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77D1962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52B8A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DEB555F">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594B5C71">
            <w:pPr>
              <w:adjustRightInd w:val="0"/>
              <w:snapToGrid w:val="0"/>
              <w:rPr>
                <w:rFonts w:asciiTheme="majorEastAsia" w:hAnsiTheme="majorEastAsia" w:eastAsiaTheme="majorEastAsia"/>
                <w:sz w:val="24"/>
                <w:szCs w:val="21"/>
              </w:rPr>
            </w:pPr>
          </w:p>
        </w:tc>
        <w:tc>
          <w:tcPr>
            <w:tcW w:w="8261" w:type="dxa"/>
            <w:gridSpan w:val="2"/>
          </w:tcPr>
          <w:p w14:paraId="544F52C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w:t>
            </w:r>
            <w:r>
              <w:rPr>
                <w:rFonts w:hint="eastAsia" w:ascii="宋体" w:hAnsi="宋体"/>
                <w:bCs/>
                <w:color w:val="0070C0"/>
                <w:szCs w:val="21"/>
                <w:lang w:eastAsia="zh-CN"/>
              </w:rPr>
              <w:t>终身</w:t>
            </w:r>
            <w:r>
              <w:rPr>
                <w:rFonts w:hint="eastAsia" w:ascii="宋体" w:hAnsi="宋体"/>
                <w:bCs/>
                <w:color w:val="0070C0"/>
                <w:szCs w:val="21"/>
              </w:rPr>
              <w:t>原厂保修</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4C8407E5">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7B4B415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2A15EEC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0AA364C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3F4BF45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5B5481E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78020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BD01E6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6A001F0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294E1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5D3D24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19C62AE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3A8780F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65B7A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7F7C0FC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013FC55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1C42FFD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05CB18E6">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01AAD31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77087F8F">
      <w:pPr>
        <w:spacing w:line="360" w:lineRule="auto"/>
        <w:ind w:firstLine="150" w:firstLineChars="100"/>
        <w:rPr>
          <w:rFonts w:cs="方正小标宋简体" w:asciiTheme="majorEastAsia" w:hAnsiTheme="majorEastAsia" w:eastAsiaTheme="majorEastAsia"/>
          <w:sz w:val="15"/>
          <w:szCs w:val="15"/>
        </w:rPr>
      </w:pPr>
    </w:p>
    <w:p w14:paraId="001ECF88">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26E857EC">
      <w:pPr>
        <w:pStyle w:val="4"/>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10"/>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007E2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12EA2D9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7760" w:type="dxa"/>
            <w:vAlign w:val="center"/>
          </w:tcPr>
          <w:p w14:paraId="309C8C87">
            <w:pPr>
              <w:adjustRightInd w:val="0"/>
              <w:snapToGrid w:val="0"/>
              <w:rPr>
                <w:rFonts w:asciiTheme="majorEastAsia" w:hAnsiTheme="majorEastAsia" w:eastAsiaTheme="majorEastAsia"/>
                <w:b/>
                <w:sz w:val="24"/>
                <w:szCs w:val="21"/>
                <w:u w:val="dash"/>
              </w:rPr>
            </w:pPr>
            <w:r>
              <w:rPr>
                <w:rFonts w:hint="eastAsia" w:asciiTheme="majorEastAsia" w:hAnsiTheme="majorEastAsia" w:eastAsiaTheme="majorEastAsia"/>
                <w:b/>
                <w:sz w:val="24"/>
                <w:szCs w:val="21"/>
              </w:rPr>
              <w:t>☑有配套耗材（是否专机专用：☑是 □否）（具体列明）：</w:t>
            </w:r>
            <w:r>
              <w:rPr>
                <w:rFonts w:hint="eastAsia" w:asciiTheme="majorEastAsia" w:hAnsiTheme="majorEastAsia" w:eastAsiaTheme="majorEastAsia"/>
                <w:b/>
                <w:sz w:val="24"/>
                <w:szCs w:val="21"/>
                <w:u w:val="dash"/>
              </w:rPr>
              <w:t>一次性使用环形肺动脉射频消融导管</w:t>
            </w:r>
          </w:p>
          <w:p w14:paraId="2C53D8B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5D21990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□无配套耗材 </w:t>
            </w:r>
          </w:p>
        </w:tc>
      </w:tr>
      <w:tr w14:paraId="7CF34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07A8F65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7760" w:type="dxa"/>
            <w:vAlign w:val="center"/>
          </w:tcPr>
          <w:p w14:paraId="01ADFF8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7371BF9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20C1763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☑无配套试剂 </w:t>
            </w:r>
          </w:p>
        </w:tc>
      </w:tr>
      <w:tr w14:paraId="675B8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308560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7760" w:type="dxa"/>
            <w:vAlign w:val="center"/>
          </w:tcPr>
          <w:p w14:paraId="2800082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1D2E48C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16566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11A013F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7760" w:type="dxa"/>
            <w:vAlign w:val="center"/>
          </w:tcPr>
          <w:p w14:paraId="50A14AC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2E06E00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4C944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283465C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7760" w:type="dxa"/>
            <w:vAlign w:val="center"/>
          </w:tcPr>
          <w:p w14:paraId="3B8C383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454FDC7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5B85A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60" w:type="dxa"/>
            <w:vAlign w:val="center"/>
          </w:tcPr>
          <w:p w14:paraId="7F827A7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7760" w:type="dxa"/>
            <w:vAlign w:val="center"/>
          </w:tcPr>
          <w:p w14:paraId="23DC93AF">
            <w:pPr>
              <w:adjustRightInd w:val="0"/>
              <w:snapToGrid w:val="0"/>
              <w:rPr>
                <w:rFonts w:ascii="宋体" w:hAnsi="宋体" w:cs="宋体"/>
                <w:bCs/>
                <w:color w:val="000000"/>
                <w:szCs w:val="21"/>
              </w:rPr>
            </w:pPr>
            <w:r>
              <w:rPr>
                <w:rFonts w:hint="eastAsia" w:ascii="宋体" w:hAnsi="宋体" w:cs="宋体"/>
                <w:bCs/>
                <w:color w:val="000000"/>
                <w:szCs w:val="21"/>
              </w:rPr>
              <w:t>5年</w:t>
            </w:r>
          </w:p>
        </w:tc>
      </w:tr>
      <w:tr w14:paraId="53586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36A95A3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7760" w:type="dxa"/>
            <w:vAlign w:val="center"/>
          </w:tcPr>
          <w:p w14:paraId="254EC22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☑有（具体列明）：□一类  □二类   ☑三类   □至少为   类</w:t>
            </w:r>
          </w:p>
          <w:p w14:paraId="1A5061DB">
            <w:pPr>
              <w:adjustRightInd w:val="0"/>
              <w:snapToGrid w:val="0"/>
              <w:rPr>
                <w:rFonts w:ascii="宋体" w:hAnsi="宋体" w:cs="宋体"/>
                <w:bCs/>
                <w:color w:val="000000"/>
                <w:szCs w:val="21"/>
              </w:rPr>
            </w:pPr>
            <w:r>
              <w:rPr>
                <w:rFonts w:hint="eastAsia" w:asciiTheme="majorEastAsia" w:hAnsiTheme="majorEastAsia" w:eastAsiaTheme="majorEastAsia"/>
                <w:b/>
                <w:sz w:val="24"/>
                <w:szCs w:val="21"/>
              </w:rPr>
              <w:t xml:space="preserve">□无  </w:t>
            </w:r>
          </w:p>
        </w:tc>
      </w:tr>
      <w:tr w14:paraId="4237D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61E1957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7760" w:type="dxa"/>
            <w:vAlign w:val="center"/>
          </w:tcPr>
          <w:p w14:paraId="317C966F">
            <w:pPr>
              <w:adjustRightInd w:val="0"/>
              <w:snapToGrid w:val="0"/>
              <w:rPr>
                <w:rFonts w:asciiTheme="majorEastAsia" w:hAnsiTheme="majorEastAsia" w:eastAsiaTheme="majorEastAsia"/>
                <w:b/>
                <w:sz w:val="24"/>
                <w:szCs w:val="21"/>
              </w:rPr>
            </w:pPr>
          </w:p>
        </w:tc>
      </w:tr>
    </w:tbl>
    <w:p w14:paraId="415937AE">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7D957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098B57BD">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606EB17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042D3A9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15FAA992">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740EC2F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73F1545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041D4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18AD20AE">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247" w:type="dxa"/>
          </w:tcPr>
          <w:p w14:paraId="0EFE1F45">
            <w:pPr>
              <w:widowControl/>
              <w:adjustRightInd w:val="0"/>
              <w:snapToGrid w:val="0"/>
              <w:rPr>
                <w:rFonts w:cs="方正小标宋简体" w:asciiTheme="majorEastAsia" w:hAnsiTheme="majorEastAsia" w:eastAsiaTheme="majorEastAsia"/>
                <w:sz w:val="24"/>
              </w:rPr>
            </w:pPr>
            <w:r>
              <w:rPr>
                <w:rFonts w:hint="eastAsia"/>
              </w:rPr>
              <w:t>射频导管连接电缆</w:t>
            </w:r>
          </w:p>
        </w:tc>
        <w:tc>
          <w:tcPr>
            <w:tcW w:w="2005" w:type="dxa"/>
          </w:tcPr>
          <w:p w14:paraId="70955BC9">
            <w:pPr>
              <w:widowControl/>
              <w:adjustRightInd w:val="0"/>
              <w:snapToGrid w:val="0"/>
              <w:rPr>
                <w:rFonts w:cs="方正小标宋简体" w:asciiTheme="majorEastAsia" w:hAnsiTheme="majorEastAsia" w:eastAsiaTheme="majorEastAsia"/>
                <w:sz w:val="24"/>
              </w:rPr>
            </w:pPr>
          </w:p>
        </w:tc>
        <w:tc>
          <w:tcPr>
            <w:tcW w:w="1843" w:type="dxa"/>
          </w:tcPr>
          <w:p w14:paraId="29C64AA8">
            <w:pPr>
              <w:widowControl/>
              <w:adjustRightInd w:val="0"/>
              <w:snapToGrid w:val="0"/>
              <w:rPr>
                <w:rFonts w:cs="方正小标宋简体" w:asciiTheme="majorEastAsia" w:hAnsiTheme="majorEastAsia" w:eastAsiaTheme="majorEastAsia"/>
                <w:sz w:val="24"/>
              </w:rPr>
            </w:pPr>
          </w:p>
        </w:tc>
        <w:tc>
          <w:tcPr>
            <w:tcW w:w="1417" w:type="dxa"/>
          </w:tcPr>
          <w:p w14:paraId="58A1B4DB">
            <w:pPr>
              <w:widowControl/>
              <w:adjustRightInd w:val="0"/>
              <w:snapToGrid w:val="0"/>
              <w:rPr>
                <w:rFonts w:cs="方正小标宋简体" w:asciiTheme="majorEastAsia" w:hAnsiTheme="majorEastAsia" w:eastAsiaTheme="majorEastAsia"/>
                <w:sz w:val="24"/>
              </w:rPr>
            </w:pPr>
          </w:p>
        </w:tc>
        <w:tc>
          <w:tcPr>
            <w:tcW w:w="1560" w:type="dxa"/>
          </w:tcPr>
          <w:p w14:paraId="06095B32">
            <w:pPr>
              <w:widowControl/>
              <w:adjustRightInd w:val="0"/>
              <w:snapToGrid w:val="0"/>
              <w:rPr>
                <w:rFonts w:cs="方正小标宋简体" w:asciiTheme="majorEastAsia" w:hAnsiTheme="majorEastAsia" w:eastAsiaTheme="majorEastAsia"/>
                <w:sz w:val="24"/>
              </w:rPr>
            </w:pPr>
          </w:p>
        </w:tc>
      </w:tr>
      <w:tr w14:paraId="3B924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382CE4CA">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2</w:t>
            </w:r>
          </w:p>
        </w:tc>
        <w:tc>
          <w:tcPr>
            <w:tcW w:w="2247" w:type="dxa"/>
          </w:tcPr>
          <w:p w14:paraId="63881956">
            <w:pPr>
              <w:widowControl/>
              <w:adjustRightInd w:val="0"/>
              <w:snapToGrid w:val="0"/>
              <w:rPr>
                <w:rFonts w:cs="方正小标宋简体" w:asciiTheme="majorEastAsia" w:hAnsiTheme="majorEastAsia" w:eastAsiaTheme="majorEastAsia"/>
                <w:sz w:val="24"/>
              </w:rPr>
            </w:pPr>
            <w:r>
              <w:rPr>
                <w:rFonts w:hint="eastAsia"/>
              </w:rPr>
              <w:t>中性电极连接电缆</w:t>
            </w:r>
          </w:p>
        </w:tc>
        <w:tc>
          <w:tcPr>
            <w:tcW w:w="2005" w:type="dxa"/>
          </w:tcPr>
          <w:p w14:paraId="2E0CDDD1">
            <w:pPr>
              <w:widowControl/>
              <w:adjustRightInd w:val="0"/>
              <w:snapToGrid w:val="0"/>
              <w:rPr>
                <w:rFonts w:cs="方正小标宋简体" w:asciiTheme="majorEastAsia" w:hAnsiTheme="majorEastAsia"/>
                <w:sz w:val="24"/>
              </w:rPr>
            </w:pPr>
          </w:p>
        </w:tc>
        <w:tc>
          <w:tcPr>
            <w:tcW w:w="1843" w:type="dxa"/>
          </w:tcPr>
          <w:p w14:paraId="53124A01">
            <w:pPr>
              <w:widowControl/>
              <w:adjustRightInd w:val="0"/>
              <w:snapToGrid w:val="0"/>
              <w:rPr>
                <w:rFonts w:cs="方正小标宋简体" w:asciiTheme="majorEastAsia" w:hAnsiTheme="majorEastAsia" w:eastAsiaTheme="majorEastAsia"/>
                <w:sz w:val="24"/>
              </w:rPr>
            </w:pPr>
          </w:p>
        </w:tc>
        <w:tc>
          <w:tcPr>
            <w:tcW w:w="1417" w:type="dxa"/>
          </w:tcPr>
          <w:p w14:paraId="7CA8DC3E">
            <w:pPr>
              <w:widowControl/>
              <w:adjustRightInd w:val="0"/>
              <w:snapToGrid w:val="0"/>
              <w:rPr>
                <w:rFonts w:cs="方正小标宋简体" w:asciiTheme="majorEastAsia" w:hAnsiTheme="majorEastAsia" w:eastAsiaTheme="majorEastAsia"/>
                <w:sz w:val="24"/>
              </w:rPr>
            </w:pPr>
          </w:p>
        </w:tc>
        <w:tc>
          <w:tcPr>
            <w:tcW w:w="1560" w:type="dxa"/>
          </w:tcPr>
          <w:p w14:paraId="7DE1087D">
            <w:pPr>
              <w:widowControl/>
              <w:adjustRightInd w:val="0"/>
              <w:snapToGrid w:val="0"/>
              <w:rPr>
                <w:rFonts w:cs="方正小标宋简体" w:asciiTheme="majorEastAsia" w:hAnsiTheme="majorEastAsia" w:eastAsiaTheme="majorEastAsia"/>
                <w:sz w:val="24"/>
              </w:rPr>
            </w:pPr>
          </w:p>
        </w:tc>
      </w:tr>
      <w:tr w14:paraId="50DE6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1F13C3AD">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3</w:t>
            </w:r>
          </w:p>
        </w:tc>
        <w:tc>
          <w:tcPr>
            <w:tcW w:w="2247" w:type="dxa"/>
          </w:tcPr>
          <w:p w14:paraId="2E00A1B2">
            <w:pPr>
              <w:widowControl/>
              <w:adjustRightInd w:val="0"/>
              <w:snapToGrid w:val="0"/>
              <w:rPr>
                <w:rFonts w:cs="方正小标宋简体" w:asciiTheme="majorEastAsia" w:hAnsiTheme="majorEastAsia" w:eastAsiaTheme="majorEastAsia"/>
                <w:b/>
                <w:bCs/>
                <w:sz w:val="24"/>
              </w:rPr>
            </w:pPr>
            <w:r>
              <w:rPr>
                <w:rFonts w:hint="eastAsia"/>
              </w:rPr>
              <w:t>电源线</w:t>
            </w:r>
          </w:p>
        </w:tc>
        <w:tc>
          <w:tcPr>
            <w:tcW w:w="2005" w:type="dxa"/>
          </w:tcPr>
          <w:p w14:paraId="64B0499E">
            <w:pPr>
              <w:widowControl/>
              <w:adjustRightInd w:val="0"/>
              <w:snapToGrid w:val="0"/>
              <w:rPr>
                <w:rFonts w:cs="方正小标宋简体" w:asciiTheme="majorEastAsia" w:hAnsiTheme="majorEastAsia"/>
                <w:sz w:val="24"/>
              </w:rPr>
            </w:pPr>
          </w:p>
        </w:tc>
        <w:tc>
          <w:tcPr>
            <w:tcW w:w="1843" w:type="dxa"/>
          </w:tcPr>
          <w:p w14:paraId="0BB3FD25">
            <w:pPr>
              <w:widowControl/>
              <w:adjustRightInd w:val="0"/>
              <w:snapToGrid w:val="0"/>
              <w:rPr>
                <w:rFonts w:cs="方正小标宋简体" w:asciiTheme="majorEastAsia" w:hAnsiTheme="majorEastAsia" w:eastAsiaTheme="majorEastAsia"/>
                <w:sz w:val="24"/>
              </w:rPr>
            </w:pPr>
          </w:p>
        </w:tc>
        <w:tc>
          <w:tcPr>
            <w:tcW w:w="1417" w:type="dxa"/>
          </w:tcPr>
          <w:p w14:paraId="5E067571">
            <w:pPr>
              <w:widowControl/>
              <w:adjustRightInd w:val="0"/>
              <w:snapToGrid w:val="0"/>
              <w:rPr>
                <w:rFonts w:cs="方正小标宋简体" w:asciiTheme="majorEastAsia" w:hAnsiTheme="majorEastAsia" w:eastAsiaTheme="majorEastAsia"/>
                <w:sz w:val="24"/>
              </w:rPr>
            </w:pPr>
          </w:p>
        </w:tc>
        <w:tc>
          <w:tcPr>
            <w:tcW w:w="1560" w:type="dxa"/>
          </w:tcPr>
          <w:p w14:paraId="112D8938">
            <w:pPr>
              <w:widowControl/>
              <w:adjustRightInd w:val="0"/>
              <w:snapToGrid w:val="0"/>
              <w:rPr>
                <w:rFonts w:cs="方正小标宋简体" w:asciiTheme="majorEastAsia" w:hAnsiTheme="majorEastAsia" w:eastAsiaTheme="majorEastAsia"/>
                <w:sz w:val="24"/>
              </w:rPr>
            </w:pPr>
          </w:p>
        </w:tc>
      </w:tr>
    </w:tbl>
    <w:p w14:paraId="294BAA85">
      <w:pPr>
        <w:adjustRightInd w:val="0"/>
        <w:snapToGrid w:val="0"/>
        <w:spacing w:line="300" w:lineRule="auto"/>
        <w:jc w:val="center"/>
        <w:rPr>
          <w:rFonts w:asciiTheme="majorEastAsia" w:hAnsiTheme="majorEastAsia" w:eastAsiaTheme="majorEastAsia"/>
          <w:b/>
          <w:sz w:val="24"/>
          <w:szCs w:val="21"/>
        </w:rPr>
      </w:pPr>
    </w:p>
    <w:tbl>
      <w:tblPr>
        <w:tblStyle w:val="11"/>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4014"/>
        <w:gridCol w:w="2545"/>
        <w:gridCol w:w="2545"/>
      </w:tblGrid>
      <w:tr w14:paraId="7F801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992" w:type="dxa"/>
            <w:vAlign w:val="center"/>
          </w:tcPr>
          <w:p w14:paraId="76768A26">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014" w:type="dxa"/>
            <w:vAlign w:val="center"/>
          </w:tcPr>
          <w:p w14:paraId="62F289E5">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545" w:type="dxa"/>
            <w:vAlign w:val="center"/>
          </w:tcPr>
          <w:p w14:paraId="18DB92AC">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545" w:type="dxa"/>
            <w:vAlign w:val="center"/>
          </w:tcPr>
          <w:p w14:paraId="0CB75C0A">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44347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992" w:type="dxa"/>
            <w:vAlign w:val="center"/>
          </w:tcPr>
          <w:p w14:paraId="2EDCA247">
            <w:pPr>
              <w:widowControl/>
              <w:jc w:val="center"/>
              <w:rPr>
                <w:rFonts w:asciiTheme="majorEastAsia" w:hAnsiTheme="majorEastAsia" w:eastAsiaTheme="majorEastAsia"/>
                <w:b/>
                <w:sz w:val="24"/>
              </w:rPr>
            </w:pPr>
            <w:r>
              <w:rPr>
                <w:rFonts w:hint="eastAsia" w:asciiTheme="majorEastAsia" w:hAnsiTheme="majorEastAsia" w:eastAsiaTheme="majorEastAsia"/>
                <w:b w:val="0"/>
                <w:bCs/>
                <w:sz w:val="24"/>
              </w:rPr>
              <w:t>1</w:t>
            </w:r>
          </w:p>
        </w:tc>
        <w:tc>
          <w:tcPr>
            <w:tcW w:w="4014" w:type="dxa"/>
            <w:vAlign w:val="center"/>
          </w:tcPr>
          <w:p w14:paraId="527BF145">
            <w:pPr>
              <w:widowControl/>
              <w:jc w:val="center"/>
              <w:rPr>
                <w:rFonts w:asciiTheme="majorEastAsia" w:hAnsiTheme="majorEastAsia" w:eastAsiaTheme="majorEastAsia"/>
                <w:b/>
                <w:sz w:val="24"/>
              </w:rPr>
            </w:pPr>
          </w:p>
        </w:tc>
        <w:tc>
          <w:tcPr>
            <w:tcW w:w="2545" w:type="dxa"/>
            <w:vAlign w:val="center"/>
          </w:tcPr>
          <w:p w14:paraId="6CB88550">
            <w:pPr>
              <w:widowControl/>
              <w:jc w:val="center"/>
              <w:rPr>
                <w:rFonts w:cs="方正小标宋简体" w:asciiTheme="majorEastAsia" w:hAnsiTheme="majorEastAsia" w:eastAsiaTheme="majorEastAsia"/>
                <w:sz w:val="24"/>
              </w:rPr>
            </w:pPr>
          </w:p>
        </w:tc>
        <w:tc>
          <w:tcPr>
            <w:tcW w:w="2545" w:type="dxa"/>
            <w:vAlign w:val="center"/>
          </w:tcPr>
          <w:p w14:paraId="36B4A983">
            <w:pPr>
              <w:widowControl/>
              <w:jc w:val="center"/>
              <w:rPr>
                <w:rFonts w:cs="方正小标宋简体" w:asciiTheme="majorEastAsia" w:hAnsiTheme="majorEastAsia" w:eastAsiaTheme="majorEastAsia"/>
                <w:sz w:val="24"/>
              </w:rPr>
            </w:pPr>
          </w:p>
        </w:tc>
      </w:tr>
    </w:tbl>
    <w:p w14:paraId="4793C0AE">
      <w:pPr>
        <w:rPr>
          <w:rFonts w:cs="方正小标宋简体" w:asciiTheme="majorEastAsia" w:hAnsiTheme="majorEastAsia" w:eastAsiaTheme="majorEastAsia"/>
          <w:sz w:val="10"/>
          <w:szCs w:val="10"/>
        </w:rPr>
      </w:pPr>
    </w:p>
    <w:tbl>
      <w:tblPr>
        <w:tblStyle w:val="10"/>
        <w:tblW w:w="10378"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34"/>
        <w:gridCol w:w="3152"/>
        <w:gridCol w:w="1741"/>
        <w:gridCol w:w="1753"/>
        <w:gridCol w:w="2698"/>
      </w:tblGrid>
      <w:tr w14:paraId="37E54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8" w:hRule="atLeast"/>
        </w:trPr>
        <w:tc>
          <w:tcPr>
            <w:tcW w:w="1034" w:type="dxa"/>
            <w:shd w:val="clear" w:color="auto" w:fill="auto"/>
            <w:noWrap/>
            <w:vAlign w:val="center"/>
          </w:tcPr>
          <w:p w14:paraId="273162B0">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3A784719">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3152" w:type="dxa"/>
            <w:shd w:val="clear" w:color="auto" w:fill="auto"/>
            <w:vAlign w:val="center"/>
          </w:tcPr>
          <w:p w14:paraId="4D98BEBA">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专机专用耗材(供参考)</w:t>
            </w:r>
          </w:p>
        </w:tc>
        <w:tc>
          <w:tcPr>
            <w:tcW w:w="1741" w:type="dxa"/>
            <w:shd w:val="clear" w:color="auto" w:fill="auto"/>
            <w:vAlign w:val="center"/>
          </w:tcPr>
          <w:p w14:paraId="7633B6D4">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建议规格</w:t>
            </w:r>
          </w:p>
        </w:tc>
        <w:tc>
          <w:tcPr>
            <w:tcW w:w="1753" w:type="dxa"/>
            <w:shd w:val="clear" w:color="auto" w:fill="auto"/>
            <w:vAlign w:val="center"/>
          </w:tcPr>
          <w:p w14:paraId="7B9605EA">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698" w:type="dxa"/>
            <w:shd w:val="clear" w:color="auto" w:fill="auto"/>
            <w:vAlign w:val="center"/>
          </w:tcPr>
          <w:p w14:paraId="127C27B7">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p>
        </w:tc>
      </w:tr>
      <w:tr w14:paraId="07430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6" w:hRule="atLeast"/>
        </w:trPr>
        <w:tc>
          <w:tcPr>
            <w:tcW w:w="1034" w:type="dxa"/>
            <w:shd w:val="clear" w:color="auto" w:fill="auto"/>
            <w:vAlign w:val="center"/>
          </w:tcPr>
          <w:p w14:paraId="213FE676">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3152" w:type="dxa"/>
            <w:shd w:val="clear" w:color="auto" w:fill="auto"/>
            <w:vAlign w:val="center"/>
          </w:tcPr>
          <w:p w14:paraId="6D7F7A37">
            <w:pPr>
              <w:adjustRightInd w:val="0"/>
              <w:snapToGrid w:val="0"/>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一次性使用环形肺动脉射频消融导管</w:t>
            </w:r>
          </w:p>
        </w:tc>
        <w:tc>
          <w:tcPr>
            <w:tcW w:w="1741" w:type="dxa"/>
            <w:shd w:val="clear" w:color="auto" w:fill="auto"/>
            <w:vAlign w:val="center"/>
          </w:tcPr>
          <w:p w14:paraId="7FA493C6">
            <w:pPr>
              <w:adjustRightInd w:val="0"/>
              <w:snapToGrid w:val="0"/>
              <w:jc w:val="center"/>
              <w:rPr>
                <w:rFonts w:hint="default" w:asciiTheme="majorEastAsia" w:hAnsiTheme="majorEastAsia" w:eastAsiaTheme="majorEastAsia"/>
                <w:b/>
                <w:sz w:val="24"/>
                <w:szCs w:val="21"/>
                <w:lang w:val="en-US" w:eastAsia="zh-CN"/>
              </w:rPr>
            </w:pPr>
          </w:p>
        </w:tc>
        <w:tc>
          <w:tcPr>
            <w:tcW w:w="1753" w:type="dxa"/>
            <w:shd w:val="clear" w:color="auto" w:fill="auto"/>
            <w:vAlign w:val="center"/>
          </w:tcPr>
          <w:p w14:paraId="0691CBA4">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5</w:t>
            </w:r>
          </w:p>
        </w:tc>
        <w:tc>
          <w:tcPr>
            <w:tcW w:w="2698" w:type="dxa"/>
            <w:shd w:val="clear" w:color="auto" w:fill="auto"/>
            <w:vAlign w:val="center"/>
          </w:tcPr>
          <w:p w14:paraId="6C308063">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99980</w:t>
            </w:r>
          </w:p>
        </w:tc>
      </w:tr>
    </w:tbl>
    <w:p w14:paraId="24C38D48">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6F17B733">
            <w:pPr>
              <w:pStyle w:val="7"/>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2D9BA5D3">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07F09"/>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4D00"/>
    <w:rsid w:val="000E6D84"/>
    <w:rsid w:val="00100E5F"/>
    <w:rsid w:val="00114A9B"/>
    <w:rsid w:val="00117159"/>
    <w:rsid w:val="00117B29"/>
    <w:rsid w:val="00122AB5"/>
    <w:rsid w:val="00141F0D"/>
    <w:rsid w:val="00147AA8"/>
    <w:rsid w:val="00147DE0"/>
    <w:rsid w:val="00162C8C"/>
    <w:rsid w:val="00164210"/>
    <w:rsid w:val="0017347E"/>
    <w:rsid w:val="00173505"/>
    <w:rsid w:val="001755A1"/>
    <w:rsid w:val="0018628F"/>
    <w:rsid w:val="001943D8"/>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123AC"/>
    <w:rsid w:val="003213BB"/>
    <w:rsid w:val="00321F08"/>
    <w:rsid w:val="00322AE6"/>
    <w:rsid w:val="00326BC1"/>
    <w:rsid w:val="00334AA0"/>
    <w:rsid w:val="00352B55"/>
    <w:rsid w:val="00354F4C"/>
    <w:rsid w:val="00376AC2"/>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11DC2"/>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C41"/>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1F74"/>
    <w:rsid w:val="00996AC8"/>
    <w:rsid w:val="009978E3"/>
    <w:rsid w:val="009A130E"/>
    <w:rsid w:val="009A1DE2"/>
    <w:rsid w:val="009B5AA8"/>
    <w:rsid w:val="009B60D5"/>
    <w:rsid w:val="009E6FD2"/>
    <w:rsid w:val="009F5BF6"/>
    <w:rsid w:val="00A043A8"/>
    <w:rsid w:val="00A0782D"/>
    <w:rsid w:val="00A17D1D"/>
    <w:rsid w:val="00A303A3"/>
    <w:rsid w:val="00A619BE"/>
    <w:rsid w:val="00A903C7"/>
    <w:rsid w:val="00AA4B4A"/>
    <w:rsid w:val="00AA53A0"/>
    <w:rsid w:val="00AA6962"/>
    <w:rsid w:val="00AB2610"/>
    <w:rsid w:val="00AE05BD"/>
    <w:rsid w:val="00AF5FA9"/>
    <w:rsid w:val="00AF69B6"/>
    <w:rsid w:val="00AF7A87"/>
    <w:rsid w:val="00B01564"/>
    <w:rsid w:val="00B06C01"/>
    <w:rsid w:val="00B21F51"/>
    <w:rsid w:val="00B22795"/>
    <w:rsid w:val="00B25EF8"/>
    <w:rsid w:val="00B63890"/>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EF0BF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611217C"/>
    <w:rsid w:val="07A7296C"/>
    <w:rsid w:val="07AE3385"/>
    <w:rsid w:val="07DF03A4"/>
    <w:rsid w:val="08F822DC"/>
    <w:rsid w:val="092B7559"/>
    <w:rsid w:val="0B6E7B0D"/>
    <w:rsid w:val="0B9106DA"/>
    <w:rsid w:val="0F8E7447"/>
    <w:rsid w:val="119B6051"/>
    <w:rsid w:val="12A25084"/>
    <w:rsid w:val="13CD2236"/>
    <w:rsid w:val="142B2292"/>
    <w:rsid w:val="15FB47D0"/>
    <w:rsid w:val="19A66D0D"/>
    <w:rsid w:val="1A385FE8"/>
    <w:rsid w:val="1E12700E"/>
    <w:rsid w:val="20403A43"/>
    <w:rsid w:val="21971856"/>
    <w:rsid w:val="22E10C1D"/>
    <w:rsid w:val="2B252436"/>
    <w:rsid w:val="2FDA5B86"/>
    <w:rsid w:val="302F6C3D"/>
    <w:rsid w:val="34F93B6D"/>
    <w:rsid w:val="359B56E2"/>
    <w:rsid w:val="366D6BB6"/>
    <w:rsid w:val="3EB2662C"/>
    <w:rsid w:val="445F60B6"/>
    <w:rsid w:val="4937272B"/>
    <w:rsid w:val="4E280CF3"/>
    <w:rsid w:val="4EB86185"/>
    <w:rsid w:val="52B922B6"/>
    <w:rsid w:val="54211C37"/>
    <w:rsid w:val="566D4594"/>
    <w:rsid w:val="56AF7743"/>
    <w:rsid w:val="56FE28A5"/>
    <w:rsid w:val="578C12AD"/>
    <w:rsid w:val="57E702C9"/>
    <w:rsid w:val="58242AE0"/>
    <w:rsid w:val="58AB396B"/>
    <w:rsid w:val="59AE1B05"/>
    <w:rsid w:val="5A184598"/>
    <w:rsid w:val="5BDE3A84"/>
    <w:rsid w:val="5C483C8E"/>
    <w:rsid w:val="5DA003A8"/>
    <w:rsid w:val="5DA2537A"/>
    <w:rsid w:val="663B31C1"/>
    <w:rsid w:val="66AC0259"/>
    <w:rsid w:val="6AFD60D5"/>
    <w:rsid w:val="6D10486A"/>
    <w:rsid w:val="6F3DA4FF"/>
    <w:rsid w:val="6F633413"/>
    <w:rsid w:val="6F9E571F"/>
    <w:rsid w:val="73374A1C"/>
    <w:rsid w:val="738F7392"/>
    <w:rsid w:val="762C283F"/>
    <w:rsid w:val="767D5D1E"/>
    <w:rsid w:val="76E03ABB"/>
    <w:rsid w:val="7A6F030F"/>
    <w:rsid w:val="7A8916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unhideWhenUsed/>
    <w:qFormat/>
    <w:uiPriority w:val="99"/>
    <w:pPr>
      <w:jc w:val="left"/>
    </w:pPr>
  </w:style>
  <w:style w:type="paragraph" w:styleId="4">
    <w:name w:val="Body Text"/>
    <w:basedOn w:val="1"/>
    <w:link w:val="23"/>
    <w:qFormat/>
    <w:uiPriority w:val="0"/>
    <w:pPr>
      <w:adjustRightInd w:val="0"/>
      <w:snapToGrid w:val="0"/>
      <w:spacing w:line="500" w:lineRule="atLeast"/>
    </w:pPr>
    <w:rPr>
      <w:rFonts w:ascii="宋体"/>
      <w:bCs/>
      <w:sz w:val="28"/>
    </w:rPr>
  </w:style>
  <w:style w:type="paragraph" w:styleId="5">
    <w:name w:val="Plain Text"/>
    <w:basedOn w:val="1"/>
    <w:link w:val="18"/>
    <w:unhideWhenUsed/>
    <w:qFormat/>
    <w:uiPriority w:val="99"/>
    <w:rPr>
      <w:rFonts w:ascii="宋体" w:hAnsi="Courier New" w:cs="Courier New"/>
      <w:szCs w:val="21"/>
    </w:rPr>
  </w:style>
  <w:style w:type="paragraph" w:styleId="6">
    <w:name w:val="Balloon Text"/>
    <w:basedOn w:val="1"/>
    <w:link w:val="20"/>
    <w:semiHidden/>
    <w:unhideWhenUsed/>
    <w:qFormat/>
    <w:uiPriority w:val="99"/>
    <w:rPr>
      <w:sz w:val="18"/>
      <w:szCs w:val="18"/>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2"/>
    <w:semiHidden/>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rFonts w:ascii="Tahoma" w:hAnsi="Tahoma" w:eastAsia="宋体"/>
      <w:b/>
      <w:bCs/>
      <w:spacing w:val="10"/>
      <w:kern w:val="2"/>
      <w:sz w:val="24"/>
      <w:szCs w:val="24"/>
      <w:lang w:val="en-US" w:eastAsia="zh-CN" w:bidi="ar-SA"/>
    </w:rPr>
  </w:style>
  <w:style w:type="character" w:styleId="14">
    <w:name w:val="annotation reference"/>
    <w:basedOn w:val="12"/>
    <w:semiHidden/>
    <w:unhideWhenUsed/>
    <w:qFormat/>
    <w:uiPriority w:val="99"/>
    <w:rPr>
      <w:sz w:val="21"/>
      <w:szCs w:val="21"/>
    </w:rPr>
  </w:style>
  <w:style w:type="character" w:customStyle="1" w:styleId="15">
    <w:name w:val="页眉 Char"/>
    <w:basedOn w:val="12"/>
    <w:link w:val="8"/>
    <w:qFormat/>
    <w:uiPriority w:val="99"/>
    <w:rPr>
      <w:sz w:val="18"/>
      <w:szCs w:val="18"/>
    </w:rPr>
  </w:style>
  <w:style w:type="character" w:customStyle="1" w:styleId="16">
    <w:name w:val="页脚 Char"/>
    <w:basedOn w:val="12"/>
    <w:link w:val="7"/>
    <w:qFormat/>
    <w:uiPriority w:val="99"/>
    <w:rPr>
      <w:sz w:val="18"/>
      <w:szCs w:val="18"/>
    </w:rPr>
  </w:style>
  <w:style w:type="paragraph" w:styleId="17">
    <w:name w:val="List Paragraph"/>
    <w:basedOn w:val="1"/>
    <w:qFormat/>
    <w:uiPriority w:val="34"/>
    <w:pPr>
      <w:ind w:firstLine="420" w:firstLineChars="200"/>
    </w:pPr>
  </w:style>
  <w:style w:type="character" w:customStyle="1" w:styleId="18">
    <w:name w:val="纯文本 Char"/>
    <w:basedOn w:val="12"/>
    <w:link w:val="5"/>
    <w:qFormat/>
    <w:uiPriority w:val="99"/>
    <w:rPr>
      <w:rFonts w:ascii="宋体" w:hAnsi="Courier New" w:eastAsia="宋体" w:cs="Courier New"/>
      <w:szCs w:val="21"/>
    </w:rPr>
  </w:style>
  <w:style w:type="paragraph" w:customStyle="1" w:styleId="19">
    <w:name w:val="样式1 Char Char"/>
    <w:basedOn w:val="1"/>
    <w:next w:val="5"/>
    <w:qFormat/>
    <w:uiPriority w:val="0"/>
    <w:pPr>
      <w:spacing w:line="360" w:lineRule="auto"/>
      <w:ind w:firstLine="516" w:firstLineChars="215"/>
    </w:pPr>
    <w:rPr>
      <w:sz w:val="24"/>
    </w:rPr>
  </w:style>
  <w:style w:type="character" w:customStyle="1" w:styleId="20">
    <w:name w:val="批注框文本 Char"/>
    <w:basedOn w:val="12"/>
    <w:link w:val="6"/>
    <w:semiHidden/>
    <w:qFormat/>
    <w:uiPriority w:val="99"/>
    <w:rPr>
      <w:rFonts w:ascii="Times New Roman" w:hAnsi="Times New Roman" w:eastAsia="宋体" w:cs="Times New Roman"/>
      <w:kern w:val="2"/>
      <w:sz w:val="18"/>
      <w:szCs w:val="18"/>
    </w:rPr>
  </w:style>
  <w:style w:type="character" w:customStyle="1" w:styleId="21">
    <w:name w:val="批注文字 Char"/>
    <w:basedOn w:val="12"/>
    <w:link w:val="3"/>
    <w:qFormat/>
    <w:uiPriority w:val="99"/>
    <w:rPr>
      <w:rFonts w:ascii="Times New Roman" w:hAnsi="Times New Roman" w:eastAsia="宋体" w:cs="Times New Roman"/>
      <w:kern w:val="2"/>
      <w:sz w:val="21"/>
      <w:szCs w:val="24"/>
    </w:rPr>
  </w:style>
  <w:style w:type="character" w:customStyle="1" w:styleId="22">
    <w:name w:val="批注主题 Char"/>
    <w:basedOn w:val="21"/>
    <w:link w:val="9"/>
    <w:semiHidden/>
    <w:qFormat/>
    <w:uiPriority w:val="99"/>
    <w:rPr>
      <w:rFonts w:ascii="Times New Roman" w:hAnsi="Times New Roman" w:eastAsia="宋体" w:cs="Times New Roman"/>
      <w:b/>
      <w:bCs/>
      <w:kern w:val="2"/>
      <w:sz w:val="21"/>
      <w:szCs w:val="24"/>
    </w:rPr>
  </w:style>
  <w:style w:type="character" w:customStyle="1" w:styleId="23">
    <w:name w:val="正文文本 Char"/>
    <w:basedOn w:val="12"/>
    <w:link w:val="4"/>
    <w:qFormat/>
    <w:uiPriority w:val="0"/>
    <w:rPr>
      <w:rFonts w:ascii="宋体" w:hAnsi="Times New Roman" w:eastAsia="宋体" w:cs="Times New Roman"/>
      <w:bCs/>
      <w:kern w:val="2"/>
      <w:sz w:val="28"/>
      <w:szCs w:val="24"/>
    </w:rPr>
  </w:style>
  <w:style w:type="paragraph" w:customStyle="1" w:styleId="24">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table" w:customStyle="1" w:styleId="25">
    <w:name w:val="Table Normal"/>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5287</Words>
  <Characters>5521</Characters>
  <Lines>39</Lines>
  <Paragraphs>11</Paragraphs>
  <TotalTime>0</TotalTime>
  <ScaleCrop>false</ScaleCrop>
  <LinksUpToDate>false</LinksUpToDate>
  <CharactersWithSpaces>5609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2025-06-13T13:20:00Z</dcterms:created>
  <dc:creator>陈蕾</dc:creator>
  <cp:lastModifiedBy>5J1</cp:lastModifiedBy>
  <cp:lastPrinted>2025-09-02T02:51:00Z</cp:lastPrinted>
  <dcterms:modified xsi:type="dcterms:W3CDTF">2026-04-14T02:37:02Z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eyJoZGlkIjoiZDI0NjZlNzU2NTJmNmJhY2FhMzg3MGIyZDZiY2MwYWQiLCJ1c2VySWQiOiI0MDk2MjcxNDUifQ==</vt:lpwstr>
  </property>
  <property fmtid="{D5CDD505-2E9C-101B-9397-08002B2CF9AE}" pid="4" name="ICV">
    <vt:lpwstr>CF57E7C3ACB44DD0A628AD247EA7463D_13</vt:lpwstr>
  </property>
</Properties>
</file>