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6A295">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60BC499D">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E82479A">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754A6BC7">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61691DCB">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35EEF184">
      <w:pPr>
        <w:spacing w:before="100" w:beforeAutospacing="1" w:line="276" w:lineRule="auto"/>
        <w:ind w:firstLine="723" w:firstLineChars="3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 心血管内科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773"/>
        <w:gridCol w:w="786"/>
        <w:gridCol w:w="64"/>
        <w:gridCol w:w="426"/>
        <w:gridCol w:w="425"/>
        <w:gridCol w:w="219"/>
        <w:gridCol w:w="773"/>
        <w:gridCol w:w="142"/>
        <w:gridCol w:w="992"/>
        <w:gridCol w:w="1195"/>
        <w:gridCol w:w="790"/>
        <w:gridCol w:w="1062"/>
      </w:tblGrid>
      <w:tr w14:paraId="62D0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268CCD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tcPr>
          <w:p w14:paraId="379D0E7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4"/>
          </w:tcPr>
          <w:p w14:paraId="0DF8090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7C21E17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2187" w:type="dxa"/>
            <w:gridSpan w:val="2"/>
          </w:tcPr>
          <w:p w14:paraId="0DE4988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852" w:type="dxa"/>
            <w:gridSpan w:val="2"/>
          </w:tcPr>
          <w:p w14:paraId="60A590B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42B0A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0226D0BB">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血管内超声诊断仪</w:t>
            </w:r>
          </w:p>
        </w:tc>
        <w:tc>
          <w:tcPr>
            <w:tcW w:w="1559" w:type="dxa"/>
            <w:gridSpan w:val="2"/>
            <w:vAlign w:val="center"/>
          </w:tcPr>
          <w:p w14:paraId="731BD240">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4"/>
            <w:vAlign w:val="center"/>
          </w:tcPr>
          <w:p w14:paraId="777A1B96">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77705F2A">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2187" w:type="dxa"/>
            <w:gridSpan w:val="2"/>
          </w:tcPr>
          <w:p w14:paraId="514F89EC">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0.15</w:t>
            </w:r>
          </w:p>
        </w:tc>
        <w:tc>
          <w:tcPr>
            <w:tcW w:w="1852" w:type="dxa"/>
            <w:gridSpan w:val="2"/>
            <w:vAlign w:val="center"/>
          </w:tcPr>
          <w:p w14:paraId="6E5AFFAC">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0.15</w:t>
            </w:r>
          </w:p>
        </w:tc>
      </w:tr>
      <w:tr w14:paraId="6362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1DA4199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0AC0825C">
            <w:pPr>
              <w:ind w:firstLine="480" w:firstLineChars="200"/>
              <w:rPr>
                <w:rFonts w:asciiTheme="majorEastAsia" w:hAnsiTheme="majorEastAsia" w:eastAsiaTheme="majorEastAsia"/>
                <w:sz w:val="24"/>
                <w:szCs w:val="21"/>
              </w:rPr>
            </w:pPr>
            <w:r>
              <w:rPr>
                <w:rFonts w:hint="eastAsia" w:asciiTheme="majorEastAsia" w:hAnsiTheme="majorEastAsia" w:eastAsiaTheme="majorEastAsia"/>
                <w:sz w:val="24"/>
                <w:szCs w:val="21"/>
              </w:rPr>
              <w:t>冠心病是我国发病率和致死率最高的疾病之一, 我国现有冠心病患者1288万人，2023年有129.4万人接受冠脉介入治疗手术，造成的社会和经济负担日益严重，已成为重大公共卫生问题。术中应用血管造影机对患者行冠状动脉血管造影是诊断冠心病的常规方法，而大型临床研究显示基于冠脉造影的解剖结构学评估方法误诊漏诊率高。目前国内外冠心病诊治指南均将冠脉生理学方法作为评估冠心病患者冠脉狭窄是否导致心肌缺血的“金标准”。然而，由于传统有创的生理学评估，需要有创介入，使用高值耗材（压力导丝，主要依赖进口，每根价格约1万元），存在损伤血管的风险；需要联合使用腺苷/ATP等血管扩张药物，存在一定副作用；使用场景有限且适用范围窄，腺苷禁忌症等患者无法使用，操作复杂、学习曲线较长等；国内使用比例不足1%，极大限制了冠脉生理学在临床的普及和应用。</w:t>
            </w:r>
          </w:p>
          <w:p w14:paraId="59DBB45F">
            <w:pPr>
              <w:ind w:firstLine="480" w:firstLineChars="200"/>
              <w:rPr>
                <w:rFonts w:asciiTheme="majorEastAsia" w:hAnsiTheme="majorEastAsia" w:eastAsiaTheme="majorEastAsia"/>
                <w:sz w:val="24"/>
                <w:szCs w:val="21"/>
              </w:rPr>
            </w:pPr>
            <w:r>
              <w:rPr>
                <w:rFonts w:hint="eastAsia" w:asciiTheme="majorEastAsia" w:hAnsiTheme="majorEastAsia" w:eastAsiaTheme="majorEastAsia"/>
                <w:sz w:val="24"/>
                <w:szCs w:val="21"/>
              </w:rPr>
              <w:t>并且随着冠脉介入PCI手术量的攀升，</w:t>
            </w:r>
            <w:bookmarkStart w:id="0" w:name="_Hlk161231604"/>
            <w:r>
              <w:rPr>
                <w:rFonts w:hint="eastAsia" w:asciiTheme="majorEastAsia" w:hAnsiTheme="majorEastAsia" w:eastAsiaTheme="majorEastAsia"/>
                <w:sz w:val="24"/>
                <w:szCs w:val="21"/>
              </w:rPr>
              <w:t>如何进一步提高PCI质量，提升患者预后</w:t>
            </w:r>
            <w:bookmarkEnd w:id="0"/>
            <w:r>
              <w:rPr>
                <w:rFonts w:hint="eastAsia" w:asciiTheme="majorEastAsia" w:hAnsiTheme="majorEastAsia" w:eastAsiaTheme="majorEastAsia"/>
                <w:sz w:val="24"/>
                <w:szCs w:val="21"/>
              </w:rPr>
              <w:t>，成为介入技术发展的关键。腔内影像技术凭借其极高的分辨率，一直被视为辅助临床研究的理想工具，血管内超声（IVUS）在介入手术中应用的有效性、安全性得到了越来越多专家的认可，其在优化经皮冠状动脉介入治疗效果以及在特殊病变中的应用价值也越来越多地得到临床的证实。2023年欧洲心脏病学会年会（European Society of Cardiology，ESC）重磅发布--腔内影像技术指导PCI荟萃分析研究结果，使用腔内影像优化PCI治疗的长期获益明显，靶病变失败的主要综合结果减少31%，心脏相关死亡减少46%，靶血管心肌梗死减少20%，靶病变血运重建减少29%，支架血栓形成减少52%。因此，血管内超声成像技术在心血管疾病诊断和治疗中发挥着越来越重要的作用。</w:t>
            </w:r>
          </w:p>
          <w:p w14:paraId="1E1417D4">
            <w:pPr>
              <w:ind w:firstLine="480" w:firstLineChars="200"/>
              <w:rPr>
                <w:rFonts w:asciiTheme="majorEastAsia" w:hAnsiTheme="majorEastAsia" w:eastAsiaTheme="majorEastAsia"/>
                <w:sz w:val="24"/>
                <w:szCs w:val="21"/>
              </w:rPr>
            </w:pPr>
            <w:r>
              <w:rPr>
                <w:rFonts w:hint="eastAsia" w:asciiTheme="majorEastAsia" w:hAnsiTheme="majorEastAsia" w:eastAsiaTheme="majorEastAsia"/>
                <w:sz w:val="24"/>
                <w:szCs w:val="21"/>
              </w:rPr>
              <w:t>同时随着IVUS技术的发展，目前IVUS检查对于PCI诊疗的指导价值越来越高，基本成为PCI难以或缺的辅助诊断工具。尤其是随着IVUS检查图像智能后处理以及基于IVUS图像的功能学评估技术的问世，让IVUS检查的应用价值越来越高，但同时也带来越来越多的临床问题，比如什么情况下需要使用IVUS检查，PCI术后效果不理想如何使用IVUS进行指导，CTO病变再开通过程中IVUS检查的临床价值等等也都需要更多的临床试验来探究最终的临床获益，来帮助临床更好的制定规范化的IVUS检查临床路径。</w:t>
            </w:r>
          </w:p>
          <w:p w14:paraId="11C127EC">
            <w:pPr>
              <w:ind w:firstLine="480" w:firstLineChars="200"/>
              <w:rPr>
                <w:rFonts w:asciiTheme="majorEastAsia" w:hAnsiTheme="majorEastAsia" w:eastAsiaTheme="majorEastAsia"/>
                <w:sz w:val="24"/>
                <w:szCs w:val="21"/>
              </w:rPr>
            </w:pPr>
            <w:r>
              <w:rPr>
                <w:rFonts w:hint="eastAsia" w:asciiTheme="majorEastAsia" w:hAnsiTheme="majorEastAsia" w:eastAsiaTheme="majorEastAsia"/>
                <w:sz w:val="24"/>
                <w:szCs w:val="21"/>
              </w:rPr>
              <w:t>本项目旨在为我院心血管科引进更加先进的血管内超声设备，提升心血管疾病诊断和治疗水平，提高医疗服务质量，满足患者对高品质医疗资源的需求。</w:t>
            </w:r>
          </w:p>
          <w:p w14:paraId="52C97376">
            <w:pPr>
              <w:ind w:firstLine="480" w:firstLineChars="200"/>
              <w:rPr>
                <w:rFonts w:asciiTheme="majorEastAsia" w:hAnsiTheme="majorEastAsia" w:eastAsiaTheme="majorEastAsia"/>
                <w:sz w:val="24"/>
                <w:szCs w:val="21"/>
              </w:rPr>
            </w:pPr>
            <w:r>
              <w:rPr>
                <w:rFonts w:hint="eastAsia" w:asciiTheme="majorEastAsia" w:hAnsiTheme="majorEastAsia" w:eastAsiaTheme="majorEastAsia"/>
                <w:sz w:val="24"/>
                <w:szCs w:val="21"/>
              </w:rPr>
              <w:t>此外，通过开展临床科研，医院可以在学术界树立良好的声誉，提高医院的学术水平和影响力。这有助于医院吸引优秀的医疗人才、增加患者信任度，提升医院整体竞争力。</w:t>
            </w:r>
          </w:p>
        </w:tc>
      </w:tr>
      <w:tr w14:paraId="6618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22A44741">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72AC6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EF98A7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412" w:type="dxa"/>
            <w:gridSpan w:val="3"/>
            <w:vAlign w:val="center"/>
          </w:tcPr>
          <w:p w14:paraId="643BE7D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3A4709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26" w:type="dxa"/>
            <w:vAlign w:val="center"/>
          </w:tcPr>
          <w:p w14:paraId="187938B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24C56EA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37487E2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71AABF9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195" w:type="dxa"/>
            <w:vAlign w:val="center"/>
          </w:tcPr>
          <w:p w14:paraId="735424C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790" w:type="dxa"/>
            <w:vAlign w:val="center"/>
          </w:tcPr>
          <w:p w14:paraId="1A7C5C4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F1FE0C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EA8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631" w:type="dxa"/>
            <w:vAlign w:val="center"/>
          </w:tcPr>
          <w:p w14:paraId="3018C50D">
            <w:pPr>
              <w:spacing w:line="240" w:lineRule="exact"/>
              <w:jc w:val="center"/>
              <w:rPr>
                <w:rFonts w:asciiTheme="majorEastAsia" w:hAnsiTheme="majorEastAsia" w:eastAsiaTheme="majorEastAsia"/>
                <w:bCs/>
                <w:sz w:val="24"/>
                <w:szCs w:val="21"/>
              </w:rPr>
            </w:pPr>
            <w:bookmarkStart w:id="1" w:name="_Hlk207698214"/>
            <w:r>
              <w:rPr>
                <w:rFonts w:hint="eastAsia" w:asciiTheme="majorEastAsia" w:hAnsiTheme="majorEastAsia" w:eastAsiaTheme="majorEastAsia"/>
                <w:bCs/>
                <w:sz w:val="24"/>
                <w:szCs w:val="21"/>
              </w:rPr>
              <w:t>1</w:t>
            </w:r>
          </w:p>
        </w:tc>
        <w:tc>
          <w:tcPr>
            <w:tcW w:w="3412" w:type="dxa"/>
            <w:gridSpan w:val="3"/>
            <w:vAlign w:val="center"/>
          </w:tcPr>
          <w:p w14:paraId="3B5A7B37">
            <w:pPr>
              <w:spacing w:line="240" w:lineRule="exact"/>
              <w:jc w:val="center"/>
              <w:rPr>
                <w:rFonts w:asciiTheme="majorEastAsia" w:hAnsiTheme="majorEastAsia" w:eastAsiaTheme="majorEastAsia"/>
                <w:bCs/>
                <w:sz w:val="24"/>
                <w:szCs w:val="21"/>
              </w:rPr>
            </w:pPr>
            <w:r>
              <w:rPr>
                <w:rFonts w:hint="eastAsia"/>
                <w:bCs/>
                <w:sz w:val="24"/>
              </w:rPr>
              <w:t>血管内超声诊断仪</w:t>
            </w:r>
          </w:p>
        </w:tc>
        <w:tc>
          <w:tcPr>
            <w:tcW w:w="850" w:type="dxa"/>
            <w:gridSpan w:val="2"/>
            <w:vAlign w:val="center"/>
          </w:tcPr>
          <w:p w14:paraId="5B7ECB3C">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vAlign w:val="center"/>
          </w:tcPr>
          <w:p w14:paraId="5E1ED6FE">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vAlign w:val="center"/>
          </w:tcPr>
          <w:p w14:paraId="7FBABD73">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992" w:type="dxa"/>
            <w:gridSpan w:val="2"/>
            <w:vMerge w:val="restart"/>
            <w:vAlign w:val="center"/>
          </w:tcPr>
          <w:p w14:paraId="5FC4236C">
            <w:pPr>
              <w:spacing w:line="240" w:lineRule="exact"/>
              <w:jc w:val="center"/>
              <w:rPr>
                <w:rFonts w:hint="default" w:asciiTheme="majorEastAsia" w:hAnsiTheme="majorEastAsia" w:eastAsiaTheme="majorEastAsia"/>
                <w:bCs/>
                <w:sz w:val="24"/>
                <w:szCs w:val="21"/>
                <w:lang w:val="en-US" w:eastAsia="zh-CN"/>
              </w:rPr>
            </w:pPr>
            <w:r>
              <w:rPr>
                <w:rFonts w:hint="eastAsia" w:asciiTheme="majorEastAsia" w:hAnsiTheme="majorEastAsia" w:eastAsiaTheme="majorEastAsia"/>
                <w:bCs/>
                <w:sz w:val="24"/>
                <w:szCs w:val="21"/>
                <w:lang w:val="en-US" w:eastAsia="zh-CN"/>
              </w:rPr>
              <w:t>0.15</w:t>
            </w:r>
          </w:p>
        </w:tc>
        <w:tc>
          <w:tcPr>
            <w:tcW w:w="1134" w:type="dxa"/>
            <w:gridSpan w:val="2"/>
            <w:vMerge w:val="restart"/>
            <w:vAlign w:val="center"/>
          </w:tcPr>
          <w:p w14:paraId="5C518565">
            <w:pPr>
              <w:spacing w:line="240" w:lineRule="exact"/>
              <w:jc w:val="center"/>
              <w:rPr>
                <w:rFonts w:hint="default" w:asciiTheme="majorEastAsia" w:hAnsiTheme="majorEastAsia" w:eastAsiaTheme="majorEastAsia"/>
                <w:bCs/>
                <w:sz w:val="24"/>
                <w:szCs w:val="21"/>
                <w:lang w:val="en-US" w:eastAsia="zh-CN"/>
              </w:rPr>
            </w:pPr>
            <w:r>
              <w:rPr>
                <w:rFonts w:hint="eastAsia" w:asciiTheme="majorEastAsia" w:hAnsiTheme="majorEastAsia" w:eastAsiaTheme="majorEastAsia"/>
                <w:bCs/>
                <w:sz w:val="24"/>
                <w:szCs w:val="21"/>
                <w:lang w:val="en-US" w:eastAsia="zh-CN"/>
              </w:rPr>
              <w:t>0.15</w:t>
            </w:r>
          </w:p>
        </w:tc>
        <w:tc>
          <w:tcPr>
            <w:tcW w:w="1195" w:type="dxa"/>
            <w:vAlign w:val="center"/>
          </w:tcPr>
          <w:p w14:paraId="7A5BCB7D">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c>
          <w:tcPr>
            <w:tcW w:w="790" w:type="dxa"/>
            <w:vAlign w:val="center"/>
          </w:tcPr>
          <w:p w14:paraId="0433D6A5">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231ADFE5">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042B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1" w:type="dxa"/>
            <w:vAlign w:val="center"/>
          </w:tcPr>
          <w:p w14:paraId="54E434EB">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2</w:t>
            </w:r>
          </w:p>
        </w:tc>
        <w:tc>
          <w:tcPr>
            <w:tcW w:w="3412" w:type="dxa"/>
            <w:gridSpan w:val="3"/>
            <w:shd w:val="clear" w:color="auto" w:fill="auto"/>
          </w:tcPr>
          <w:p w14:paraId="790271D4">
            <w:pPr>
              <w:pStyle w:val="24"/>
              <w:spacing w:line="240" w:lineRule="exact"/>
              <w:ind w:firstLine="0" w:firstLineChars="0"/>
              <w:jc w:val="center"/>
              <w:rPr>
                <w:bCs/>
                <w:sz w:val="24"/>
              </w:rPr>
            </w:pPr>
            <w:r>
              <w:rPr>
                <w:rFonts w:hint="eastAsia"/>
                <w:bCs/>
                <w:sz w:val="24"/>
              </w:rPr>
              <w:t>推车设备</w:t>
            </w:r>
          </w:p>
        </w:tc>
        <w:tc>
          <w:tcPr>
            <w:tcW w:w="850" w:type="dxa"/>
            <w:gridSpan w:val="2"/>
            <w:vAlign w:val="center"/>
          </w:tcPr>
          <w:p w14:paraId="60653A61">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vAlign w:val="center"/>
          </w:tcPr>
          <w:p w14:paraId="2CC6CE5E">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vAlign w:val="center"/>
          </w:tcPr>
          <w:p w14:paraId="1F871D4B">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台</w:t>
            </w:r>
          </w:p>
        </w:tc>
        <w:tc>
          <w:tcPr>
            <w:tcW w:w="992" w:type="dxa"/>
            <w:gridSpan w:val="2"/>
            <w:vMerge w:val="continue"/>
            <w:vAlign w:val="center"/>
          </w:tcPr>
          <w:p w14:paraId="2FAD5054">
            <w:pPr>
              <w:spacing w:line="240" w:lineRule="exact"/>
              <w:jc w:val="center"/>
              <w:rPr>
                <w:rFonts w:asciiTheme="majorEastAsia" w:hAnsiTheme="majorEastAsia" w:eastAsiaTheme="majorEastAsia"/>
                <w:bCs/>
                <w:sz w:val="24"/>
                <w:szCs w:val="21"/>
              </w:rPr>
            </w:pPr>
          </w:p>
        </w:tc>
        <w:tc>
          <w:tcPr>
            <w:tcW w:w="1134" w:type="dxa"/>
            <w:gridSpan w:val="2"/>
            <w:vMerge w:val="continue"/>
            <w:vAlign w:val="center"/>
          </w:tcPr>
          <w:p w14:paraId="2D443310">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0180011E">
            <w:pPr>
              <w:spacing w:line="240" w:lineRule="exact"/>
              <w:jc w:val="center"/>
              <w:rPr>
                <w:rFonts w:hint="default" w:asciiTheme="majorEastAsia" w:hAnsiTheme="majorEastAsia" w:eastAsiaTheme="majorEastAsia"/>
                <w:bCs/>
                <w:sz w:val="24"/>
                <w:szCs w:val="21"/>
                <w:lang w:val="en-US" w:eastAsia="zh-CN"/>
              </w:rPr>
            </w:pPr>
            <w:r>
              <w:rPr>
                <w:rFonts w:hint="eastAsia" w:asciiTheme="majorEastAsia" w:hAnsiTheme="majorEastAsia" w:eastAsiaTheme="majorEastAsia"/>
                <w:bCs/>
                <w:sz w:val="24"/>
                <w:szCs w:val="21"/>
                <w:lang w:val="en-US" w:eastAsia="zh-CN"/>
              </w:rPr>
              <w:t>据实填报</w:t>
            </w:r>
          </w:p>
        </w:tc>
        <w:tc>
          <w:tcPr>
            <w:tcW w:w="790" w:type="dxa"/>
            <w:vAlign w:val="center"/>
          </w:tcPr>
          <w:p w14:paraId="1BB6161D">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192D4B90">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251A0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DDEE41C">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3</w:t>
            </w:r>
          </w:p>
        </w:tc>
        <w:tc>
          <w:tcPr>
            <w:tcW w:w="3412" w:type="dxa"/>
            <w:gridSpan w:val="3"/>
            <w:shd w:val="clear" w:color="auto" w:fill="auto"/>
          </w:tcPr>
          <w:p w14:paraId="6A79D2F0">
            <w:pPr>
              <w:pStyle w:val="24"/>
              <w:spacing w:line="240" w:lineRule="exact"/>
              <w:ind w:firstLine="0" w:firstLineChars="0"/>
              <w:jc w:val="center"/>
              <w:rPr>
                <w:bCs/>
                <w:sz w:val="24"/>
              </w:rPr>
            </w:pPr>
            <w:r>
              <w:rPr>
                <w:rFonts w:hint="eastAsia"/>
                <w:bCs/>
                <w:sz w:val="24"/>
              </w:rPr>
              <w:t>医学显示器</w:t>
            </w:r>
          </w:p>
        </w:tc>
        <w:tc>
          <w:tcPr>
            <w:tcW w:w="850" w:type="dxa"/>
            <w:gridSpan w:val="2"/>
            <w:vAlign w:val="center"/>
          </w:tcPr>
          <w:p w14:paraId="2AD57532">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vAlign w:val="center"/>
          </w:tcPr>
          <w:p w14:paraId="4187C0D8">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vAlign w:val="center"/>
          </w:tcPr>
          <w:p w14:paraId="3E50FE80">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2" w:type="dxa"/>
            <w:gridSpan w:val="2"/>
            <w:vMerge w:val="continue"/>
            <w:shd w:val="clear" w:color="auto" w:fill="auto"/>
            <w:vAlign w:val="center"/>
          </w:tcPr>
          <w:p w14:paraId="459D6129">
            <w:pPr>
              <w:spacing w:line="240" w:lineRule="exact"/>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005DE2FF">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197B55EB">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790" w:type="dxa"/>
            <w:vAlign w:val="center"/>
          </w:tcPr>
          <w:p w14:paraId="4F3275E2">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35D4CBF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7F4F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91A6AA4">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4</w:t>
            </w:r>
          </w:p>
        </w:tc>
        <w:tc>
          <w:tcPr>
            <w:tcW w:w="3412" w:type="dxa"/>
            <w:gridSpan w:val="3"/>
            <w:shd w:val="clear" w:color="auto" w:fill="auto"/>
          </w:tcPr>
          <w:p w14:paraId="3C7FDD92">
            <w:pPr>
              <w:pStyle w:val="24"/>
              <w:spacing w:line="240" w:lineRule="exact"/>
              <w:ind w:firstLine="0" w:firstLineChars="0"/>
              <w:jc w:val="center"/>
              <w:rPr>
                <w:bCs/>
                <w:sz w:val="24"/>
              </w:rPr>
            </w:pPr>
            <w:r>
              <w:rPr>
                <w:rFonts w:hint="eastAsia"/>
                <w:bCs/>
                <w:sz w:val="24"/>
              </w:rPr>
              <w:t>IVUS导管驱动单元</w:t>
            </w:r>
          </w:p>
        </w:tc>
        <w:tc>
          <w:tcPr>
            <w:tcW w:w="850" w:type="dxa"/>
            <w:gridSpan w:val="2"/>
            <w:vAlign w:val="center"/>
          </w:tcPr>
          <w:p w14:paraId="5AB334A9">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vAlign w:val="center"/>
          </w:tcPr>
          <w:p w14:paraId="79F836BA">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vAlign w:val="center"/>
          </w:tcPr>
          <w:p w14:paraId="122E6081">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2" w:type="dxa"/>
            <w:gridSpan w:val="2"/>
            <w:vMerge w:val="continue"/>
            <w:shd w:val="clear" w:color="auto" w:fill="auto"/>
            <w:vAlign w:val="center"/>
          </w:tcPr>
          <w:p w14:paraId="1A36145A">
            <w:pPr>
              <w:spacing w:line="240" w:lineRule="exact"/>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4FE26C91">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170884BF">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790" w:type="dxa"/>
            <w:vAlign w:val="center"/>
          </w:tcPr>
          <w:p w14:paraId="774DE658">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59ECCBBA">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45551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D7D38FB">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5</w:t>
            </w:r>
          </w:p>
        </w:tc>
        <w:tc>
          <w:tcPr>
            <w:tcW w:w="3412" w:type="dxa"/>
            <w:gridSpan w:val="3"/>
            <w:shd w:val="clear" w:color="auto" w:fill="auto"/>
          </w:tcPr>
          <w:p w14:paraId="307A40C1">
            <w:pPr>
              <w:pStyle w:val="24"/>
              <w:spacing w:line="240" w:lineRule="exact"/>
              <w:ind w:firstLine="0" w:firstLineChars="0"/>
              <w:jc w:val="center"/>
              <w:rPr>
                <w:bCs/>
                <w:sz w:val="24"/>
              </w:rPr>
            </w:pPr>
            <w:r>
              <w:rPr>
                <w:rFonts w:hint="eastAsia"/>
                <w:bCs/>
                <w:sz w:val="24"/>
              </w:rPr>
              <w:t>超静音信号处理驱动单元 iCDU</w:t>
            </w:r>
          </w:p>
        </w:tc>
        <w:tc>
          <w:tcPr>
            <w:tcW w:w="850" w:type="dxa"/>
            <w:gridSpan w:val="2"/>
            <w:vAlign w:val="center"/>
          </w:tcPr>
          <w:p w14:paraId="7230F7B1">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vAlign w:val="center"/>
          </w:tcPr>
          <w:p w14:paraId="42C2DE6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vAlign w:val="center"/>
          </w:tcPr>
          <w:p w14:paraId="25E67F7A">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2" w:type="dxa"/>
            <w:gridSpan w:val="2"/>
            <w:vMerge w:val="continue"/>
            <w:shd w:val="clear" w:color="auto" w:fill="auto"/>
            <w:vAlign w:val="center"/>
          </w:tcPr>
          <w:p w14:paraId="2AA2449A">
            <w:pPr>
              <w:spacing w:line="240" w:lineRule="exact"/>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621F6F43">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4639D1E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790" w:type="dxa"/>
            <w:vAlign w:val="center"/>
          </w:tcPr>
          <w:p w14:paraId="791E6D44">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2B14CF3B">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7B42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3F4B8A4">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6</w:t>
            </w:r>
          </w:p>
        </w:tc>
        <w:tc>
          <w:tcPr>
            <w:tcW w:w="3412" w:type="dxa"/>
            <w:gridSpan w:val="3"/>
            <w:shd w:val="clear" w:color="auto" w:fill="auto"/>
          </w:tcPr>
          <w:p w14:paraId="079D3B9F">
            <w:pPr>
              <w:pStyle w:val="24"/>
              <w:spacing w:line="240" w:lineRule="exact"/>
              <w:ind w:firstLine="0" w:firstLineChars="0"/>
              <w:jc w:val="center"/>
              <w:rPr>
                <w:bCs/>
                <w:sz w:val="24"/>
              </w:rPr>
            </w:pPr>
            <w:r>
              <w:rPr>
                <w:rFonts w:hint="eastAsia"/>
                <w:bCs/>
                <w:sz w:val="24"/>
              </w:rPr>
              <w:t>智能感知IPP图像处理技术模块</w:t>
            </w:r>
          </w:p>
        </w:tc>
        <w:tc>
          <w:tcPr>
            <w:tcW w:w="850" w:type="dxa"/>
            <w:gridSpan w:val="2"/>
            <w:vAlign w:val="center"/>
          </w:tcPr>
          <w:p w14:paraId="4CE346C9">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vAlign w:val="center"/>
          </w:tcPr>
          <w:p w14:paraId="7FCEE8EB">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vAlign w:val="center"/>
          </w:tcPr>
          <w:p w14:paraId="385C85C6">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2" w:type="dxa"/>
            <w:gridSpan w:val="2"/>
            <w:vMerge w:val="continue"/>
            <w:shd w:val="clear" w:color="auto" w:fill="auto"/>
            <w:vAlign w:val="center"/>
          </w:tcPr>
          <w:p w14:paraId="0248B7FD">
            <w:pPr>
              <w:spacing w:line="240" w:lineRule="exact"/>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3F394884">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0D06E15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790" w:type="dxa"/>
            <w:vAlign w:val="center"/>
          </w:tcPr>
          <w:p w14:paraId="20BC36B0">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4E017504">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4776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87A6805">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7</w:t>
            </w:r>
          </w:p>
        </w:tc>
        <w:tc>
          <w:tcPr>
            <w:tcW w:w="3412" w:type="dxa"/>
            <w:gridSpan w:val="3"/>
            <w:shd w:val="clear" w:color="auto" w:fill="auto"/>
          </w:tcPr>
          <w:p w14:paraId="2F456652">
            <w:pPr>
              <w:pStyle w:val="24"/>
              <w:spacing w:line="240" w:lineRule="exact"/>
              <w:ind w:firstLine="0" w:firstLineChars="0"/>
              <w:jc w:val="center"/>
              <w:rPr>
                <w:bCs/>
                <w:sz w:val="24"/>
              </w:rPr>
            </w:pPr>
            <w:r>
              <w:rPr>
                <w:rFonts w:hint="eastAsia"/>
                <w:bCs/>
                <w:sz w:val="24"/>
              </w:rPr>
              <w:t>IVUS图像全序列自动分割模块</w:t>
            </w:r>
          </w:p>
        </w:tc>
        <w:tc>
          <w:tcPr>
            <w:tcW w:w="850" w:type="dxa"/>
            <w:gridSpan w:val="2"/>
            <w:vAlign w:val="center"/>
          </w:tcPr>
          <w:p w14:paraId="761DF78F">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vAlign w:val="center"/>
          </w:tcPr>
          <w:p w14:paraId="70753446">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shd w:val="clear" w:color="auto" w:fill="auto"/>
            <w:vAlign w:val="center"/>
          </w:tcPr>
          <w:p w14:paraId="030D7EE1">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2" w:type="dxa"/>
            <w:gridSpan w:val="2"/>
            <w:vMerge w:val="continue"/>
            <w:shd w:val="clear" w:color="auto" w:fill="auto"/>
            <w:vAlign w:val="center"/>
          </w:tcPr>
          <w:p w14:paraId="5FC6586C">
            <w:pPr>
              <w:spacing w:line="240" w:lineRule="exact"/>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2ED99459">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0A9B27C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790" w:type="dxa"/>
            <w:shd w:val="clear" w:color="auto" w:fill="auto"/>
            <w:vAlign w:val="center"/>
          </w:tcPr>
          <w:p w14:paraId="7C6FAEEE">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7D57695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E287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7CD015E">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8</w:t>
            </w:r>
          </w:p>
        </w:tc>
        <w:tc>
          <w:tcPr>
            <w:tcW w:w="3412" w:type="dxa"/>
            <w:gridSpan w:val="3"/>
            <w:shd w:val="clear" w:color="auto" w:fill="auto"/>
          </w:tcPr>
          <w:p w14:paraId="4C6FC62A">
            <w:pPr>
              <w:pStyle w:val="24"/>
              <w:spacing w:line="240" w:lineRule="exact"/>
              <w:ind w:firstLine="0" w:firstLineChars="0"/>
              <w:jc w:val="center"/>
              <w:rPr>
                <w:bCs/>
                <w:sz w:val="24"/>
              </w:rPr>
            </w:pPr>
            <w:r>
              <w:rPr>
                <w:rFonts w:hint="eastAsia"/>
                <w:bCs/>
                <w:sz w:val="24"/>
              </w:rPr>
              <w:t>冠脉结构自动定量分析模块（QCA）</w:t>
            </w:r>
          </w:p>
        </w:tc>
        <w:tc>
          <w:tcPr>
            <w:tcW w:w="850" w:type="dxa"/>
            <w:gridSpan w:val="2"/>
            <w:vAlign w:val="center"/>
          </w:tcPr>
          <w:p w14:paraId="713B0AA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vAlign w:val="center"/>
          </w:tcPr>
          <w:p w14:paraId="705261D4">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shd w:val="clear" w:color="auto" w:fill="auto"/>
            <w:vAlign w:val="center"/>
          </w:tcPr>
          <w:p w14:paraId="7BE4B462">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2" w:type="dxa"/>
            <w:gridSpan w:val="2"/>
            <w:vMerge w:val="continue"/>
            <w:shd w:val="clear" w:color="auto" w:fill="auto"/>
            <w:vAlign w:val="center"/>
          </w:tcPr>
          <w:p w14:paraId="3EED8592">
            <w:pPr>
              <w:spacing w:line="240" w:lineRule="exact"/>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27986D6C">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5B5B2FE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790" w:type="dxa"/>
            <w:shd w:val="clear" w:color="auto" w:fill="auto"/>
            <w:vAlign w:val="center"/>
          </w:tcPr>
          <w:p w14:paraId="24F9BC9E">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44F40AB4">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210A5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EF0F036">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9</w:t>
            </w:r>
          </w:p>
        </w:tc>
        <w:tc>
          <w:tcPr>
            <w:tcW w:w="3412" w:type="dxa"/>
            <w:gridSpan w:val="3"/>
            <w:shd w:val="clear" w:color="auto" w:fill="auto"/>
          </w:tcPr>
          <w:p w14:paraId="12F64512">
            <w:pPr>
              <w:pStyle w:val="24"/>
              <w:spacing w:line="240" w:lineRule="exact"/>
              <w:ind w:firstLine="0" w:firstLineChars="0"/>
              <w:jc w:val="center"/>
              <w:rPr>
                <w:bCs/>
                <w:sz w:val="24"/>
              </w:rPr>
            </w:pPr>
            <w:r>
              <w:rPr>
                <w:rFonts w:hint="eastAsia"/>
                <w:bCs/>
                <w:sz w:val="24"/>
              </w:rPr>
              <w:t>冠脉主支UFR分析模块</w:t>
            </w:r>
          </w:p>
        </w:tc>
        <w:tc>
          <w:tcPr>
            <w:tcW w:w="850" w:type="dxa"/>
            <w:gridSpan w:val="2"/>
            <w:vAlign w:val="center"/>
          </w:tcPr>
          <w:p w14:paraId="7CFA3EB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vAlign w:val="center"/>
          </w:tcPr>
          <w:p w14:paraId="2E575FC8">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shd w:val="clear" w:color="auto" w:fill="auto"/>
            <w:vAlign w:val="center"/>
          </w:tcPr>
          <w:p w14:paraId="11E9F81B">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2" w:type="dxa"/>
            <w:gridSpan w:val="2"/>
            <w:vMerge w:val="continue"/>
            <w:shd w:val="clear" w:color="auto" w:fill="auto"/>
            <w:vAlign w:val="center"/>
          </w:tcPr>
          <w:p w14:paraId="0F482289">
            <w:pPr>
              <w:spacing w:line="240" w:lineRule="exact"/>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4AB500EF">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2275948B">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790" w:type="dxa"/>
            <w:shd w:val="clear" w:color="auto" w:fill="auto"/>
            <w:vAlign w:val="center"/>
          </w:tcPr>
          <w:p w14:paraId="1C267712">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0026810D">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6876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tcPr>
          <w:p w14:paraId="65160074">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10</w:t>
            </w:r>
          </w:p>
        </w:tc>
        <w:tc>
          <w:tcPr>
            <w:tcW w:w="3412" w:type="dxa"/>
            <w:gridSpan w:val="3"/>
            <w:shd w:val="clear" w:color="auto" w:fill="auto"/>
          </w:tcPr>
          <w:p w14:paraId="296B9B24">
            <w:pPr>
              <w:pStyle w:val="24"/>
              <w:spacing w:line="240" w:lineRule="exact"/>
              <w:ind w:firstLine="0" w:firstLineChars="0"/>
              <w:jc w:val="center"/>
              <w:rPr>
                <w:bCs/>
                <w:sz w:val="24"/>
              </w:rPr>
            </w:pPr>
            <w:r>
              <w:rPr>
                <w:rFonts w:hint="eastAsia"/>
                <w:bCs/>
                <w:sz w:val="24"/>
              </w:rPr>
              <w:t>自动分析报告系统和打印模块</w:t>
            </w:r>
          </w:p>
        </w:tc>
        <w:tc>
          <w:tcPr>
            <w:tcW w:w="850" w:type="dxa"/>
            <w:gridSpan w:val="2"/>
          </w:tcPr>
          <w:p w14:paraId="10161DDE">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tcPr>
          <w:p w14:paraId="07035C9B">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shd w:val="clear" w:color="auto" w:fill="auto"/>
            <w:vAlign w:val="center"/>
          </w:tcPr>
          <w:p w14:paraId="366B319D">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2" w:type="dxa"/>
            <w:gridSpan w:val="2"/>
            <w:vMerge w:val="continue"/>
            <w:shd w:val="clear" w:color="auto" w:fill="auto"/>
            <w:vAlign w:val="center"/>
          </w:tcPr>
          <w:p w14:paraId="228DA300">
            <w:pPr>
              <w:spacing w:line="240" w:lineRule="exact"/>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24867520">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31F7C843">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790" w:type="dxa"/>
            <w:shd w:val="clear" w:color="auto" w:fill="auto"/>
            <w:vAlign w:val="center"/>
          </w:tcPr>
          <w:p w14:paraId="7EF5C64A">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tcPr>
          <w:p w14:paraId="0501B4C6">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C42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tcPr>
          <w:p w14:paraId="4ECD24A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11</w:t>
            </w:r>
          </w:p>
        </w:tc>
        <w:tc>
          <w:tcPr>
            <w:tcW w:w="3412" w:type="dxa"/>
            <w:gridSpan w:val="3"/>
            <w:shd w:val="clear" w:color="auto" w:fill="auto"/>
          </w:tcPr>
          <w:p w14:paraId="5C344BC8">
            <w:pPr>
              <w:pStyle w:val="24"/>
              <w:spacing w:line="240" w:lineRule="exact"/>
              <w:ind w:firstLine="0" w:firstLineChars="0"/>
              <w:jc w:val="center"/>
              <w:rPr>
                <w:bCs/>
                <w:sz w:val="24"/>
              </w:rPr>
            </w:pPr>
            <w:r>
              <w:rPr>
                <w:rFonts w:hint="eastAsia"/>
                <w:bCs/>
                <w:sz w:val="24"/>
              </w:rPr>
              <w:t>虚拟支架分析模块</w:t>
            </w:r>
          </w:p>
        </w:tc>
        <w:tc>
          <w:tcPr>
            <w:tcW w:w="850" w:type="dxa"/>
            <w:gridSpan w:val="2"/>
            <w:shd w:val="clear" w:color="auto" w:fill="auto"/>
          </w:tcPr>
          <w:p w14:paraId="54C9A535">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shd w:val="clear" w:color="auto" w:fill="auto"/>
          </w:tcPr>
          <w:p w14:paraId="2AC30170">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shd w:val="clear" w:color="auto" w:fill="auto"/>
            <w:vAlign w:val="center"/>
          </w:tcPr>
          <w:p w14:paraId="4D2445E8">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2" w:type="dxa"/>
            <w:gridSpan w:val="2"/>
            <w:vMerge w:val="continue"/>
            <w:shd w:val="clear" w:color="auto" w:fill="auto"/>
            <w:vAlign w:val="center"/>
          </w:tcPr>
          <w:p w14:paraId="21DFFCAF">
            <w:pPr>
              <w:spacing w:line="240" w:lineRule="exact"/>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2D0B7E88">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5AF27B87">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790" w:type="dxa"/>
            <w:shd w:val="clear" w:color="auto" w:fill="auto"/>
            <w:vAlign w:val="center"/>
          </w:tcPr>
          <w:p w14:paraId="70D4FEA4">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tcPr>
          <w:p w14:paraId="719002DC">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2609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tcPr>
          <w:p w14:paraId="4E0E7240">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12</w:t>
            </w:r>
          </w:p>
        </w:tc>
        <w:tc>
          <w:tcPr>
            <w:tcW w:w="3412" w:type="dxa"/>
            <w:gridSpan w:val="3"/>
            <w:shd w:val="clear" w:color="auto" w:fill="auto"/>
          </w:tcPr>
          <w:p w14:paraId="10814098">
            <w:pPr>
              <w:pStyle w:val="24"/>
              <w:spacing w:line="240" w:lineRule="exact"/>
              <w:ind w:firstLine="0" w:firstLineChars="0"/>
              <w:jc w:val="center"/>
              <w:rPr>
                <w:bCs/>
                <w:sz w:val="24"/>
              </w:rPr>
            </w:pPr>
            <w:r>
              <w:rPr>
                <w:rFonts w:hint="eastAsia"/>
                <w:bCs/>
                <w:sz w:val="24"/>
              </w:rPr>
              <w:t>3D支架显示与渲染模块</w:t>
            </w:r>
          </w:p>
        </w:tc>
        <w:tc>
          <w:tcPr>
            <w:tcW w:w="850" w:type="dxa"/>
            <w:gridSpan w:val="2"/>
            <w:shd w:val="clear" w:color="auto" w:fill="auto"/>
          </w:tcPr>
          <w:p w14:paraId="33E4CC12">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426" w:type="dxa"/>
            <w:shd w:val="clear" w:color="auto" w:fill="auto"/>
          </w:tcPr>
          <w:p w14:paraId="169C1A6D">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425" w:type="dxa"/>
            <w:shd w:val="clear" w:color="auto" w:fill="auto"/>
            <w:vAlign w:val="center"/>
          </w:tcPr>
          <w:p w14:paraId="4BB4283C">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套</w:t>
            </w:r>
          </w:p>
        </w:tc>
        <w:tc>
          <w:tcPr>
            <w:tcW w:w="992" w:type="dxa"/>
            <w:gridSpan w:val="2"/>
            <w:vMerge w:val="continue"/>
            <w:shd w:val="clear" w:color="auto" w:fill="auto"/>
            <w:vAlign w:val="center"/>
          </w:tcPr>
          <w:p w14:paraId="147EBBC1">
            <w:pPr>
              <w:spacing w:line="240" w:lineRule="exact"/>
              <w:jc w:val="center"/>
              <w:rPr>
                <w:rFonts w:asciiTheme="majorEastAsia" w:hAnsiTheme="majorEastAsia" w:eastAsiaTheme="majorEastAsia"/>
                <w:bCs/>
                <w:sz w:val="24"/>
                <w:szCs w:val="21"/>
              </w:rPr>
            </w:pPr>
          </w:p>
        </w:tc>
        <w:tc>
          <w:tcPr>
            <w:tcW w:w="1134" w:type="dxa"/>
            <w:gridSpan w:val="2"/>
            <w:vMerge w:val="continue"/>
            <w:shd w:val="clear" w:color="auto" w:fill="auto"/>
            <w:vAlign w:val="center"/>
          </w:tcPr>
          <w:p w14:paraId="7A7B92EE">
            <w:pPr>
              <w:spacing w:line="240" w:lineRule="exact"/>
              <w:jc w:val="center"/>
              <w:rPr>
                <w:rFonts w:asciiTheme="majorEastAsia" w:hAnsiTheme="majorEastAsia" w:eastAsiaTheme="majorEastAsia"/>
                <w:bCs/>
                <w:sz w:val="24"/>
                <w:szCs w:val="21"/>
              </w:rPr>
            </w:pPr>
          </w:p>
        </w:tc>
        <w:tc>
          <w:tcPr>
            <w:tcW w:w="1195" w:type="dxa"/>
            <w:shd w:val="clear" w:color="auto" w:fill="auto"/>
            <w:vAlign w:val="center"/>
          </w:tcPr>
          <w:p w14:paraId="2E3D5F16">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lang w:val="en-US" w:eastAsia="zh-CN"/>
              </w:rPr>
              <w:t>据实填报</w:t>
            </w:r>
          </w:p>
        </w:tc>
        <w:tc>
          <w:tcPr>
            <w:tcW w:w="790" w:type="dxa"/>
            <w:shd w:val="clear" w:color="auto" w:fill="auto"/>
            <w:vAlign w:val="center"/>
          </w:tcPr>
          <w:p w14:paraId="1245A0A0">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tcPr>
          <w:p w14:paraId="1E429182">
            <w:pPr>
              <w:spacing w:line="240" w:lineRule="exact"/>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bookmarkEnd w:id="1"/>
    </w:tbl>
    <w:p w14:paraId="536EEE2B">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21E3CFD">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0E3F18D5">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13C8C2A7">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5EFC7E68">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2594B4C4">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E107A9F">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30EE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46FB8CE6">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0F625F20">
            <w:pPr>
              <w:adjustRightInd w:val="0"/>
              <w:snapToGrid w:val="0"/>
              <w:jc w:val="center"/>
              <w:rPr>
                <w:rFonts w:asciiTheme="majorEastAsia" w:hAnsiTheme="majorEastAsia" w:eastAsiaTheme="majorEastAsia"/>
                <w:b/>
                <w:sz w:val="24"/>
                <w:szCs w:val="21"/>
              </w:rPr>
            </w:pPr>
          </w:p>
        </w:tc>
      </w:tr>
      <w:tr w14:paraId="4342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D24FEB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E300D2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4E39105A">
            <w:pPr>
              <w:widowControl w:val="0"/>
              <w:numPr>
                <w:ilvl w:val="0"/>
                <w:numId w:val="0"/>
              </w:numPr>
              <w:tabs>
                <w:tab w:val="left" w:pos="312"/>
              </w:tabs>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highlight w:val="none"/>
              </w:rPr>
              <w:t>技术要求</w:t>
            </w:r>
          </w:p>
        </w:tc>
        <w:tc>
          <w:tcPr>
            <w:tcW w:w="817" w:type="dxa"/>
            <w:vAlign w:val="center"/>
          </w:tcPr>
          <w:p w14:paraId="171BDD5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4C07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710" w:type="dxa"/>
            <w:vMerge w:val="restart"/>
          </w:tcPr>
          <w:p w14:paraId="6F3088F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3619DADF">
            <w:pPr>
              <w:widowControl/>
              <w:textAlignment w:val="top"/>
              <w:rPr>
                <w:rFonts w:ascii="宋体" w:hAnsi="宋体" w:cs="宋体"/>
                <w:color w:val="000000"/>
                <w:kern w:val="0"/>
                <w:szCs w:val="21"/>
              </w:rPr>
            </w:pPr>
            <w:r>
              <w:rPr>
                <w:rFonts w:hint="eastAsia" w:asciiTheme="majorEastAsia" w:hAnsiTheme="majorEastAsia" w:eastAsiaTheme="majorEastAsia"/>
                <w:sz w:val="24"/>
                <w:szCs w:val="21"/>
              </w:rPr>
              <w:t>血管内超声诊断仪</w:t>
            </w:r>
          </w:p>
        </w:tc>
        <w:tc>
          <w:tcPr>
            <w:tcW w:w="7564" w:type="dxa"/>
            <w:gridSpan w:val="2"/>
            <w:shd w:val="clear" w:color="auto" w:fill="auto"/>
            <w:vAlign w:val="center"/>
          </w:tcPr>
          <w:p w14:paraId="09A73881">
            <w:pPr>
              <w:widowControl/>
              <w:textAlignment w:val="top"/>
              <w:rPr>
                <w:rFonts w:hint="eastAsia"/>
                <w:b/>
                <w:sz w:val="24"/>
                <w:highlight w:val="none"/>
              </w:rPr>
            </w:pPr>
            <w:r>
              <w:rPr>
                <w:rFonts w:hint="eastAsia"/>
                <w:b/>
                <w:sz w:val="24"/>
                <w:highlight w:val="none"/>
              </w:rPr>
              <w:t>1</w:t>
            </w:r>
            <w:r>
              <w:rPr>
                <w:rFonts w:hint="eastAsia"/>
                <w:b/>
                <w:sz w:val="24"/>
                <w:highlight w:val="none"/>
                <w:lang w:val="en-US" w:eastAsia="zh-CN"/>
              </w:rPr>
              <w:t>.</w:t>
            </w:r>
            <w:r>
              <w:rPr>
                <w:rFonts w:hint="eastAsia"/>
                <w:b/>
                <w:sz w:val="24"/>
                <w:highlight w:val="none"/>
              </w:rPr>
              <w:t>血管内超声诊断仪</w:t>
            </w:r>
          </w:p>
          <w:p w14:paraId="682D7C9F">
            <w:pPr>
              <w:widowControl/>
              <w:textAlignment w:val="top"/>
              <w:rPr>
                <w:rFonts w:ascii="宋体" w:hAnsi="宋体" w:cs="宋体"/>
                <w:color w:val="000000"/>
                <w:kern w:val="0"/>
                <w:szCs w:val="21"/>
              </w:rPr>
            </w:pPr>
            <w:r>
              <w:rPr>
                <w:rFonts w:hint="eastAsia" w:ascii="宋体" w:hAnsi="宋体" w:cs="宋体"/>
                <w:color w:val="000000"/>
                <w:kern w:val="0"/>
                <w:szCs w:val="21"/>
              </w:rPr>
              <w:t>1.1 多功能超声诊断平台，支持≥50MHz机械旋转式超声导管技术，</w:t>
            </w:r>
            <w:r>
              <w:rPr>
                <w:rFonts w:hint="eastAsia"/>
              </w:rPr>
              <w:t>具备血流储备分数测量功能，可用于冠状动脉介入治疗。</w:t>
            </w:r>
          </w:p>
        </w:tc>
        <w:tc>
          <w:tcPr>
            <w:tcW w:w="817" w:type="dxa"/>
          </w:tcPr>
          <w:p w14:paraId="290038BC">
            <w:pPr>
              <w:adjustRightInd w:val="0"/>
              <w:snapToGrid w:val="0"/>
              <w:rPr>
                <w:rFonts w:asciiTheme="majorEastAsia" w:hAnsiTheme="majorEastAsia" w:eastAsiaTheme="majorEastAsia"/>
                <w:b/>
                <w:sz w:val="24"/>
                <w:szCs w:val="21"/>
              </w:rPr>
            </w:pPr>
          </w:p>
        </w:tc>
      </w:tr>
      <w:tr w14:paraId="245B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D772CA0">
            <w:pPr>
              <w:adjustRightInd w:val="0"/>
              <w:snapToGrid w:val="0"/>
              <w:rPr>
                <w:rFonts w:asciiTheme="majorEastAsia" w:hAnsiTheme="majorEastAsia" w:eastAsiaTheme="majorEastAsia"/>
                <w:b/>
                <w:sz w:val="24"/>
                <w:szCs w:val="21"/>
              </w:rPr>
            </w:pPr>
          </w:p>
        </w:tc>
        <w:tc>
          <w:tcPr>
            <w:tcW w:w="935" w:type="dxa"/>
            <w:vMerge w:val="continue"/>
          </w:tcPr>
          <w:p w14:paraId="0F93B33F">
            <w:pPr>
              <w:widowControl/>
              <w:textAlignment w:val="top"/>
              <w:rPr>
                <w:rFonts w:ascii="宋体" w:hAnsi="宋体" w:cs="宋体"/>
                <w:color w:val="000000"/>
                <w:kern w:val="0"/>
                <w:szCs w:val="21"/>
              </w:rPr>
            </w:pPr>
          </w:p>
        </w:tc>
        <w:tc>
          <w:tcPr>
            <w:tcW w:w="7564" w:type="dxa"/>
            <w:gridSpan w:val="2"/>
            <w:shd w:val="clear" w:color="auto" w:fill="auto"/>
            <w:vAlign w:val="center"/>
          </w:tcPr>
          <w:p w14:paraId="5CC16DA8">
            <w:pPr>
              <w:widowControl/>
              <w:textAlignment w:val="top"/>
              <w:rPr>
                <w:rFonts w:ascii="宋体" w:hAnsi="宋体" w:cs="宋体"/>
                <w:color w:val="000000"/>
                <w:kern w:val="0"/>
                <w:szCs w:val="21"/>
              </w:rPr>
            </w:pPr>
            <w:r>
              <w:rPr>
                <w:rFonts w:hint="eastAsia"/>
                <w:b/>
                <w:sz w:val="24"/>
                <w:highlight w:val="none"/>
              </w:rPr>
              <w:t>2.轨道一体式导管驱动单元可重复使用。</w:t>
            </w:r>
          </w:p>
        </w:tc>
        <w:tc>
          <w:tcPr>
            <w:tcW w:w="817" w:type="dxa"/>
          </w:tcPr>
          <w:p w14:paraId="282FC959">
            <w:pPr>
              <w:adjustRightInd w:val="0"/>
              <w:snapToGrid w:val="0"/>
              <w:rPr>
                <w:rFonts w:asciiTheme="majorEastAsia" w:hAnsiTheme="majorEastAsia" w:eastAsiaTheme="majorEastAsia"/>
                <w:b/>
                <w:sz w:val="24"/>
                <w:szCs w:val="21"/>
              </w:rPr>
            </w:pPr>
          </w:p>
        </w:tc>
      </w:tr>
      <w:tr w14:paraId="4049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10" w:type="dxa"/>
            <w:vMerge w:val="continue"/>
          </w:tcPr>
          <w:p w14:paraId="2C868D96">
            <w:pPr>
              <w:adjustRightInd w:val="0"/>
              <w:snapToGrid w:val="0"/>
              <w:rPr>
                <w:rFonts w:asciiTheme="majorEastAsia" w:hAnsiTheme="majorEastAsia" w:eastAsiaTheme="majorEastAsia"/>
                <w:b/>
                <w:sz w:val="24"/>
                <w:szCs w:val="21"/>
              </w:rPr>
            </w:pPr>
          </w:p>
        </w:tc>
        <w:tc>
          <w:tcPr>
            <w:tcW w:w="935" w:type="dxa"/>
            <w:vMerge w:val="continue"/>
          </w:tcPr>
          <w:p w14:paraId="6C35ECA4">
            <w:pPr>
              <w:widowControl/>
              <w:textAlignment w:val="top"/>
              <w:rPr>
                <w:rFonts w:ascii="宋体" w:hAnsi="宋体" w:cs="宋体"/>
                <w:color w:val="000000"/>
                <w:kern w:val="0"/>
                <w:szCs w:val="21"/>
              </w:rPr>
            </w:pPr>
          </w:p>
        </w:tc>
        <w:tc>
          <w:tcPr>
            <w:tcW w:w="7564" w:type="dxa"/>
            <w:gridSpan w:val="2"/>
            <w:shd w:val="clear" w:color="auto" w:fill="auto"/>
            <w:vAlign w:val="center"/>
          </w:tcPr>
          <w:p w14:paraId="3CA5E36A">
            <w:pPr>
              <w:widowControl/>
              <w:textAlignment w:val="top"/>
              <w:rPr>
                <w:rFonts w:hint="eastAsia"/>
                <w:b/>
                <w:sz w:val="24"/>
                <w:highlight w:val="none"/>
              </w:rPr>
            </w:pPr>
            <w:r>
              <w:rPr>
                <w:rFonts w:hint="eastAsia"/>
                <w:b/>
                <w:sz w:val="24"/>
                <w:highlight w:val="none"/>
              </w:rPr>
              <w:t>3</w:t>
            </w:r>
            <w:r>
              <w:rPr>
                <w:rFonts w:hint="eastAsia"/>
                <w:b/>
                <w:sz w:val="24"/>
                <w:highlight w:val="none"/>
                <w:lang w:val="en-US" w:eastAsia="zh-CN"/>
              </w:rPr>
              <w:t>.</w:t>
            </w:r>
            <w:r>
              <w:rPr>
                <w:rFonts w:hint="eastAsia"/>
                <w:b/>
                <w:sz w:val="24"/>
                <w:highlight w:val="none"/>
              </w:rPr>
              <w:t>硬件系统要求</w:t>
            </w:r>
          </w:p>
          <w:p w14:paraId="48F9AB35">
            <w:pPr>
              <w:widowControl/>
              <w:textAlignment w:val="top"/>
              <w:rPr>
                <w:rFonts w:ascii="宋体" w:hAnsi="宋体" w:cs="宋体"/>
                <w:color w:val="000000"/>
                <w:kern w:val="0"/>
                <w:szCs w:val="21"/>
                <w:highlight w:val="none"/>
              </w:rPr>
            </w:pPr>
            <w:r>
              <w:rPr>
                <w:rFonts w:hint="eastAsia" w:ascii="宋体" w:hAnsi="宋体" w:cs="宋体"/>
                <w:color w:val="000000"/>
                <w:kern w:val="0"/>
                <w:szCs w:val="21"/>
                <w:highlight w:val="none"/>
              </w:rPr>
              <w:t>3.1一体式可移动设备</w:t>
            </w:r>
          </w:p>
        </w:tc>
        <w:tc>
          <w:tcPr>
            <w:tcW w:w="817" w:type="dxa"/>
          </w:tcPr>
          <w:p w14:paraId="5D2FFC10">
            <w:pPr>
              <w:adjustRightInd w:val="0"/>
              <w:snapToGrid w:val="0"/>
              <w:rPr>
                <w:rFonts w:asciiTheme="majorEastAsia" w:hAnsiTheme="majorEastAsia" w:eastAsiaTheme="majorEastAsia"/>
                <w:b/>
                <w:sz w:val="24"/>
                <w:szCs w:val="21"/>
              </w:rPr>
            </w:pPr>
          </w:p>
        </w:tc>
      </w:tr>
      <w:tr w14:paraId="4EFF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B2EEB4A">
            <w:pPr>
              <w:adjustRightInd w:val="0"/>
              <w:snapToGrid w:val="0"/>
              <w:rPr>
                <w:rFonts w:asciiTheme="majorEastAsia" w:hAnsiTheme="majorEastAsia" w:eastAsiaTheme="majorEastAsia"/>
                <w:b/>
                <w:sz w:val="24"/>
                <w:szCs w:val="21"/>
              </w:rPr>
            </w:pPr>
          </w:p>
        </w:tc>
        <w:tc>
          <w:tcPr>
            <w:tcW w:w="935" w:type="dxa"/>
            <w:vMerge w:val="continue"/>
          </w:tcPr>
          <w:p w14:paraId="2610B3A1">
            <w:pPr>
              <w:widowControl/>
              <w:textAlignment w:val="top"/>
              <w:rPr>
                <w:rFonts w:ascii="宋体" w:hAnsi="宋体" w:cs="宋体"/>
                <w:color w:val="000000"/>
                <w:kern w:val="0"/>
                <w:szCs w:val="21"/>
              </w:rPr>
            </w:pPr>
          </w:p>
        </w:tc>
        <w:tc>
          <w:tcPr>
            <w:tcW w:w="7564" w:type="dxa"/>
            <w:gridSpan w:val="2"/>
            <w:shd w:val="clear" w:color="auto" w:fill="auto"/>
            <w:vAlign w:val="center"/>
          </w:tcPr>
          <w:p w14:paraId="34EDD183">
            <w:pPr>
              <w:widowControl/>
              <w:textAlignment w:val="top"/>
              <w:rPr>
                <w:rFonts w:ascii="宋体" w:hAnsi="宋体" w:cs="宋体"/>
                <w:color w:val="000000"/>
                <w:kern w:val="0"/>
                <w:szCs w:val="21"/>
                <w:highlight w:val="none"/>
              </w:rPr>
            </w:pPr>
            <w:r>
              <w:rPr>
                <w:rFonts w:hint="eastAsia" w:ascii="宋体" w:hAnsi="宋体" w:cs="宋体"/>
                <w:color w:val="000000"/>
                <w:kern w:val="0"/>
                <w:szCs w:val="21"/>
                <w:highlight w:val="none"/>
              </w:rPr>
              <w:t>3.2配备医用图像显示器：尺寸≥19英寸，分辨率≥1600×1200</w:t>
            </w:r>
          </w:p>
        </w:tc>
        <w:tc>
          <w:tcPr>
            <w:tcW w:w="817" w:type="dxa"/>
          </w:tcPr>
          <w:p w14:paraId="62E1A379">
            <w:pPr>
              <w:adjustRightInd w:val="0"/>
              <w:snapToGrid w:val="0"/>
              <w:rPr>
                <w:rFonts w:asciiTheme="majorEastAsia" w:hAnsiTheme="majorEastAsia" w:eastAsiaTheme="majorEastAsia"/>
                <w:b/>
                <w:sz w:val="24"/>
                <w:szCs w:val="21"/>
              </w:rPr>
            </w:pPr>
          </w:p>
        </w:tc>
      </w:tr>
      <w:tr w14:paraId="40B9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EADE455">
            <w:pPr>
              <w:adjustRightInd w:val="0"/>
              <w:snapToGrid w:val="0"/>
              <w:rPr>
                <w:rFonts w:asciiTheme="majorEastAsia" w:hAnsiTheme="majorEastAsia" w:eastAsiaTheme="majorEastAsia"/>
                <w:b/>
                <w:sz w:val="24"/>
                <w:szCs w:val="21"/>
              </w:rPr>
            </w:pPr>
          </w:p>
        </w:tc>
        <w:tc>
          <w:tcPr>
            <w:tcW w:w="935" w:type="dxa"/>
            <w:vMerge w:val="continue"/>
          </w:tcPr>
          <w:p w14:paraId="30CB5CE4">
            <w:pPr>
              <w:widowControl/>
              <w:textAlignment w:val="top"/>
              <w:rPr>
                <w:rFonts w:ascii="宋体" w:hAnsi="宋体" w:cs="宋体"/>
                <w:color w:val="000000"/>
                <w:kern w:val="0"/>
                <w:szCs w:val="21"/>
              </w:rPr>
            </w:pPr>
          </w:p>
        </w:tc>
        <w:tc>
          <w:tcPr>
            <w:tcW w:w="7564" w:type="dxa"/>
            <w:gridSpan w:val="2"/>
            <w:shd w:val="clear" w:color="auto" w:fill="auto"/>
            <w:vAlign w:val="center"/>
          </w:tcPr>
          <w:p w14:paraId="110B51E1">
            <w:pPr>
              <w:widowControl/>
              <w:textAlignment w:val="top"/>
              <w:rPr>
                <w:rFonts w:ascii="宋体" w:hAnsi="宋体" w:cs="宋体"/>
                <w:color w:val="000000"/>
                <w:kern w:val="0"/>
                <w:szCs w:val="21"/>
                <w:highlight w:val="none"/>
              </w:rPr>
            </w:pPr>
            <w:r>
              <w:rPr>
                <w:rFonts w:hint="eastAsia" w:ascii="宋体" w:hAnsi="宋体" w:cs="宋体"/>
                <w:color w:val="000000"/>
                <w:kern w:val="0"/>
                <w:szCs w:val="21"/>
                <w:highlight w:val="none"/>
              </w:rPr>
              <w:t>3.3 配备影像数据存储内置硬盘，容量≥1T</w:t>
            </w:r>
            <w:r>
              <w:rPr>
                <w:rFonts w:hint="eastAsia" w:ascii="宋体" w:hAnsi="宋体" w:cs="宋体"/>
                <w:color w:val="000000"/>
                <w:kern w:val="0"/>
                <w:szCs w:val="21"/>
                <w:highlight w:val="none"/>
                <w:lang w:eastAsia="zh-CN"/>
              </w:rPr>
              <w:t>；大容量运行内存</w:t>
            </w:r>
          </w:p>
        </w:tc>
        <w:tc>
          <w:tcPr>
            <w:tcW w:w="817" w:type="dxa"/>
          </w:tcPr>
          <w:p w14:paraId="574C0A86">
            <w:pPr>
              <w:adjustRightInd w:val="0"/>
              <w:snapToGrid w:val="0"/>
              <w:rPr>
                <w:rFonts w:asciiTheme="majorEastAsia" w:hAnsiTheme="majorEastAsia" w:eastAsiaTheme="majorEastAsia"/>
                <w:b/>
                <w:sz w:val="24"/>
                <w:szCs w:val="21"/>
              </w:rPr>
            </w:pPr>
          </w:p>
        </w:tc>
      </w:tr>
      <w:tr w14:paraId="4472E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78020D3">
            <w:pPr>
              <w:adjustRightInd w:val="0"/>
              <w:snapToGrid w:val="0"/>
              <w:rPr>
                <w:rFonts w:asciiTheme="majorEastAsia" w:hAnsiTheme="majorEastAsia" w:eastAsiaTheme="majorEastAsia"/>
                <w:b/>
                <w:sz w:val="24"/>
                <w:szCs w:val="21"/>
              </w:rPr>
            </w:pPr>
          </w:p>
        </w:tc>
        <w:tc>
          <w:tcPr>
            <w:tcW w:w="935" w:type="dxa"/>
            <w:vMerge w:val="continue"/>
          </w:tcPr>
          <w:p w14:paraId="156A8EF4">
            <w:pPr>
              <w:widowControl/>
              <w:textAlignment w:val="top"/>
              <w:rPr>
                <w:rFonts w:ascii="宋体" w:hAnsi="宋体" w:cs="宋体"/>
                <w:color w:val="000000"/>
                <w:kern w:val="0"/>
                <w:szCs w:val="21"/>
              </w:rPr>
            </w:pPr>
          </w:p>
        </w:tc>
        <w:tc>
          <w:tcPr>
            <w:tcW w:w="7564" w:type="dxa"/>
            <w:gridSpan w:val="2"/>
            <w:shd w:val="clear" w:color="auto" w:fill="auto"/>
            <w:vAlign w:val="center"/>
          </w:tcPr>
          <w:p w14:paraId="5AB92B74">
            <w:pPr>
              <w:widowControl/>
              <w:textAlignment w:val="top"/>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3.4 支持和PACS/心导管工作站等影像系统连接</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rPr>
              <w:t>支持多种方式的数据导出</w:t>
            </w:r>
            <w:r>
              <w:rPr>
                <w:rFonts w:hint="eastAsia" w:ascii="宋体" w:hAnsi="宋体" w:cs="宋体"/>
                <w:color w:val="000000"/>
                <w:kern w:val="0"/>
                <w:szCs w:val="21"/>
                <w:highlight w:val="none"/>
                <w:lang w:eastAsia="zh-CN"/>
              </w:rPr>
              <w:t>（例如</w:t>
            </w:r>
            <w:r>
              <w:rPr>
                <w:rFonts w:hint="eastAsia" w:ascii="宋体" w:hAnsi="宋体" w:cs="宋体"/>
                <w:color w:val="000000"/>
                <w:kern w:val="0"/>
                <w:szCs w:val="21"/>
                <w:highlight w:val="none"/>
              </w:rPr>
              <w:t>DVD、移动硬盘、</w:t>
            </w:r>
            <w:r>
              <w:rPr>
                <w:rFonts w:hint="eastAsia" w:ascii="宋体" w:hAnsi="宋体" w:cs="宋体"/>
                <w:color w:val="000000"/>
                <w:kern w:val="0"/>
                <w:szCs w:val="21"/>
                <w:highlight w:val="none"/>
                <w:lang w:val="en-US" w:eastAsia="zh-CN"/>
              </w:rPr>
              <w:t>U盘、</w:t>
            </w:r>
            <w:r>
              <w:rPr>
                <w:rFonts w:hint="eastAsia" w:ascii="宋体" w:hAnsi="宋体" w:cs="宋体"/>
                <w:color w:val="000000"/>
                <w:kern w:val="0"/>
                <w:szCs w:val="21"/>
                <w:highlight w:val="none"/>
              </w:rPr>
              <w:t>网络等</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rPr>
              <w:t>；支持多种类型的格式导出</w:t>
            </w:r>
            <w:r>
              <w:rPr>
                <w:rFonts w:hint="eastAsia" w:ascii="宋体" w:hAnsi="宋体" w:cs="宋体"/>
                <w:color w:val="000000"/>
                <w:kern w:val="0"/>
                <w:szCs w:val="21"/>
                <w:highlight w:val="none"/>
                <w:lang w:eastAsia="zh-CN"/>
              </w:rPr>
              <w:t>（例如</w:t>
            </w:r>
            <w:r>
              <w:rPr>
                <w:rFonts w:hint="eastAsia" w:ascii="宋体" w:hAnsi="宋体" w:cs="宋体"/>
                <w:color w:val="000000"/>
                <w:kern w:val="0"/>
                <w:szCs w:val="21"/>
                <w:highlight w:val="none"/>
              </w:rPr>
              <w:t>DICOM标准格式、AVI / MP4视频输出格式、PNG/JPG静态图片格式等</w:t>
            </w:r>
            <w:r>
              <w:rPr>
                <w:rFonts w:hint="eastAsia" w:ascii="宋体" w:hAnsi="宋体" w:cs="宋体"/>
                <w:color w:val="000000"/>
                <w:kern w:val="0"/>
                <w:szCs w:val="21"/>
                <w:highlight w:val="none"/>
                <w:lang w:eastAsia="zh-CN"/>
              </w:rPr>
              <w:t>）</w:t>
            </w:r>
          </w:p>
        </w:tc>
        <w:tc>
          <w:tcPr>
            <w:tcW w:w="817" w:type="dxa"/>
          </w:tcPr>
          <w:p w14:paraId="479167E9">
            <w:pPr>
              <w:adjustRightInd w:val="0"/>
              <w:snapToGrid w:val="0"/>
              <w:rPr>
                <w:rFonts w:asciiTheme="majorEastAsia" w:hAnsiTheme="majorEastAsia" w:eastAsiaTheme="majorEastAsia"/>
                <w:b/>
                <w:sz w:val="24"/>
                <w:szCs w:val="21"/>
              </w:rPr>
            </w:pPr>
          </w:p>
        </w:tc>
      </w:tr>
      <w:tr w14:paraId="46F9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710" w:type="dxa"/>
            <w:vMerge w:val="continue"/>
          </w:tcPr>
          <w:p w14:paraId="5C7E8A37">
            <w:pPr>
              <w:adjustRightInd w:val="0"/>
              <w:snapToGrid w:val="0"/>
              <w:rPr>
                <w:rFonts w:asciiTheme="majorEastAsia" w:hAnsiTheme="majorEastAsia" w:eastAsiaTheme="majorEastAsia"/>
                <w:b/>
                <w:sz w:val="24"/>
                <w:szCs w:val="21"/>
              </w:rPr>
            </w:pPr>
          </w:p>
        </w:tc>
        <w:tc>
          <w:tcPr>
            <w:tcW w:w="935" w:type="dxa"/>
            <w:vMerge w:val="continue"/>
          </w:tcPr>
          <w:p w14:paraId="706BA9C7">
            <w:pPr>
              <w:widowControl/>
              <w:textAlignment w:val="top"/>
              <w:rPr>
                <w:rFonts w:ascii="宋体" w:hAnsi="宋体" w:cs="宋体"/>
                <w:color w:val="000000"/>
                <w:kern w:val="0"/>
                <w:szCs w:val="21"/>
              </w:rPr>
            </w:pPr>
          </w:p>
        </w:tc>
        <w:tc>
          <w:tcPr>
            <w:tcW w:w="7564" w:type="dxa"/>
            <w:gridSpan w:val="2"/>
            <w:shd w:val="clear" w:color="auto" w:fill="auto"/>
            <w:vAlign w:val="center"/>
          </w:tcPr>
          <w:p w14:paraId="5CFCA744">
            <w:pPr>
              <w:widowControl/>
              <w:textAlignment w:val="top"/>
              <w:rPr>
                <w:rFonts w:hint="eastAsia"/>
                <w:b/>
                <w:sz w:val="24"/>
                <w:highlight w:val="none"/>
              </w:rPr>
            </w:pPr>
            <w:r>
              <w:rPr>
                <w:rFonts w:hint="eastAsia"/>
                <w:b/>
                <w:sz w:val="24"/>
                <w:highlight w:val="none"/>
              </w:rPr>
              <w:t>4</w:t>
            </w:r>
            <w:r>
              <w:rPr>
                <w:rFonts w:hint="eastAsia"/>
                <w:b/>
                <w:sz w:val="24"/>
                <w:highlight w:val="none"/>
                <w:lang w:val="en-US" w:eastAsia="zh-CN"/>
              </w:rPr>
              <w:t>.</w:t>
            </w:r>
            <w:r>
              <w:rPr>
                <w:rFonts w:hint="eastAsia"/>
                <w:b/>
                <w:sz w:val="24"/>
                <w:highlight w:val="none"/>
              </w:rPr>
              <w:t>功能要求</w:t>
            </w:r>
          </w:p>
          <w:p w14:paraId="36D06E1E">
            <w:pPr>
              <w:widowControl/>
              <w:textAlignment w:val="top"/>
              <w:rPr>
                <w:rFonts w:ascii="宋体" w:hAnsi="宋体" w:cs="宋体"/>
                <w:color w:val="000000"/>
                <w:kern w:val="0"/>
                <w:szCs w:val="21"/>
                <w:highlight w:val="none"/>
              </w:rPr>
            </w:pPr>
            <w:r>
              <w:rPr>
                <w:rFonts w:hint="eastAsia" w:ascii="宋体" w:hAnsi="宋体" w:cs="宋体"/>
                <w:color w:val="000000"/>
                <w:kern w:val="0"/>
                <w:szCs w:val="21"/>
                <w:highlight w:val="none"/>
              </w:rPr>
              <w:t>4.1</w:t>
            </w:r>
            <w:r>
              <w:rPr>
                <w:rFonts w:hint="eastAsia" w:ascii="宋体" w:hAnsi="宋体" w:cs="宋体"/>
                <w:color w:val="000000"/>
                <w:kern w:val="0"/>
                <w:szCs w:val="21"/>
                <w:highlight w:val="none"/>
                <w:lang w:eastAsia="zh-CN"/>
              </w:rPr>
              <w:t>具备</w:t>
            </w:r>
            <w:r>
              <w:rPr>
                <w:rFonts w:hint="eastAsia" w:ascii="宋体" w:hAnsi="宋体" w:cs="宋体"/>
                <w:color w:val="000000"/>
                <w:kern w:val="0"/>
                <w:szCs w:val="21"/>
                <w:highlight w:val="none"/>
              </w:rPr>
              <w:t>驱动马达自动回撤和手动回撤功能，显示回撤速度与距离，最高回撤速度≥1 mm/s，图像扫描频帧≥30FPS</w:t>
            </w:r>
          </w:p>
        </w:tc>
        <w:tc>
          <w:tcPr>
            <w:tcW w:w="817" w:type="dxa"/>
          </w:tcPr>
          <w:p w14:paraId="284A2819">
            <w:pPr>
              <w:adjustRightInd w:val="0"/>
              <w:snapToGrid w:val="0"/>
              <w:rPr>
                <w:rFonts w:asciiTheme="majorEastAsia" w:hAnsiTheme="majorEastAsia" w:eastAsiaTheme="majorEastAsia"/>
                <w:b/>
                <w:sz w:val="24"/>
                <w:szCs w:val="21"/>
              </w:rPr>
            </w:pPr>
          </w:p>
        </w:tc>
      </w:tr>
      <w:tr w14:paraId="1A2F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10" w:type="dxa"/>
            <w:vMerge w:val="continue"/>
          </w:tcPr>
          <w:p w14:paraId="3D0E1CE3">
            <w:pPr>
              <w:adjustRightInd w:val="0"/>
              <w:snapToGrid w:val="0"/>
              <w:rPr>
                <w:rFonts w:asciiTheme="majorEastAsia" w:hAnsiTheme="majorEastAsia" w:eastAsiaTheme="majorEastAsia"/>
                <w:b/>
                <w:sz w:val="24"/>
                <w:szCs w:val="21"/>
              </w:rPr>
            </w:pPr>
          </w:p>
        </w:tc>
        <w:tc>
          <w:tcPr>
            <w:tcW w:w="935" w:type="dxa"/>
            <w:vMerge w:val="continue"/>
          </w:tcPr>
          <w:p w14:paraId="3AF73444">
            <w:pPr>
              <w:widowControl/>
              <w:textAlignment w:val="top"/>
              <w:rPr>
                <w:rFonts w:ascii="宋体" w:hAnsi="宋体" w:cs="宋体"/>
                <w:color w:val="000000"/>
                <w:kern w:val="0"/>
                <w:szCs w:val="21"/>
              </w:rPr>
            </w:pPr>
          </w:p>
        </w:tc>
        <w:tc>
          <w:tcPr>
            <w:tcW w:w="7564" w:type="dxa"/>
            <w:gridSpan w:val="2"/>
            <w:shd w:val="clear" w:color="auto" w:fill="auto"/>
            <w:vAlign w:val="center"/>
          </w:tcPr>
          <w:p w14:paraId="29430F18">
            <w:pPr>
              <w:widowControl/>
              <w:textAlignment w:val="top"/>
              <w:rPr>
                <w:rFonts w:ascii="宋体" w:hAnsi="宋体" w:cs="宋体"/>
                <w:color w:val="000000"/>
                <w:kern w:val="0"/>
                <w:szCs w:val="21"/>
                <w:highlight w:val="none"/>
              </w:rPr>
            </w:pPr>
            <w:r>
              <w:rPr>
                <w:rFonts w:hint="eastAsia" w:ascii="宋体" w:hAnsi="宋体" w:cs="宋体"/>
                <w:color w:val="000000"/>
                <w:kern w:val="0"/>
                <w:szCs w:val="21"/>
                <w:highlight w:val="none"/>
              </w:rPr>
              <w:t>4.2单次自动回撤，最大采集数≥3600帧图像。手动回撤，最大采集数≥9000帧图像</w:t>
            </w:r>
          </w:p>
        </w:tc>
        <w:tc>
          <w:tcPr>
            <w:tcW w:w="817" w:type="dxa"/>
          </w:tcPr>
          <w:p w14:paraId="51C01B6F">
            <w:pPr>
              <w:adjustRightInd w:val="0"/>
              <w:snapToGrid w:val="0"/>
              <w:rPr>
                <w:rFonts w:asciiTheme="majorEastAsia" w:hAnsiTheme="majorEastAsia" w:eastAsiaTheme="majorEastAsia"/>
                <w:b/>
                <w:sz w:val="24"/>
                <w:szCs w:val="21"/>
              </w:rPr>
            </w:pPr>
          </w:p>
        </w:tc>
      </w:tr>
      <w:tr w14:paraId="0E4A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710" w:type="dxa"/>
            <w:vMerge w:val="continue"/>
          </w:tcPr>
          <w:p w14:paraId="4894B009">
            <w:pPr>
              <w:adjustRightInd w:val="0"/>
              <w:snapToGrid w:val="0"/>
              <w:rPr>
                <w:rFonts w:asciiTheme="majorEastAsia" w:hAnsiTheme="majorEastAsia" w:eastAsiaTheme="majorEastAsia"/>
                <w:b/>
                <w:sz w:val="24"/>
                <w:szCs w:val="21"/>
              </w:rPr>
            </w:pPr>
          </w:p>
        </w:tc>
        <w:tc>
          <w:tcPr>
            <w:tcW w:w="935" w:type="dxa"/>
            <w:vMerge w:val="continue"/>
          </w:tcPr>
          <w:p w14:paraId="0B8AA395">
            <w:pPr>
              <w:widowControl/>
              <w:textAlignment w:val="top"/>
              <w:rPr>
                <w:rFonts w:ascii="宋体" w:hAnsi="宋体" w:cs="宋体"/>
                <w:color w:val="000000"/>
                <w:kern w:val="0"/>
                <w:szCs w:val="21"/>
              </w:rPr>
            </w:pPr>
          </w:p>
        </w:tc>
        <w:tc>
          <w:tcPr>
            <w:tcW w:w="7564" w:type="dxa"/>
            <w:gridSpan w:val="2"/>
            <w:shd w:val="clear" w:color="auto" w:fill="auto"/>
            <w:vAlign w:val="center"/>
          </w:tcPr>
          <w:p w14:paraId="17D984B1">
            <w:pPr>
              <w:widowControl/>
              <w:textAlignment w:val="top"/>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4.3 具备</w:t>
            </w:r>
            <w:r>
              <w:rPr>
                <w:rFonts w:hint="eastAsia" w:ascii="宋体" w:hAnsi="宋体" w:cs="宋体"/>
                <w:color w:val="000000"/>
                <w:kern w:val="0"/>
                <w:szCs w:val="21"/>
                <w:highlight w:val="none"/>
                <w:lang w:eastAsia="zh-CN"/>
              </w:rPr>
              <w:t>自动多种重要参数</w:t>
            </w:r>
            <w:r>
              <w:rPr>
                <w:rFonts w:hint="eastAsia" w:ascii="宋体" w:hAnsi="宋体" w:cs="宋体"/>
                <w:color w:val="000000"/>
                <w:kern w:val="0"/>
                <w:szCs w:val="21"/>
                <w:highlight w:val="none"/>
              </w:rPr>
              <w:t>测量功能</w:t>
            </w:r>
            <w:r>
              <w:rPr>
                <w:rFonts w:hint="eastAsia" w:ascii="宋体" w:hAnsi="宋体" w:cs="宋体"/>
                <w:color w:val="000000"/>
                <w:kern w:val="0"/>
                <w:szCs w:val="21"/>
                <w:highlight w:val="none"/>
                <w:lang w:eastAsia="zh-CN"/>
              </w:rPr>
              <w:t>，可手工调整；具备降噪功能；</w:t>
            </w:r>
          </w:p>
        </w:tc>
        <w:tc>
          <w:tcPr>
            <w:tcW w:w="817" w:type="dxa"/>
          </w:tcPr>
          <w:p w14:paraId="00BC41AE">
            <w:pPr>
              <w:adjustRightInd w:val="0"/>
              <w:snapToGrid w:val="0"/>
              <w:rPr>
                <w:rFonts w:asciiTheme="majorEastAsia" w:hAnsiTheme="majorEastAsia" w:eastAsiaTheme="majorEastAsia"/>
                <w:b/>
                <w:sz w:val="24"/>
                <w:szCs w:val="21"/>
              </w:rPr>
            </w:pPr>
          </w:p>
        </w:tc>
      </w:tr>
      <w:tr w14:paraId="5159C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643607">
            <w:pPr>
              <w:adjustRightInd w:val="0"/>
              <w:snapToGrid w:val="0"/>
              <w:rPr>
                <w:rFonts w:asciiTheme="majorEastAsia" w:hAnsiTheme="majorEastAsia" w:eastAsiaTheme="majorEastAsia"/>
                <w:b/>
                <w:sz w:val="24"/>
                <w:szCs w:val="21"/>
              </w:rPr>
            </w:pPr>
          </w:p>
        </w:tc>
        <w:tc>
          <w:tcPr>
            <w:tcW w:w="935" w:type="dxa"/>
            <w:vMerge w:val="continue"/>
          </w:tcPr>
          <w:p w14:paraId="2400F346">
            <w:pPr>
              <w:widowControl/>
              <w:textAlignment w:val="top"/>
              <w:rPr>
                <w:rFonts w:ascii="宋体" w:hAnsi="宋体" w:cs="宋体"/>
                <w:color w:val="000000"/>
                <w:kern w:val="0"/>
                <w:szCs w:val="21"/>
              </w:rPr>
            </w:pPr>
          </w:p>
        </w:tc>
        <w:tc>
          <w:tcPr>
            <w:tcW w:w="7564" w:type="dxa"/>
            <w:gridSpan w:val="2"/>
          </w:tcPr>
          <w:p w14:paraId="37227573">
            <w:pPr>
              <w:widowControl/>
              <w:textAlignment w:val="top"/>
              <w:rPr>
                <w:rFonts w:hint="eastAsia" w:ascii="宋体" w:hAnsi="宋体" w:eastAsia="宋体" w:cs="宋体"/>
                <w:color w:val="000000"/>
                <w:kern w:val="0"/>
                <w:szCs w:val="21"/>
                <w:highlight w:val="none"/>
                <w:lang w:eastAsia="zh-CN"/>
              </w:rPr>
            </w:pPr>
            <w:r>
              <w:rPr>
                <w:rFonts w:hint="eastAsia" w:ascii="宋体" w:hAnsi="宋体" w:cs="宋体"/>
                <w:color w:val="000000"/>
                <w:kern w:val="0"/>
                <w:szCs w:val="21"/>
                <w:highlight w:val="none"/>
              </w:rPr>
              <w:t>4.4 具备血流储备分数测量功能</w:t>
            </w:r>
            <w:r>
              <w:rPr>
                <w:rFonts w:hint="eastAsia" w:ascii="宋体" w:hAnsi="宋体" w:cs="宋体"/>
                <w:color w:val="000000"/>
                <w:kern w:val="0"/>
                <w:szCs w:val="21"/>
                <w:highlight w:val="none"/>
                <w:lang w:eastAsia="zh-CN"/>
              </w:rPr>
              <w:t>，测量方式优选免压力导丝，免腺苷注射</w:t>
            </w:r>
          </w:p>
        </w:tc>
        <w:tc>
          <w:tcPr>
            <w:tcW w:w="817" w:type="dxa"/>
          </w:tcPr>
          <w:p w14:paraId="5C834E8C">
            <w:pPr>
              <w:adjustRightInd w:val="0"/>
              <w:snapToGrid w:val="0"/>
              <w:rPr>
                <w:rFonts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44C4D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710" w:type="dxa"/>
            <w:vMerge w:val="continue"/>
          </w:tcPr>
          <w:p w14:paraId="4E56D662">
            <w:pPr>
              <w:adjustRightInd w:val="0"/>
              <w:snapToGrid w:val="0"/>
              <w:rPr>
                <w:rFonts w:asciiTheme="majorEastAsia" w:hAnsiTheme="majorEastAsia" w:eastAsiaTheme="majorEastAsia"/>
                <w:b/>
                <w:sz w:val="24"/>
                <w:szCs w:val="21"/>
              </w:rPr>
            </w:pPr>
          </w:p>
        </w:tc>
        <w:tc>
          <w:tcPr>
            <w:tcW w:w="935" w:type="dxa"/>
            <w:vMerge w:val="continue"/>
          </w:tcPr>
          <w:p w14:paraId="3E48B32D">
            <w:pPr>
              <w:widowControl/>
              <w:textAlignment w:val="top"/>
              <w:rPr>
                <w:rFonts w:ascii="宋体" w:hAnsi="宋体" w:cs="宋体"/>
                <w:color w:val="000000"/>
                <w:kern w:val="0"/>
                <w:szCs w:val="21"/>
              </w:rPr>
            </w:pPr>
          </w:p>
        </w:tc>
        <w:tc>
          <w:tcPr>
            <w:tcW w:w="7564" w:type="dxa"/>
            <w:gridSpan w:val="2"/>
            <w:shd w:val="clear" w:color="auto" w:fill="auto"/>
          </w:tcPr>
          <w:p w14:paraId="11593361">
            <w:pPr>
              <w:widowControl/>
              <w:textAlignment w:val="top"/>
              <w:rPr>
                <w:rFonts w:ascii="宋体" w:hAnsi="宋体" w:cs="宋体"/>
                <w:color w:val="000000"/>
                <w:kern w:val="0"/>
                <w:szCs w:val="21"/>
                <w:highlight w:val="none"/>
              </w:rPr>
            </w:pPr>
            <w:r>
              <w:rPr>
                <w:rFonts w:hint="eastAsia" w:ascii="宋体" w:hAnsi="宋体" w:cs="宋体"/>
                <w:color w:val="000000"/>
                <w:kern w:val="0"/>
                <w:szCs w:val="21"/>
                <w:highlight w:val="none"/>
              </w:rPr>
              <w:t>4.5</w:t>
            </w:r>
            <w:r>
              <w:rPr>
                <w:rFonts w:hint="eastAsia" w:ascii="宋体" w:hAnsi="宋体" w:cs="宋体"/>
                <w:color w:val="000000"/>
                <w:kern w:val="0"/>
                <w:szCs w:val="21"/>
                <w:highlight w:val="none"/>
                <w:lang w:eastAsia="zh-CN"/>
              </w:rPr>
              <w:t>具备</w:t>
            </w:r>
            <w:r>
              <w:rPr>
                <w:rFonts w:hint="eastAsia" w:ascii="宋体" w:hAnsi="宋体" w:cs="宋体"/>
                <w:color w:val="000000"/>
                <w:kern w:val="0"/>
                <w:szCs w:val="21"/>
                <w:highlight w:val="none"/>
                <w:lang w:val="en-US" w:eastAsia="zh-CN"/>
              </w:rPr>
              <w:t>AI参与的</w:t>
            </w:r>
            <w:r>
              <w:rPr>
                <w:rFonts w:hint="eastAsia" w:ascii="宋体" w:hAnsi="宋体" w:cs="宋体"/>
                <w:color w:val="000000"/>
                <w:kern w:val="0"/>
                <w:szCs w:val="21"/>
                <w:highlight w:val="none"/>
                <w:lang w:eastAsia="zh-CN"/>
              </w:rPr>
              <w:t>支架规划功能和术后支架重点参数自动提示、标注功能</w:t>
            </w:r>
          </w:p>
        </w:tc>
        <w:tc>
          <w:tcPr>
            <w:tcW w:w="817" w:type="dxa"/>
          </w:tcPr>
          <w:p w14:paraId="19D40FEB">
            <w:pPr>
              <w:adjustRightInd w:val="0"/>
              <w:snapToGrid w:val="0"/>
              <w:rPr>
                <w:rFonts w:asciiTheme="majorEastAsia" w:hAnsiTheme="majorEastAsia" w:eastAsiaTheme="majorEastAsia"/>
                <w:b/>
                <w:sz w:val="24"/>
                <w:szCs w:val="21"/>
              </w:rPr>
            </w:pPr>
          </w:p>
        </w:tc>
      </w:tr>
      <w:tr w14:paraId="44BA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10" w:type="dxa"/>
            <w:vMerge w:val="continue"/>
          </w:tcPr>
          <w:p w14:paraId="229EDF12">
            <w:pPr>
              <w:adjustRightInd w:val="0"/>
              <w:snapToGrid w:val="0"/>
              <w:rPr>
                <w:rFonts w:asciiTheme="majorEastAsia" w:hAnsiTheme="majorEastAsia" w:eastAsiaTheme="majorEastAsia"/>
                <w:b/>
                <w:sz w:val="24"/>
                <w:szCs w:val="21"/>
              </w:rPr>
            </w:pPr>
          </w:p>
        </w:tc>
        <w:tc>
          <w:tcPr>
            <w:tcW w:w="935" w:type="dxa"/>
            <w:vMerge w:val="continue"/>
          </w:tcPr>
          <w:p w14:paraId="7145DA38">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60368FF4">
            <w:pPr>
              <w:adjustRightInd w:val="0"/>
              <w:snapToGrid w:val="0"/>
              <w:rPr>
                <w:rFonts w:hint="eastAsia"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5</w:t>
            </w:r>
            <w:r>
              <w:rPr>
                <w:rFonts w:hint="eastAsia" w:asciiTheme="majorEastAsia" w:hAnsiTheme="majorEastAsia" w:eastAsiaTheme="majorEastAsia"/>
                <w:b/>
                <w:sz w:val="24"/>
                <w:szCs w:val="21"/>
                <w:highlight w:val="none"/>
                <w:lang w:val="en-US" w:eastAsia="zh-CN"/>
              </w:rPr>
              <w:t>.</w:t>
            </w:r>
            <w:r>
              <w:rPr>
                <w:rFonts w:hint="eastAsia"/>
                <w:b/>
                <w:sz w:val="24"/>
                <w:highlight w:val="none"/>
              </w:rPr>
              <w:t>超声导管</w:t>
            </w:r>
          </w:p>
          <w:p w14:paraId="34E4599B">
            <w:pPr>
              <w:adjustRightInd w:val="0"/>
              <w:snapToGrid w:val="0"/>
              <w:rPr>
                <w:rFonts w:ascii="宋体" w:hAnsi="宋体" w:cs="宋体"/>
                <w:color w:val="000000"/>
                <w:kern w:val="0"/>
                <w:szCs w:val="21"/>
                <w:highlight w:val="none"/>
              </w:rPr>
            </w:pPr>
            <w:r>
              <w:rPr>
                <w:rFonts w:hint="eastAsia" w:ascii="宋体" w:hAnsi="宋体" w:cs="宋体"/>
                <w:color w:val="000000"/>
                <w:kern w:val="0"/>
                <w:szCs w:val="21"/>
                <w:highlight w:val="none"/>
              </w:rPr>
              <w:t>5.1</w:t>
            </w:r>
            <w:r>
              <w:rPr>
                <w:rFonts w:hint="eastAsia"/>
                <w:highlight w:val="none"/>
              </w:rPr>
              <w:t>用于冠脉血管的高清超声成像导管：机械旋转式超声导管</w:t>
            </w:r>
            <w:r>
              <w:rPr>
                <w:rFonts w:hint="eastAsia" w:ascii="宋体" w:hAnsi="宋体" w:cs="宋体"/>
                <w:color w:val="000000"/>
                <w:kern w:val="0"/>
                <w:szCs w:val="21"/>
                <w:highlight w:val="none"/>
              </w:rPr>
              <w:t>导管中心频率≥50MHz ，成像半径</w:t>
            </w:r>
            <w:r>
              <w:rPr>
                <w:rFonts w:hint="eastAsia"/>
                <w:highlight w:val="none"/>
              </w:rPr>
              <w:t>≥7mm</w:t>
            </w:r>
          </w:p>
        </w:tc>
        <w:tc>
          <w:tcPr>
            <w:tcW w:w="817" w:type="dxa"/>
          </w:tcPr>
          <w:p w14:paraId="2A1C8872">
            <w:pPr>
              <w:adjustRightInd w:val="0"/>
              <w:snapToGrid w:val="0"/>
              <w:rPr>
                <w:rFonts w:asciiTheme="majorEastAsia" w:hAnsiTheme="majorEastAsia" w:eastAsiaTheme="majorEastAsia"/>
                <w:b/>
                <w:sz w:val="24"/>
                <w:szCs w:val="21"/>
              </w:rPr>
            </w:pPr>
          </w:p>
        </w:tc>
      </w:tr>
      <w:tr w14:paraId="5698C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118A268">
            <w:pPr>
              <w:adjustRightInd w:val="0"/>
              <w:snapToGrid w:val="0"/>
              <w:rPr>
                <w:rFonts w:asciiTheme="majorEastAsia" w:hAnsiTheme="majorEastAsia" w:eastAsiaTheme="majorEastAsia"/>
                <w:b/>
                <w:sz w:val="24"/>
                <w:szCs w:val="21"/>
              </w:rPr>
            </w:pPr>
          </w:p>
        </w:tc>
        <w:tc>
          <w:tcPr>
            <w:tcW w:w="935" w:type="dxa"/>
            <w:vMerge w:val="continue"/>
          </w:tcPr>
          <w:p w14:paraId="43DBD7FE">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1FBBE040">
            <w:pPr>
              <w:adjustRightInd w:val="0"/>
              <w:snapToGrid w:val="0"/>
              <w:rPr>
                <w:rFonts w:ascii="宋体" w:hAnsi="宋体" w:cs="宋体"/>
                <w:color w:val="000000"/>
                <w:kern w:val="0"/>
                <w:szCs w:val="21"/>
                <w:highlight w:val="none"/>
              </w:rPr>
            </w:pPr>
            <w:r>
              <w:rPr>
                <w:rFonts w:hint="eastAsia" w:ascii="宋体" w:hAnsi="宋体" w:cs="宋体"/>
                <w:color w:val="000000"/>
                <w:kern w:val="0"/>
                <w:szCs w:val="21"/>
                <w:highlight w:val="none"/>
              </w:rPr>
              <w:t>5.2 导管轴向分辨率≤40μm</w:t>
            </w:r>
          </w:p>
        </w:tc>
        <w:tc>
          <w:tcPr>
            <w:tcW w:w="817" w:type="dxa"/>
          </w:tcPr>
          <w:p w14:paraId="3284ECE4">
            <w:pPr>
              <w:adjustRightInd w:val="0"/>
              <w:snapToGrid w:val="0"/>
              <w:rPr>
                <w:rFonts w:asciiTheme="majorEastAsia" w:hAnsiTheme="majorEastAsia" w:eastAsiaTheme="majorEastAsia"/>
                <w:b/>
                <w:sz w:val="24"/>
                <w:szCs w:val="21"/>
              </w:rPr>
            </w:pPr>
          </w:p>
        </w:tc>
      </w:tr>
      <w:tr w14:paraId="7617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B1B53F">
            <w:pPr>
              <w:adjustRightInd w:val="0"/>
              <w:snapToGrid w:val="0"/>
              <w:rPr>
                <w:rFonts w:asciiTheme="majorEastAsia" w:hAnsiTheme="majorEastAsia" w:eastAsiaTheme="majorEastAsia"/>
                <w:b/>
                <w:sz w:val="24"/>
                <w:szCs w:val="21"/>
              </w:rPr>
            </w:pPr>
          </w:p>
        </w:tc>
        <w:tc>
          <w:tcPr>
            <w:tcW w:w="935" w:type="dxa"/>
            <w:vMerge w:val="continue"/>
          </w:tcPr>
          <w:p w14:paraId="3C2F9733">
            <w:pPr>
              <w:adjustRightInd w:val="0"/>
              <w:snapToGrid w:val="0"/>
              <w:rPr>
                <w:rFonts w:asciiTheme="majorEastAsia" w:hAnsiTheme="majorEastAsia" w:eastAsiaTheme="majorEastAsia"/>
                <w:b/>
                <w:sz w:val="24"/>
                <w:szCs w:val="21"/>
              </w:rPr>
            </w:pPr>
          </w:p>
        </w:tc>
        <w:tc>
          <w:tcPr>
            <w:tcW w:w="7564" w:type="dxa"/>
            <w:gridSpan w:val="2"/>
            <w:shd w:val="clear" w:color="auto" w:fill="auto"/>
          </w:tcPr>
          <w:p w14:paraId="672B23FF">
            <w:pPr>
              <w:adjustRightInd w:val="0"/>
              <w:snapToGrid w:val="0"/>
              <w:rPr>
                <w:rFonts w:ascii="宋体" w:hAnsi="宋体" w:cs="宋体"/>
                <w:color w:val="000000"/>
                <w:kern w:val="0"/>
                <w:szCs w:val="21"/>
                <w:highlight w:val="none"/>
              </w:rPr>
            </w:pPr>
            <w:r>
              <w:rPr>
                <w:rFonts w:hint="eastAsia" w:ascii="宋体" w:hAnsi="宋体" w:cs="宋体"/>
                <w:color w:val="000000"/>
                <w:kern w:val="0"/>
                <w:szCs w:val="21"/>
                <w:highlight w:val="none"/>
              </w:rPr>
              <w:t>5.3 导管适配任指引导管</w:t>
            </w:r>
            <w:r>
              <w:rPr>
                <w:rFonts w:hint="eastAsia" w:ascii="宋体" w:hAnsi="宋体" w:cs="宋体"/>
                <w:color w:val="000000"/>
                <w:kern w:val="0"/>
                <w:szCs w:val="21"/>
                <w:highlight w:val="none"/>
                <w:lang w:eastAsia="zh-CN"/>
              </w:rPr>
              <w:t>，延伸导管</w:t>
            </w:r>
            <w:r>
              <w:rPr>
                <w:rFonts w:hint="eastAsia" w:ascii="宋体" w:hAnsi="宋体" w:cs="宋体"/>
                <w:color w:val="000000"/>
                <w:kern w:val="0"/>
                <w:szCs w:val="21"/>
                <w:highlight w:val="none"/>
              </w:rPr>
              <w:t>及任意0.014"导丝。</w:t>
            </w:r>
          </w:p>
        </w:tc>
        <w:tc>
          <w:tcPr>
            <w:tcW w:w="817" w:type="dxa"/>
          </w:tcPr>
          <w:p w14:paraId="73E87582">
            <w:pPr>
              <w:adjustRightInd w:val="0"/>
              <w:snapToGrid w:val="0"/>
              <w:rPr>
                <w:rFonts w:asciiTheme="majorEastAsia" w:hAnsiTheme="majorEastAsia" w:eastAsiaTheme="majorEastAsia"/>
                <w:b/>
                <w:sz w:val="24"/>
                <w:szCs w:val="21"/>
              </w:rPr>
            </w:pPr>
          </w:p>
        </w:tc>
      </w:tr>
      <w:tr w14:paraId="5DA6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165FA0E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0788D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F237B4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2A9A4B8D">
            <w:pPr>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合同签订后并接采购人通知_____日历日内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0D03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EDA284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1F8A8718">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34F8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57A9AF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0EF02F1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71FD8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A21B5F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7DF1CCC">
            <w:pPr>
              <w:adjustRightInd w:val="0"/>
              <w:snapToGrid w:val="0"/>
              <w:rPr>
                <w:rFonts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113E1B1E">
            <w:pPr>
              <w:widowControl/>
              <w:adjustRightInd w:val="0"/>
              <w:snapToGrid w:val="0"/>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6F42A266">
            <w:pPr>
              <w:adjustRightInd w:val="0"/>
              <w:snapToGrid w:val="0"/>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424AA43">
            <w:pPr>
              <w:adjustRightInd w:val="0"/>
              <w:snapToGrid w:val="0"/>
              <w:rPr>
                <w:rFonts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30B0A40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货到清点、安装调试验收合格正常使用后，出具全额发票，甲方凭乙方提供的完整资料，自发票到达甲方财务之日起10个工作日内，支付100%合同货款到乙方指定帐户。</w:t>
            </w:r>
          </w:p>
        </w:tc>
      </w:tr>
      <w:tr w14:paraId="5044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BD51FB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2425955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57AE266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09DCBC3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6820B47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F9BB33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5A4ED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5AD023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759ECF2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79DA4F8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157084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3F09A28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2AE9BAF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55B2F3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08AFA8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782C71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0B4ED28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2035B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A6DDBAC">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7353F08">
            <w:pPr>
              <w:adjustRightInd w:val="0"/>
              <w:snapToGrid w:val="0"/>
              <w:rPr>
                <w:rFonts w:asciiTheme="majorEastAsia" w:hAnsiTheme="majorEastAsia" w:eastAsiaTheme="majorEastAsia"/>
                <w:sz w:val="24"/>
                <w:szCs w:val="21"/>
              </w:rPr>
            </w:pPr>
          </w:p>
        </w:tc>
        <w:tc>
          <w:tcPr>
            <w:tcW w:w="8261" w:type="dxa"/>
            <w:gridSpan w:val="2"/>
          </w:tcPr>
          <w:p w14:paraId="20AB035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w:t>
            </w:r>
            <w:r>
              <w:rPr>
                <w:rFonts w:hint="eastAsia" w:ascii="宋体" w:hAnsi="宋体"/>
                <w:bCs/>
                <w:color w:val="0070C0"/>
                <w:szCs w:val="21"/>
                <w:lang w:eastAsia="zh-CN"/>
              </w:rPr>
              <w:t>终身</w:t>
            </w:r>
            <w:r>
              <w:rPr>
                <w:rFonts w:hint="eastAsia" w:ascii="宋体" w:hAnsi="宋体"/>
                <w:bCs/>
                <w:color w:val="0070C0"/>
                <w:szCs w:val="21"/>
              </w:rPr>
              <w:t>原厂保修</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0D1BEC9E">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489339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7CF1E6D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797FF0E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5337236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2FA288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102A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F44D5D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481980F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97B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37CC8F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1AA7D3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006CCFE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2722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30C9DC9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0963236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1E2752C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33A2093B">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2FF8B19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5059279B">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3CE08354">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25BB2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50B7D4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7F5DA6D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w:t>
            </w:r>
            <w:r>
              <w:rPr>
                <w:rFonts w:hint="eastAsia" w:asciiTheme="majorEastAsia" w:hAnsiTheme="majorEastAsia" w:eastAsiaTheme="majorEastAsia"/>
                <w:b/>
                <w:sz w:val="24"/>
                <w:szCs w:val="21"/>
                <w:u w:val="single"/>
              </w:rPr>
              <w:t>一次性使用血管内超声诊断导管</w:t>
            </w:r>
            <w:r>
              <w:rPr>
                <w:rFonts w:hint="eastAsia" w:asciiTheme="majorEastAsia" w:hAnsiTheme="majorEastAsia" w:eastAsiaTheme="majorEastAsia"/>
                <w:b/>
                <w:sz w:val="24"/>
                <w:szCs w:val="21"/>
              </w:rPr>
              <w:t>_</w:t>
            </w:r>
          </w:p>
          <w:p w14:paraId="53276E0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175DD3D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7DE54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C88015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6671962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25BAD73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A8182A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1D25B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238573D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7D03EC0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1829B7D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5C9E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475C41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17D8DC4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7BD64D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7B251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60" w:type="dxa"/>
            <w:vAlign w:val="center"/>
          </w:tcPr>
          <w:p w14:paraId="65EE052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35140AA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是（具体列明）：</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中型企业；</w:t>
            </w:r>
            <w:bookmarkStart w:id="2" w:name="_GoBack"/>
            <w:bookmarkEnd w:id="2"/>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小微企业</w:t>
            </w:r>
          </w:p>
          <w:p w14:paraId="7ED5A58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5E88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6168CC8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0CFBA52C">
            <w:pPr>
              <w:adjustRightInd w:val="0"/>
              <w:snapToGrid w:val="0"/>
              <w:rPr>
                <w:rFonts w:ascii="宋体" w:hAnsi="宋体" w:cs="宋体"/>
                <w:bCs/>
                <w:color w:val="000000"/>
                <w:szCs w:val="21"/>
              </w:rPr>
            </w:pPr>
            <w:r>
              <w:rPr>
                <w:rFonts w:hint="eastAsia" w:ascii="宋体" w:hAnsi="宋体" w:cs="宋体"/>
                <w:bCs/>
                <w:color w:val="000000"/>
                <w:szCs w:val="21"/>
              </w:rPr>
              <w:t>5年</w:t>
            </w:r>
          </w:p>
        </w:tc>
      </w:tr>
      <w:tr w14:paraId="6C2C2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4A7CBA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4D729EE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1AE603D7">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78304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82E089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1D46403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无</w:t>
            </w:r>
          </w:p>
        </w:tc>
      </w:tr>
    </w:tbl>
    <w:p w14:paraId="59A21DDF">
      <w:pPr>
        <w:adjustRightInd w:val="0"/>
        <w:snapToGrid w:val="0"/>
        <w:spacing w:line="360" w:lineRule="auto"/>
        <w:jc w:val="center"/>
        <w:rPr>
          <w:rFonts w:hint="eastAsia" w:cs="方正小标宋简体" w:asciiTheme="majorEastAsia" w:hAnsiTheme="majorEastAsia" w:eastAsiaTheme="majorEastAsia"/>
          <w:b/>
          <w:sz w:val="36"/>
          <w:szCs w:val="36"/>
        </w:rPr>
      </w:pPr>
    </w:p>
    <w:p w14:paraId="2651986C">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6341F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5638E400">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559A8AB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11FB745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514A0CE2">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7CC5CBD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66855A2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215B5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551B4213">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4ED04CF4">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无</w:t>
            </w:r>
          </w:p>
        </w:tc>
        <w:tc>
          <w:tcPr>
            <w:tcW w:w="2005" w:type="dxa"/>
          </w:tcPr>
          <w:p w14:paraId="1D32D476">
            <w:pPr>
              <w:widowControl/>
              <w:adjustRightInd w:val="0"/>
              <w:snapToGrid w:val="0"/>
              <w:rPr>
                <w:rFonts w:cs="方正小标宋简体" w:asciiTheme="majorEastAsia" w:hAnsiTheme="majorEastAsia" w:eastAsiaTheme="majorEastAsia"/>
                <w:sz w:val="24"/>
              </w:rPr>
            </w:pPr>
          </w:p>
        </w:tc>
        <w:tc>
          <w:tcPr>
            <w:tcW w:w="1843" w:type="dxa"/>
          </w:tcPr>
          <w:p w14:paraId="167DA0FA">
            <w:pPr>
              <w:widowControl/>
              <w:adjustRightInd w:val="0"/>
              <w:snapToGrid w:val="0"/>
              <w:rPr>
                <w:rFonts w:cs="方正小标宋简体" w:asciiTheme="majorEastAsia" w:hAnsiTheme="majorEastAsia" w:eastAsiaTheme="majorEastAsia"/>
                <w:sz w:val="24"/>
              </w:rPr>
            </w:pPr>
          </w:p>
        </w:tc>
        <w:tc>
          <w:tcPr>
            <w:tcW w:w="1417" w:type="dxa"/>
          </w:tcPr>
          <w:p w14:paraId="1CA15ED6">
            <w:pPr>
              <w:widowControl/>
              <w:adjustRightInd w:val="0"/>
              <w:snapToGrid w:val="0"/>
              <w:rPr>
                <w:rFonts w:cs="方正小标宋简体" w:asciiTheme="majorEastAsia" w:hAnsiTheme="majorEastAsia" w:eastAsiaTheme="majorEastAsia"/>
                <w:sz w:val="24"/>
              </w:rPr>
            </w:pPr>
          </w:p>
        </w:tc>
        <w:tc>
          <w:tcPr>
            <w:tcW w:w="1560" w:type="dxa"/>
          </w:tcPr>
          <w:p w14:paraId="28EBCEB0">
            <w:pPr>
              <w:widowControl/>
              <w:adjustRightInd w:val="0"/>
              <w:snapToGrid w:val="0"/>
              <w:rPr>
                <w:rFonts w:cs="方正小标宋简体" w:asciiTheme="majorEastAsia" w:hAnsiTheme="majorEastAsia" w:eastAsiaTheme="majorEastAsia"/>
                <w:sz w:val="24"/>
              </w:rPr>
            </w:pPr>
          </w:p>
        </w:tc>
      </w:tr>
    </w:tbl>
    <w:p w14:paraId="5A47E261">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4109"/>
        <w:gridCol w:w="2605"/>
        <w:gridCol w:w="2393"/>
      </w:tblGrid>
      <w:tr w14:paraId="4A4D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dxa"/>
            <w:vAlign w:val="center"/>
          </w:tcPr>
          <w:p w14:paraId="666BCD52">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16820C7B">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494AAF1F">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393" w:type="dxa"/>
            <w:vAlign w:val="center"/>
          </w:tcPr>
          <w:p w14:paraId="5B81E0AD">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247F6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dxa"/>
            <w:vAlign w:val="center"/>
          </w:tcPr>
          <w:p w14:paraId="1CF431C7">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0A98D9AE">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7611130C">
            <w:pPr>
              <w:widowControl/>
              <w:jc w:val="center"/>
              <w:rPr>
                <w:rFonts w:cs="方正小标宋简体" w:asciiTheme="majorEastAsia" w:hAnsiTheme="majorEastAsia" w:eastAsiaTheme="majorEastAsia"/>
                <w:sz w:val="24"/>
              </w:rPr>
            </w:pPr>
          </w:p>
        </w:tc>
        <w:tc>
          <w:tcPr>
            <w:tcW w:w="2393" w:type="dxa"/>
            <w:vAlign w:val="center"/>
          </w:tcPr>
          <w:p w14:paraId="3179AB02">
            <w:pPr>
              <w:widowControl/>
              <w:jc w:val="center"/>
              <w:rPr>
                <w:rFonts w:cs="方正小标宋简体" w:asciiTheme="majorEastAsia" w:hAnsiTheme="majorEastAsia" w:eastAsiaTheme="majorEastAsia"/>
                <w:sz w:val="24"/>
              </w:rPr>
            </w:pPr>
          </w:p>
        </w:tc>
      </w:tr>
    </w:tbl>
    <w:p w14:paraId="709C34D2">
      <w:pPr>
        <w:rPr>
          <w:rFonts w:cs="方正小标宋简体" w:asciiTheme="majorEastAsia" w:hAnsiTheme="majorEastAsia" w:eastAsiaTheme="majorEastAsia"/>
          <w:sz w:val="10"/>
          <w:szCs w:val="10"/>
        </w:rPr>
      </w:pPr>
    </w:p>
    <w:tbl>
      <w:tblPr>
        <w:tblStyle w:val="9"/>
        <w:tblW w:w="10158"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12"/>
        <w:gridCol w:w="3085"/>
        <w:gridCol w:w="1704"/>
        <w:gridCol w:w="1716"/>
        <w:gridCol w:w="2641"/>
      </w:tblGrid>
      <w:tr w14:paraId="37E5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012" w:type="dxa"/>
            <w:shd w:val="clear" w:color="auto" w:fill="auto"/>
            <w:noWrap/>
            <w:vAlign w:val="center"/>
          </w:tcPr>
          <w:p w14:paraId="273162B0">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3A784719">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085" w:type="dxa"/>
            <w:shd w:val="clear" w:color="auto" w:fill="auto"/>
            <w:vAlign w:val="center"/>
          </w:tcPr>
          <w:p w14:paraId="4D98BEB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04" w:type="dxa"/>
            <w:shd w:val="clear" w:color="auto" w:fill="auto"/>
            <w:vAlign w:val="center"/>
          </w:tcPr>
          <w:p w14:paraId="7633B6D4">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16" w:type="dxa"/>
            <w:shd w:val="clear" w:color="auto" w:fill="auto"/>
            <w:vAlign w:val="center"/>
          </w:tcPr>
          <w:p w14:paraId="7B9605E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41" w:type="dxa"/>
            <w:shd w:val="clear" w:color="auto" w:fill="auto"/>
            <w:vAlign w:val="center"/>
          </w:tcPr>
          <w:p w14:paraId="127C27B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0743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12" w:type="dxa"/>
            <w:shd w:val="clear" w:color="auto" w:fill="auto"/>
            <w:vAlign w:val="center"/>
          </w:tcPr>
          <w:p w14:paraId="213FE676">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085" w:type="dxa"/>
            <w:shd w:val="clear" w:color="auto" w:fill="auto"/>
            <w:vAlign w:val="center"/>
          </w:tcPr>
          <w:p w14:paraId="6D7F7A37">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一次性使用血管内超声诊断导管</w:t>
            </w:r>
          </w:p>
        </w:tc>
        <w:tc>
          <w:tcPr>
            <w:tcW w:w="1704" w:type="dxa"/>
            <w:shd w:val="clear" w:color="auto" w:fill="auto"/>
            <w:vAlign w:val="center"/>
          </w:tcPr>
          <w:p w14:paraId="7FA493C6">
            <w:pPr>
              <w:adjustRightInd w:val="0"/>
              <w:snapToGrid w:val="0"/>
              <w:jc w:val="center"/>
              <w:rPr>
                <w:rFonts w:hint="default" w:asciiTheme="majorEastAsia" w:hAnsiTheme="majorEastAsia" w:eastAsiaTheme="majorEastAsia"/>
                <w:b/>
                <w:sz w:val="24"/>
                <w:szCs w:val="21"/>
                <w:lang w:val="en-US" w:eastAsia="zh-CN"/>
              </w:rPr>
            </w:pPr>
          </w:p>
        </w:tc>
        <w:tc>
          <w:tcPr>
            <w:tcW w:w="1716" w:type="dxa"/>
            <w:shd w:val="clear" w:color="auto" w:fill="auto"/>
            <w:vAlign w:val="center"/>
          </w:tcPr>
          <w:p w14:paraId="0691CBA4">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100</w:t>
            </w:r>
          </w:p>
        </w:tc>
        <w:tc>
          <w:tcPr>
            <w:tcW w:w="2641" w:type="dxa"/>
            <w:shd w:val="clear" w:color="auto" w:fill="auto"/>
            <w:vAlign w:val="center"/>
          </w:tcPr>
          <w:p w14:paraId="6C30806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4568</w:t>
            </w:r>
          </w:p>
        </w:tc>
      </w:tr>
    </w:tbl>
    <w:p w14:paraId="36145DF2">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610F23A6">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14:paraId="0088791C">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lNGI1YjQyZmNlYmZhODcwM2NmODBiZTlmY2JkNmMifQ=="/>
  </w:docVars>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B2199"/>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65A7E"/>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7033C"/>
    <w:rsid w:val="002850D0"/>
    <w:rsid w:val="002956A8"/>
    <w:rsid w:val="0029701C"/>
    <w:rsid w:val="00297C31"/>
    <w:rsid w:val="002B3785"/>
    <w:rsid w:val="002F2102"/>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07F8E"/>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A5D5A"/>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957EF"/>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541EA9"/>
    <w:rsid w:val="0611217C"/>
    <w:rsid w:val="064E4F89"/>
    <w:rsid w:val="07AE3385"/>
    <w:rsid w:val="08CB6FF6"/>
    <w:rsid w:val="096B1B3E"/>
    <w:rsid w:val="09D924B7"/>
    <w:rsid w:val="0A5F2B10"/>
    <w:rsid w:val="0ADD081A"/>
    <w:rsid w:val="0E611762"/>
    <w:rsid w:val="0ECE7822"/>
    <w:rsid w:val="0F8E7447"/>
    <w:rsid w:val="119B6051"/>
    <w:rsid w:val="12A25084"/>
    <w:rsid w:val="12EE1574"/>
    <w:rsid w:val="13182014"/>
    <w:rsid w:val="142B2292"/>
    <w:rsid w:val="15FB47D0"/>
    <w:rsid w:val="162A1B44"/>
    <w:rsid w:val="17EE2B75"/>
    <w:rsid w:val="19A66D0D"/>
    <w:rsid w:val="1A385FE8"/>
    <w:rsid w:val="1DDA3AF0"/>
    <w:rsid w:val="1E12700E"/>
    <w:rsid w:val="20667968"/>
    <w:rsid w:val="21971856"/>
    <w:rsid w:val="21CD4745"/>
    <w:rsid w:val="224A32AB"/>
    <w:rsid w:val="22916A46"/>
    <w:rsid w:val="22E10C1D"/>
    <w:rsid w:val="254044FA"/>
    <w:rsid w:val="27FA5000"/>
    <w:rsid w:val="283D6944"/>
    <w:rsid w:val="2A32072A"/>
    <w:rsid w:val="2A3D2094"/>
    <w:rsid w:val="2A5C1C1E"/>
    <w:rsid w:val="2ACC4CE6"/>
    <w:rsid w:val="2AFC2110"/>
    <w:rsid w:val="2B252436"/>
    <w:rsid w:val="2BDD7795"/>
    <w:rsid w:val="2CB56BB2"/>
    <w:rsid w:val="2DBB736B"/>
    <w:rsid w:val="2E3F0A4B"/>
    <w:rsid w:val="352B0250"/>
    <w:rsid w:val="359B56E2"/>
    <w:rsid w:val="366D6BB6"/>
    <w:rsid w:val="388B46B6"/>
    <w:rsid w:val="38E86458"/>
    <w:rsid w:val="3B8561E0"/>
    <w:rsid w:val="3D5831B2"/>
    <w:rsid w:val="3EB2662C"/>
    <w:rsid w:val="405A2A00"/>
    <w:rsid w:val="40E95161"/>
    <w:rsid w:val="41A01BAB"/>
    <w:rsid w:val="42175103"/>
    <w:rsid w:val="445F60B6"/>
    <w:rsid w:val="4497145E"/>
    <w:rsid w:val="44A40821"/>
    <w:rsid w:val="44EC38D6"/>
    <w:rsid w:val="498855FD"/>
    <w:rsid w:val="49885819"/>
    <w:rsid w:val="4D323491"/>
    <w:rsid w:val="4E280CF3"/>
    <w:rsid w:val="5299126E"/>
    <w:rsid w:val="52E62D74"/>
    <w:rsid w:val="566D4594"/>
    <w:rsid w:val="577A5479"/>
    <w:rsid w:val="58242AE0"/>
    <w:rsid w:val="58AB396B"/>
    <w:rsid w:val="58BF28DA"/>
    <w:rsid w:val="5B2C0C0F"/>
    <w:rsid w:val="5BDE3A84"/>
    <w:rsid w:val="5C3D7FFD"/>
    <w:rsid w:val="5C483C8E"/>
    <w:rsid w:val="5CEB776F"/>
    <w:rsid w:val="5D1C02FB"/>
    <w:rsid w:val="61C150AE"/>
    <w:rsid w:val="6388493C"/>
    <w:rsid w:val="650820A5"/>
    <w:rsid w:val="650C7FA6"/>
    <w:rsid w:val="663B31C1"/>
    <w:rsid w:val="6692787F"/>
    <w:rsid w:val="66AC0259"/>
    <w:rsid w:val="66D103A8"/>
    <w:rsid w:val="67521BCD"/>
    <w:rsid w:val="68C670EE"/>
    <w:rsid w:val="68F42334"/>
    <w:rsid w:val="6AFD60D5"/>
    <w:rsid w:val="6B43614A"/>
    <w:rsid w:val="6F633413"/>
    <w:rsid w:val="6F9E571F"/>
    <w:rsid w:val="6FD069CC"/>
    <w:rsid w:val="70193FB5"/>
    <w:rsid w:val="73374A1C"/>
    <w:rsid w:val="738F7392"/>
    <w:rsid w:val="762C283F"/>
    <w:rsid w:val="767D5D1E"/>
    <w:rsid w:val="769B452E"/>
    <w:rsid w:val="76E03ABB"/>
    <w:rsid w:val="79AC0800"/>
    <w:rsid w:val="7A6F030F"/>
    <w:rsid w:val="7A89169D"/>
    <w:rsid w:val="7ACC5A95"/>
    <w:rsid w:val="7B1E3903"/>
    <w:rsid w:val="7E0B79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列出段落2"/>
    <w:basedOn w:val="1"/>
    <w:autoRedefine/>
    <w:unhideWhenUsed/>
    <w:qFormat/>
    <w:uiPriority w:val="99"/>
    <w:pPr>
      <w:ind w:firstLine="420" w:firstLineChars="200"/>
    </w:pPr>
  </w:style>
  <w:style w:type="character" w:customStyle="1" w:styleId="25">
    <w:name w:val="font31"/>
    <w:basedOn w:val="11"/>
    <w:qFormat/>
    <w:uiPriority w:val="0"/>
    <w:rPr>
      <w:rFonts w:hint="eastAsia" w:ascii="楷体" w:hAnsi="楷体" w:eastAsia="楷体" w:cs="楷体"/>
      <w:color w:val="000000"/>
      <w:sz w:val="21"/>
      <w:szCs w:val="21"/>
      <w:u w:val="none"/>
    </w:rPr>
  </w:style>
  <w:style w:type="character" w:customStyle="1" w:styleId="26">
    <w:name w:val="font21"/>
    <w:basedOn w:val="11"/>
    <w:qFormat/>
    <w:uiPriority w:val="0"/>
    <w:rPr>
      <w:rFonts w:hint="default" w:ascii="Calibri" w:hAnsi="Calibri" w:cs="Calibri"/>
      <w:color w:val="000000"/>
      <w:sz w:val="21"/>
      <w:szCs w:val="21"/>
      <w:u w:val="none"/>
    </w:rPr>
  </w:style>
  <w:style w:type="character" w:customStyle="1" w:styleId="27">
    <w:name w:val="font81"/>
    <w:basedOn w:val="11"/>
    <w:qFormat/>
    <w:uiPriority w:val="0"/>
    <w:rPr>
      <w:rFonts w:hint="eastAsia" w:ascii="楷体" w:hAnsi="楷体" w:eastAsia="楷体" w:cs="楷体"/>
      <w:b/>
      <w:bCs/>
      <w:color w:val="000000"/>
      <w:sz w:val="21"/>
      <w:szCs w:val="21"/>
      <w:u w:val="none"/>
    </w:rPr>
  </w:style>
  <w:style w:type="character" w:customStyle="1" w:styleId="28">
    <w:name w:val="font91"/>
    <w:basedOn w:val="11"/>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6115</Words>
  <Characters>6462</Characters>
  <Lines>58</Lines>
  <Paragraphs>16</Paragraphs>
  <TotalTime>0</TotalTime>
  <ScaleCrop>false</ScaleCrop>
  <LinksUpToDate>false</LinksUpToDate>
  <CharactersWithSpaces>6559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5J1</cp:lastModifiedBy>
  <cp:lastPrinted>2025-09-02T02:52:00Z</cp:lastPrinted>
  <dcterms:modified xsi:type="dcterms:W3CDTF">2026-04-14T03:00:10Z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736AE0EDDB0340409EE0F6AF9C70EE72_13</vt:lpwstr>
  </property>
</Properties>
</file>