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F69C5">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335998C9">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F473848">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A46CCCB">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92B48C9">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C9413F9">
      <w:pPr>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申请科室：急诊科EICU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2A536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7CEFFD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B39A06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CCBDD1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43EDD2B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15B966A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4A4335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3756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5D64EC76">
            <w:pPr>
              <w:jc w:val="center"/>
              <w:rPr>
                <w:rFonts w:asciiTheme="majorEastAsia" w:hAnsiTheme="majorEastAsia" w:eastAsiaTheme="majorEastAsia"/>
                <w:sz w:val="24"/>
                <w:szCs w:val="21"/>
              </w:rPr>
            </w:pPr>
            <w:r>
              <w:rPr>
                <w:rFonts w:hint="eastAsia" w:ascii="宋体" w:hAnsi="宋体" w:cs="宋体"/>
                <w:sz w:val="24"/>
              </w:rPr>
              <w:t>脉搏血氧及脑电测量仪</w:t>
            </w:r>
          </w:p>
        </w:tc>
        <w:tc>
          <w:tcPr>
            <w:tcW w:w="1559" w:type="dxa"/>
            <w:gridSpan w:val="3"/>
            <w:vAlign w:val="center"/>
          </w:tcPr>
          <w:p w14:paraId="03D05E7C">
            <w:pPr>
              <w:jc w:val="center"/>
              <w:rPr>
                <w:rFonts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允许</w:t>
            </w:r>
            <w:r>
              <w:rPr>
                <w:rFonts w:hint="eastAsia" w:asciiTheme="majorEastAsia" w:hAnsiTheme="majorEastAsia" w:eastAsiaTheme="majorEastAsia"/>
                <w:sz w:val="24"/>
                <w:szCs w:val="21"/>
              </w:rPr>
              <w:t>进口</w:t>
            </w:r>
          </w:p>
        </w:tc>
        <w:tc>
          <w:tcPr>
            <w:tcW w:w="1134" w:type="dxa"/>
            <w:gridSpan w:val="3"/>
            <w:vAlign w:val="center"/>
          </w:tcPr>
          <w:p w14:paraId="6BC578E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11BD6A6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2AA6C0F7">
            <w:pPr>
              <w:jc w:val="center"/>
              <w:rPr>
                <w:rFonts w:asciiTheme="majorEastAsia" w:hAnsiTheme="majorEastAsia" w:eastAsiaTheme="majorEastAsia"/>
                <w:sz w:val="24"/>
                <w:szCs w:val="21"/>
              </w:rPr>
            </w:pPr>
            <w:r>
              <w:rPr>
                <w:rFonts w:asciiTheme="majorEastAsia" w:hAnsiTheme="majorEastAsia" w:eastAsiaTheme="majorEastAsia"/>
                <w:sz w:val="24"/>
                <w:szCs w:val="21"/>
                <w:u w:val="none"/>
              </w:rPr>
              <w:t>10</w:t>
            </w:r>
          </w:p>
        </w:tc>
        <w:tc>
          <w:tcPr>
            <w:tcW w:w="2055" w:type="dxa"/>
            <w:gridSpan w:val="2"/>
            <w:vAlign w:val="center"/>
          </w:tcPr>
          <w:p w14:paraId="5A458045">
            <w:pPr>
              <w:jc w:val="center"/>
              <w:rPr>
                <w:rFonts w:asciiTheme="majorEastAsia" w:hAnsiTheme="majorEastAsia" w:eastAsiaTheme="majorEastAsia"/>
                <w:sz w:val="24"/>
                <w:szCs w:val="21"/>
              </w:rPr>
            </w:pPr>
            <w:r>
              <w:rPr>
                <w:rFonts w:asciiTheme="majorEastAsia" w:hAnsiTheme="majorEastAsia" w:eastAsiaTheme="majorEastAsia"/>
                <w:sz w:val="24"/>
                <w:szCs w:val="21"/>
              </w:rPr>
              <w:t>10</w:t>
            </w:r>
          </w:p>
        </w:tc>
      </w:tr>
      <w:tr w14:paraId="30A5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834534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43550B73">
            <w:pPr>
              <w:rPr>
                <w:rFonts w:asciiTheme="majorEastAsia" w:hAnsiTheme="majorEastAsia" w:eastAsiaTheme="majorEastAsia"/>
                <w:sz w:val="24"/>
                <w:szCs w:val="21"/>
              </w:rPr>
            </w:pPr>
            <w:r>
              <w:rPr>
                <w:rFonts w:hint="eastAsia" w:cs="Tahoma"/>
                <w:color w:val="000000"/>
              </w:rPr>
              <w:t>使用脉搏血氧及脑电测量仪</w:t>
            </w:r>
            <w:r>
              <w:rPr>
                <w:rFonts w:hint="eastAsia"/>
              </w:rPr>
              <w:t>通过监测镇静患者的脑电情况，以客观的评价镇静深度，为临床诊疗提供客观可靠的原始信息，</w:t>
            </w:r>
            <w:r>
              <w:rPr>
                <w:rFonts w:hint="eastAsia" w:cs="Tahoma"/>
                <w:color w:val="000000"/>
              </w:rPr>
              <w:t>同时监测双侧大脑，为临床提供全面的信息和指导</w:t>
            </w:r>
            <w:r>
              <w:rPr>
                <w:rFonts w:hint="eastAsia"/>
              </w:rPr>
              <w:t>，</w:t>
            </w:r>
            <w:r>
              <w:rPr>
                <w:rFonts w:hint="eastAsia"/>
                <w:color w:val="000000"/>
              </w:rPr>
              <w:t>判断是因为给药的问题导致镇静程度不充分，还是因为病人受到刺激或新陈代谢水平的改变所致的药物需求量不够，同时还可以评价作用于大脑药物的动态效果，保障安全，减少并发症和住院时间</w:t>
            </w:r>
          </w:p>
        </w:tc>
      </w:tr>
      <w:tr w14:paraId="0505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47BBA714">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DD9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17E5C6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27ABA14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7E55F92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434526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4EF1AFE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28F5F7C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7F3046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7A1B92D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EDDBE1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6BD24CC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4A75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E26382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2845" w:type="dxa"/>
            <w:gridSpan w:val="3"/>
            <w:vAlign w:val="center"/>
          </w:tcPr>
          <w:p w14:paraId="6B4517C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主机</w:t>
            </w:r>
          </w:p>
        </w:tc>
        <w:tc>
          <w:tcPr>
            <w:tcW w:w="850" w:type="dxa"/>
            <w:vMerge w:val="restart"/>
            <w:vAlign w:val="center"/>
          </w:tcPr>
          <w:p w14:paraId="54AEA89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允许</w:t>
            </w:r>
            <w:r>
              <w:rPr>
                <w:rFonts w:hint="eastAsia" w:asciiTheme="majorEastAsia" w:hAnsiTheme="majorEastAsia" w:eastAsiaTheme="majorEastAsia"/>
                <w:bCs/>
                <w:sz w:val="24"/>
                <w:szCs w:val="21"/>
              </w:rPr>
              <w:t>进口</w:t>
            </w:r>
          </w:p>
        </w:tc>
        <w:tc>
          <w:tcPr>
            <w:tcW w:w="567" w:type="dxa"/>
            <w:gridSpan w:val="2"/>
            <w:vAlign w:val="center"/>
          </w:tcPr>
          <w:p w14:paraId="4B86FE7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14DD62B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851" w:type="dxa"/>
            <w:gridSpan w:val="2"/>
            <w:vMerge w:val="restart"/>
            <w:vAlign w:val="center"/>
          </w:tcPr>
          <w:p w14:paraId="0C1FE803">
            <w:pPr>
              <w:jc w:val="center"/>
              <w:rPr>
                <w:rFonts w:asciiTheme="majorEastAsia" w:hAnsiTheme="majorEastAsia" w:eastAsiaTheme="majorEastAsia"/>
                <w:bCs/>
                <w:sz w:val="24"/>
                <w:szCs w:val="21"/>
              </w:rPr>
            </w:pPr>
            <w:r>
              <w:rPr>
                <w:rFonts w:asciiTheme="majorEastAsia" w:hAnsiTheme="majorEastAsia" w:eastAsiaTheme="majorEastAsia"/>
                <w:bCs/>
                <w:sz w:val="24"/>
                <w:szCs w:val="21"/>
              </w:rPr>
              <w:t>10</w:t>
            </w:r>
          </w:p>
        </w:tc>
        <w:tc>
          <w:tcPr>
            <w:tcW w:w="1134" w:type="dxa"/>
            <w:gridSpan w:val="2"/>
            <w:vMerge w:val="restart"/>
            <w:vAlign w:val="center"/>
          </w:tcPr>
          <w:p w14:paraId="3F14680C">
            <w:pPr>
              <w:jc w:val="center"/>
              <w:rPr>
                <w:rFonts w:asciiTheme="majorEastAsia" w:hAnsiTheme="majorEastAsia" w:eastAsiaTheme="majorEastAsia"/>
                <w:bCs/>
                <w:sz w:val="24"/>
                <w:szCs w:val="21"/>
              </w:rPr>
            </w:pPr>
            <w:r>
              <w:rPr>
                <w:rFonts w:asciiTheme="majorEastAsia" w:hAnsiTheme="majorEastAsia" w:eastAsiaTheme="majorEastAsia"/>
                <w:bCs/>
                <w:sz w:val="24"/>
                <w:szCs w:val="21"/>
              </w:rPr>
              <w:t>10</w:t>
            </w:r>
          </w:p>
        </w:tc>
        <w:tc>
          <w:tcPr>
            <w:tcW w:w="1417" w:type="dxa"/>
            <w:vAlign w:val="center"/>
          </w:tcPr>
          <w:p w14:paraId="0CE86D9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993" w:type="dxa"/>
            <w:vMerge w:val="restart"/>
            <w:vAlign w:val="center"/>
          </w:tcPr>
          <w:p w14:paraId="4BC16D3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Merge w:val="restart"/>
            <w:vAlign w:val="center"/>
          </w:tcPr>
          <w:p w14:paraId="56886AC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715D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146106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2845" w:type="dxa"/>
            <w:gridSpan w:val="3"/>
            <w:vAlign w:val="center"/>
          </w:tcPr>
          <w:p w14:paraId="17EF56F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脑电模块</w:t>
            </w:r>
          </w:p>
        </w:tc>
        <w:tc>
          <w:tcPr>
            <w:tcW w:w="850" w:type="dxa"/>
            <w:vMerge w:val="continue"/>
            <w:vAlign w:val="center"/>
          </w:tcPr>
          <w:p w14:paraId="53E839FD">
            <w:pPr>
              <w:jc w:val="center"/>
              <w:rPr>
                <w:rFonts w:asciiTheme="majorEastAsia" w:hAnsiTheme="majorEastAsia" w:eastAsiaTheme="majorEastAsia"/>
                <w:bCs/>
                <w:sz w:val="24"/>
                <w:szCs w:val="21"/>
              </w:rPr>
            </w:pPr>
          </w:p>
        </w:tc>
        <w:tc>
          <w:tcPr>
            <w:tcW w:w="567" w:type="dxa"/>
            <w:gridSpan w:val="2"/>
            <w:vAlign w:val="center"/>
          </w:tcPr>
          <w:p w14:paraId="0F058D3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6306EC1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851" w:type="dxa"/>
            <w:gridSpan w:val="2"/>
            <w:vMerge w:val="continue"/>
            <w:vAlign w:val="center"/>
          </w:tcPr>
          <w:p w14:paraId="1B9D07C7">
            <w:pPr>
              <w:jc w:val="center"/>
              <w:rPr>
                <w:rFonts w:asciiTheme="majorEastAsia" w:hAnsiTheme="majorEastAsia" w:eastAsiaTheme="majorEastAsia"/>
                <w:bCs/>
                <w:sz w:val="24"/>
                <w:szCs w:val="21"/>
              </w:rPr>
            </w:pPr>
          </w:p>
        </w:tc>
        <w:tc>
          <w:tcPr>
            <w:tcW w:w="1134" w:type="dxa"/>
            <w:gridSpan w:val="2"/>
            <w:vMerge w:val="continue"/>
            <w:vAlign w:val="center"/>
          </w:tcPr>
          <w:p w14:paraId="72401EB4">
            <w:pPr>
              <w:jc w:val="center"/>
              <w:rPr>
                <w:rFonts w:asciiTheme="majorEastAsia" w:hAnsiTheme="majorEastAsia" w:eastAsiaTheme="majorEastAsia"/>
                <w:bCs/>
                <w:sz w:val="24"/>
                <w:szCs w:val="21"/>
              </w:rPr>
            </w:pPr>
          </w:p>
        </w:tc>
        <w:tc>
          <w:tcPr>
            <w:tcW w:w="1417" w:type="dxa"/>
            <w:vAlign w:val="center"/>
          </w:tcPr>
          <w:p w14:paraId="20E6CF30">
            <w:pPr>
              <w:jc w:val="center"/>
              <w:rPr>
                <w:rFonts w:hint="default" w:asciiTheme="majorEastAsia" w:hAnsiTheme="majorEastAsia" w:eastAsiaTheme="majorEastAsia"/>
                <w:bCs/>
                <w:sz w:val="24"/>
                <w:szCs w:val="21"/>
                <w:lang w:val="en-US" w:eastAsia="zh-CN"/>
              </w:rPr>
            </w:pPr>
            <w:r>
              <w:rPr>
                <w:rFonts w:hint="eastAsia" w:asciiTheme="majorEastAsia" w:hAnsiTheme="majorEastAsia" w:eastAsiaTheme="majorEastAsia"/>
                <w:bCs/>
                <w:sz w:val="24"/>
                <w:szCs w:val="21"/>
                <w:lang w:val="en-US" w:eastAsia="zh-CN"/>
              </w:rPr>
              <w:t>据实填报</w:t>
            </w:r>
          </w:p>
        </w:tc>
        <w:tc>
          <w:tcPr>
            <w:tcW w:w="993" w:type="dxa"/>
            <w:vMerge w:val="continue"/>
            <w:vAlign w:val="center"/>
          </w:tcPr>
          <w:p w14:paraId="51A71836">
            <w:pPr>
              <w:jc w:val="center"/>
              <w:rPr>
                <w:rFonts w:asciiTheme="majorEastAsia" w:hAnsiTheme="majorEastAsia" w:eastAsiaTheme="majorEastAsia"/>
                <w:bCs/>
                <w:sz w:val="24"/>
                <w:szCs w:val="21"/>
              </w:rPr>
            </w:pPr>
          </w:p>
        </w:tc>
        <w:tc>
          <w:tcPr>
            <w:tcW w:w="1062" w:type="dxa"/>
            <w:vMerge w:val="continue"/>
            <w:vAlign w:val="center"/>
          </w:tcPr>
          <w:p w14:paraId="1258BD2A">
            <w:pPr>
              <w:jc w:val="center"/>
              <w:rPr>
                <w:rFonts w:asciiTheme="majorEastAsia" w:hAnsiTheme="majorEastAsia" w:eastAsiaTheme="majorEastAsia"/>
                <w:bCs/>
                <w:sz w:val="24"/>
                <w:szCs w:val="21"/>
              </w:rPr>
            </w:pPr>
          </w:p>
        </w:tc>
      </w:tr>
      <w:tr w14:paraId="48CB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31" w:type="dxa"/>
            <w:vAlign w:val="center"/>
          </w:tcPr>
          <w:p w14:paraId="342EC3F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3</w:t>
            </w:r>
          </w:p>
        </w:tc>
        <w:tc>
          <w:tcPr>
            <w:tcW w:w="2845" w:type="dxa"/>
            <w:gridSpan w:val="3"/>
            <w:vAlign w:val="center"/>
          </w:tcPr>
          <w:p w14:paraId="0121583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导联线</w:t>
            </w:r>
          </w:p>
        </w:tc>
        <w:tc>
          <w:tcPr>
            <w:tcW w:w="850" w:type="dxa"/>
            <w:vMerge w:val="continue"/>
            <w:vAlign w:val="center"/>
          </w:tcPr>
          <w:p w14:paraId="7741FC43">
            <w:pPr>
              <w:jc w:val="center"/>
              <w:rPr>
                <w:rFonts w:asciiTheme="majorEastAsia" w:hAnsiTheme="majorEastAsia" w:eastAsiaTheme="majorEastAsia"/>
                <w:bCs/>
                <w:sz w:val="24"/>
                <w:szCs w:val="21"/>
              </w:rPr>
            </w:pPr>
          </w:p>
        </w:tc>
        <w:tc>
          <w:tcPr>
            <w:tcW w:w="567" w:type="dxa"/>
            <w:gridSpan w:val="2"/>
            <w:vAlign w:val="center"/>
          </w:tcPr>
          <w:p w14:paraId="39777EB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384518E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条</w:t>
            </w:r>
          </w:p>
        </w:tc>
        <w:tc>
          <w:tcPr>
            <w:tcW w:w="851" w:type="dxa"/>
            <w:gridSpan w:val="2"/>
            <w:vMerge w:val="continue"/>
            <w:vAlign w:val="center"/>
          </w:tcPr>
          <w:p w14:paraId="4DD961BC">
            <w:pPr>
              <w:jc w:val="center"/>
              <w:rPr>
                <w:rFonts w:asciiTheme="majorEastAsia" w:hAnsiTheme="majorEastAsia" w:eastAsiaTheme="majorEastAsia"/>
                <w:bCs/>
                <w:sz w:val="24"/>
                <w:szCs w:val="21"/>
              </w:rPr>
            </w:pPr>
          </w:p>
        </w:tc>
        <w:tc>
          <w:tcPr>
            <w:tcW w:w="1134" w:type="dxa"/>
            <w:gridSpan w:val="2"/>
            <w:vMerge w:val="continue"/>
            <w:vAlign w:val="center"/>
          </w:tcPr>
          <w:p w14:paraId="278740E4">
            <w:pPr>
              <w:jc w:val="center"/>
              <w:rPr>
                <w:rFonts w:asciiTheme="majorEastAsia" w:hAnsiTheme="majorEastAsia" w:eastAsiaTheme="majorEastAsia"/>
                <w:bCs/>
                <w:sz w:val="24"/>
                <w:szCs w:val="21"/>
              </w:rPr>
            </w:pPr>
          </w:p>
        </w:tc>
        <w:tc>
          <w:tcPr>
            <w:tcW w:w="1417" w:type="dxa"/>
            <w:vAlign w:val="center"/>
          </w:tcPr>
          <w:p w14:paraId="0AD12B4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993" w:type="dxa"/>
            <w:vMerge w:val="continue"/>
            <w:vAlign w:val="center"/>
          </w:tcPr>
          <w:p w14:paraId="1575B1A3">
            <w:pPr>
              <w:jc w:val="center"/>
              <w:rPr>
                <w:rFonts w:asciiTheme="majorEastAsia" w:hAnsiTheme="majorEastAsia" w:eastAsiaTheme="majorEastAsia"/>
                <w:bCs/>
                <w:sz w:val="24"/>
                <w:szCs w:val="21"/>
              </w:rPr>
            </w:pPr>
          </w:p>
        </w:tc>
        <w:tc>
          <w:tcPr>
            <w:tcW w:w="1062" w:type="dxa"/>
            <w:vMerge w:val="continue"/>
            <w:vAlign w:val="center"/>
          </w:tcPr>
          <w:p w14:paraId="5F2C7D33">
            <w:pPr>
              <w:jc w:val="center"/>
              <w:rPr>
                <w:rFonts w:asciiTheme="majorEastAsia" w:hAnsiTheme="majorEastAsia" w:eastAsiaTheme="majorEastAsia"/>
                <w:bCs/>
                <w:sz w:val="24"/>
                <w:szCs w:val="21"/>
              </w:rPr>
            </w:pPr>
          </w:p>
        </w:tc>
      </w:tr>
    </w:tbl>
    <w:p w14:paraId="013631F6">
      <w:pPr>
        <w:spacing w:before="100" w:beforeAutospacing="1" w:after="240"/>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7274FE9">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A315132">
      <w:pPr>
        <w:pStyle w:val="16"/>
        <w:adjustRightInd w:val="0"/>
        <w:snapToGrid w:val="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2D56277">
      <w:pPr>
        <w:ind w:firstLine="480" w:firstLineChars="200"/>
        <w:rPr>
          <w:rFonts w:hint="eastAsia" w:cs="宋体" w:asciiTheme="majorEastAsia" w:hAnsiTheme="majorEastAsia" w:eastAsiaTheme="majorEastAsia"/>
          <w:kern w:val="2"/>
          <w:sz w:val="24"/>
          <w:szCs w:val="24"/>
          <w:lang w:val="en-US" w:eastAsia="zh-CN" w:bidi="ar-SA"/>
        </w:rPr>
      </w:pPr>
      <w:r>
        <w:rPr>
          <w:rFonts w:hint="eastAsia" w:cs="宋体" w:asciiTheme="majorEastAsia" w:hAnsiTheme="majorEastAsia" w:eastAsiaTheme="majorEastAsia"/>
          <w:kern w:val="2"/>
          <w:sz w:val="24"/>
          <w:szCs w:val="24"/>
          <w:lang w:val="en-US" w:eastAsia="zh-CN" w:bidi="ar-SA"/>
        </w:rPr>
        <w:t>若所投产品为进口，供应商须为所投产品制造商或者合法代理商或合法代理商的授权商，供应商若为制造商，须提供制造商声明扫描件；供应商若为代理商，须提供有效的代理证明文件扫描件；供应商若为授权商，须提供有效的授权证明文件扫描件。</w:t>
      </w:r>
    </w:p>
    <w:p w14:paraId="4C7339DB">
      <w:pPr>
        <w:pStyle w:val="16"/>
        <w:adjustRightInd w:val="0"/>
        <w:snapToGrid w:val="0"/>
        <w:rPr>
          <w:rFonts w:hint="eastAsia" w:cs="宋体" w:asciiTheme="majorEastAsia" w:hAnsiTheme="majorEastAsia" w:eastAsiaTheme="majorEastAsia"/>
          <w:sz w:val="24"/>
        </w:rPr>
      </w:pPr>
    </w:p>
    <w:p w14:paraId="3104CF4F">
      <w:pPr>
        <w:numPr>
          <w:ilvl w:val="0"/>
          <w:numId w:val="1"/>
        </w:numPr>
        <w:spacing w:before="24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091C74B">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3974790">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DA12572">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3AB8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A2660DB">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4D5E6E40">
            <w:pPr>
              <w:adjustRightInd w:val="0"/>
              <w:snapToGrid w:val="0"/>
              <w:jc w:val="center"/>
              <w:rPr>
                <w:rFonts w:asciiTheme="majorEastAsia" w:hAnsiTheme="majorEastAsia" w:eastAsiaTheme="majorEastAsia"/>
                <w:b/>
                <w:sz w:val="24"/>
                <w:szCs w:val="21"/>
              </w:rPr>
            </w:pPr>
          </w:p>
        </w:tc>
      </w:tr>
      <w:tr w14:paraId="38C7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5015667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6009C5B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71F2E46E">
            <w:pPr>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技术要求</w:t>
            </w:r>
          </w:p>
        </w:tc>
        <w:tc>
          <w:tcPr>
            <w:tcW w:w="817" w:type="dxa"/>
            <w:vAlign w:val="center"/>
          </w:tcPr>
          <w:p w14:paraId="0E323FD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66B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9E733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15B1BA1C">
            <w:pPr>
              <w:adjustRightInd w:val="0"/>
              <w:snapToGrid w:val="0"/>
              <w:rPr>
                <w:rFonts w:asciiTheme="majorEastAsia" w:hAnsiTheme="majorEastAsia" w:eastAsiaTheme="majorEastAsia"/>
                <w:b/>
                <w:sz w:val="24"/>
                <w:szCs w:val="21"/>
              </w:rPr>
            </w:pPr>
            <w:r>
              <w:rPr>
                <w:rFonts w:hint="eastAsia" w:ascii="宋体" w:hAnsi="宋体" w:cs="宋体"/>
                <w:sz w:val="24"/>
              </w:rPr>
              <w:t>脉搏血氧及脑电测量仪</w:t>
            </w:r>
          </w:p>
        </w:tc>
        <w:tc>
          <w:tcPr>
            <w:tcW w:w="7564" w:type="dxa"/>
            <w:gridSpan w:val="2"/>
            <w:vAlign w:val="center"/>
          </w:tcPr>
          <w:p w14:paraId="5E3D90BF">
            <w:pPr>
              <w:rPr>
                <w:szCs w:val="21"/>
                <w:highlight w:val="none"/>
              </w:rPr>
            </w:pPr>
            <w:r>
              <w:rPr>
                <w:rFonts w:hint="eastAsia"/>
                <w:highlight w:val="none"/>
              </w:rPr>
              <w:t>1.</w:t>
            </w:r>
            <w:r>
              <w:rPr>
                <w:rFonts w:hint="eastAsia" w:ascii="微软雅黑" w:hAnsi="微软雅黑" w:eastAsia="微软雅黑" w:cs="微软雅黑"/>
                <w:highlight w:val="none"/>
              </w:rPr>
              <w:t xml:space="preserve"> </w:t>
            </w:r>
            <w:r>
              <w:rPr>
                <w:rFonts w:hint="eastAsia"/>
                <w:szCs w:val="21"/>
                <w:highlight w:val="none"/>
                <w:lang w:val="en-US" w:eastAsia="zh-CN"/>
              </w:rPr>
              <w:t>需是</w:t>
            </w:r>
            <w:r>
              <w:rPr>
                <w:rFonts w:hint="eastAsia"/>
                <w:szCs w:val="21"/>
                <w:highlight w:val="none"/>
              </w:rPr>
              <w:t>模块化、插件式无创监测设备，可同时实现脉搏血氧饱和度监测与双侧大脑脑电（EEG）镇静深度监测，支持功能扩展与模块升级。</w:t>
            </w:r>
          </w:p>
        </w:tc>
        <w:tc>
          <w:tcPr>
            <w:tcW w:w="817" w:type="dxa"/>
          </w:tcPr>
          <w:p w14:paraId="7AE6E1A6">
            <w:pPr>
              <w:adjustRightInd w:val="0"/>
              <w:snapToGrid w:val="0"/>
              <w:rPr>
                <w:rFonts w:asciiTheme="majorEastAsia" w:hAnsiTheme="majorEastAsia" w:eastAsiaTheme="majorEastAsia"/>
                <w:b/>
                <w:sz w:val="24"/>
                <w:szCs w:val="21"/>
              </w:rPr>
            </w:pPr>
          </w:p>
        </w:tc>
      </w:tr>
      <w:tr w14:paraId="2F6A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8935C4">
            <w:pPr>
              <w:adjustRightInd w:val="0"/>
              <w:snapToGrid w:val="0"/>
              <w:rPr>
                <w:rFonts w:asciiTheme="majorEastAsia" w:hAnsiTheme="majorEastAsia" w:eastAsiaTheme="majorEastAsia"/>
                <w:b/>
                <w:sz w:val="24"/>
                <w:szCs w:val="21"/>
              </w:rPr>
            </w:pPr>
          </w:p>
        </w:tc>
        <w:tc>
          <w:tcPr>
            <w:tcW w:w="935" w:type="dxa"/>
            <w:vMerge w:val="continue"/>
          </w:tcPr>
          <w:p w14:paraId="4FE09BD6">
            <w:pPr>
              <w:adjustRightInd w:val="0"/>
              <w:snapToGrid w:val="0"/>
              <w:rPr>
                <w:rFonts w:asciiTheme="majorEastAsia" w:hAnsiTheme="majorEastAsia" w:eastAsiaTheme="majorEastAsia"/>
                <w:b/>
                <w:sz w:val="24"/>
                <w:szCs w:val="21"/>
              </w:rPr>
            </w:pPr>
          </w:p>
        </w:tc>
        <w:tc>
          <w:tcPr>
            <w:tcW w:w="7564" w:type="dxa"/>
            <w:gridSpan w:val="2"/>
            <w:vAlign w:val="center"/>
          </w:tcPr>
          <w:p w14:paraId="76C72F57">
            <w:pPr>
              <w:rPr>
                <w:rFonts w:hint="eastAsia" w:eastAsia="宋体"/>
                <w:szCs w:val="21"/>
                <w:highlight w:val="none"/>
                <w:lang w:eastAsia="zh-CN"/>
              </w:rPr>
            </w:pPr>
            <w:r>
              <w:rPr>
                <w:rFonts w:hint="eastAsia"/>
                <w:highlight w:val="none"/>
              </w:rPr>
              <w:t>2.</w:t>
            </w:r>
            <w:r>
              <w:rPr>
                <w:rFonts w:hint="eastAsia" w:ascii="微软雅黑" w:hAnsi="微软雅黑" w:eastAsia="微软雅黑" w:cs="微软雅黑"/>
                <w:highlight w:val="none"/>
              </w:rPr>
              <w:t xml:space="preserve"> </w:t>
            </w:r>
            <w:r>
              <w:rPr>
                <w:rFonts w:hint="eastAsia"/>
                <w:szCs w:val="21"/>
                <w:highlight w:val="none"/>
                <w:lang w:val="en-US" w:eastAsia="zh-CN"/>
              </w:rPr>
              <w:t>需</w:t>
            </w:r>
            <w:r>
              <w:rPr>
                <w:rFonts w:hint="eastAsia"/>
                <w:szCs w:val="21"/>
                <w:highlight w:val="none"/>
              </w:rPr>
              <w:t>具备双显示屏，主显示屏</w:t>
            </w:r>
            <w:r>
              <w:rPr>
                <w:rFonts w:hint="eastAsia"/>
                <w:szCs w:val="21"/>
                <w:highlight w:val="none"/>
                <w:lang w:val="en-US" w:eastAsia="zh-CN"/>
              </w:rPr>
              <w:t>应</w:t>
            </w:r>
            <w:r>
              <w:rPr>
                <w:rFonts w:hint="eastAsia"/>
                <w:szCs w:val="21"/>
                <w:highlight w:val="none"/>
              </w:rPr>
              <w:t>≥10 英寸彩色触摸屏，分辨率≥1280×800，副显示屏</w:t>
            </w:r>
            <w:r>
              <w:rPr>
                <w:rFonts w:hint="eastAsia"/>
                <w:szCs w:val="21"/>
                <w:highlight w:val="none"/>
                <w:lang w:val="en-US" w:eastAsia="zh-CN"/>
              </w:rPr>
              <w:t>应</w:t>
            </w:r>
            <w:r>
              <w:rPr>
                <w:rFonts w:hint="eastAsia"/>
                <w:szCs w:val="21"/>
                <w:highlight w:val="none"/>
              </w:rPr>
              <w:t>≥4</w:t>
            </w:r>
            <w:r>
              <w:rPr>
                <w:szCs w:val="21"/>
                <w:highlight w:val="none"/>
              </w:rPr>
              <w:t>寸彩色TFT显示触摸屏，分辨率达</w:t>
            </w:r>
            <w:r>
              <w:rPr>
                <w:rFonts w:hint="eastAsia"/>
                <w:szCs w:val="21"/>
                <w:highlight w:val="none"/>
              </w:rPr>
              <w:t>≥4</w:t>
            </w:r>
            <w:r>
              <w:rPr>
                <w:szCs w:val="21"/>
                <w:highlight w:val="none"/>
              </w:rPr>
              <w:t>80</w:t>
            </w:r>
            <w:r>
              <w:rPr>
                <w:rFonts w:hint="eastAsia"/>
                <w:szCs w:val="21"/>
                <w:highlight w:val="none"/>
              </w:rPr>
              <w:t>*</w:t>
            </w:r>
            <w:r>
              <w:rPr>
                <w:szCs w:val="21"/>
                <w:highlight w:val="none"/>
              </w:rPr>
              <w:t>270</w:t>
            </w:r>
            <w:r>
              <w:rPr>
                <w:rFonts w:hint="eastAsia"/>
                <w:szCs w:val="21"/>
                <w:highlight w:val="none"/>
                <w:lang w:eastAsia="zh-CN"/>
              </w:rPr>
              <w:t>，</w:t>
            </w:r>
            <w:r>
              <w:rPr>
                <w:rFonts w:hint="eastAsia"/>
                <w:szCs w:val="21"/>
                <w:highlight w:val="none"/>
              </w:rPr>
              <w:t>支持多点触控与全中文操作，界面清晰易读。</w:t>
            </w:r>
          </w:p>
        </w:tc>
        <w:tc>
          <w:tcPr>
            <w:tcW w:w="817" w:type="dxa"/>
          </w:tcPr>
          <w:p w14:paraId="52700B33">
            <w:pPr>
              <w:adjustRightInd w:val="0"/>
              <w:snapToGrid w:val="0"/>
              <w:rPr>
                <w:rFonts w:asciiTheme="majorEastAsia" w:hAnsiTheme="majorEastAsia" w:eastAsiaTheme="majorEastAsia"/>
                <w:b/>
                <w:sz w:val="24"/>
                <w:szCs w:val="21"/>
              </w:rPr>
            </w:pPr>
          </w:p>
        </w:tc>
      </w:tr>
      <w:tr w14:paraId="3FAC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EDCA19">
            <w:pPr>
              <w:adjustRightInd w:val="0"/>
              <w:snapToGrid w:val="0"/>
              <w:rPr>
                <w:rFonts w:asciiTheme="majorEastAsia" w:hAnsiTheme="majorEastAsia" w:eastAsiaTheme="majorEastAsia"/>
                <w:b/>
                <w:sz w:val="24"/>
                <w:szCs w:val="21"/>
              </w:rPr>
            </w:pPr>
          </w:p>
        </w:tc>
        <w:tc>
          <w:tcPr>
            <w:tcW w:w="935" w:type="dxa"/>
            <w:vMerge w:val="continue"/>
          </w:tcPr>
          <w:p w14:paraId="746EE3FD">
            <w:pPr>
              <w:adjustRightInd w:val="0"/>
              <w:snapToGrid w:val="0"/>
              <w:rPr>
                <w:rFonts w:asciiTheme="majorEastAsia" w:hAnsiTheme="majorEastAsia" w:eastAsiaTheme="majorEastAsia"/>
                <w:b/>
                <w:sz w:val="24"/>
                <w:szCs w:val="21"/>
              </w:rPr>
            </w:pPr>
          </w:p>
        </w:tc>
        <w:tc>
          <w:tcPr>
            <w:tcW w:w="7564" w:type="dxa"/>
            <w:gridSpan w:val="2"/>
            <w:vAlign w:val="center"/>
          </w:tcPr>
          <w:p w14:paraId="5D2D68FA">
            <w:pPr>
              <w:rPr>
                <w:highlight w:val="none"/>
              </w:rPr>
            </w:pPr>
            <w:r>
              <w:rPr>
                <w:rFonts w:hint="eastAsia"/>
                <w:color w:val="000000"/>
                <w:szCs w:val="21"/>
                <w:highlight w:val="none"/>
                <w:lang w:val="en-US" w:eastAsia="zh-CN"/>
              </w:rPr>
              <w:t>3.</w:t>
            </w:r>
            <w:r>
              <w:rPr>
                <w:rFonts w:hint="eastAsia"/>
                <w:color w:val="000000"/>
                <w:szCs w:val="21"/>
                <w:highlight w:val="none"/>
              </w:rPr>
              <w:t>支持双侧大脑≥4 通道原始脑电波形实时显示与趋势记录，可同步评估左右脑功能差异，满足危重症患者镇静监测需求。</w:t>
            </w:r>
          </w:p>
        </w:tc>
        <w:tc>
          <w:tcPr>
            <w:tcW w:w="817" w:type="dxa"/>
          </w:tcPr>
          <w:p w14:paraId="322139A1">
            <w:pPr>
              <w:adjustRightInd w:val="0"/>
              <w:snapToGrid w:val="0"/>
              <w:rPr>
                <w:rFonts w:asciiTheme="majorEastAsia" w:hAnsiTheme="majorEastAsia" w:eastAsiaTheme="majorEastAsia"/>
                <w:b/>
                <w:sz w:val="24"/>
                <w:szCs w:val="21"/>
              </w:rPr>
            </w:pPr>
          </w:p>
        </w:tc>
      </w:tr>
      <w:tr w14:paraId="7C8F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0" w:type="dxa"/>
            <w:vMerge w:val="continue"/>
          </w:tcPr>
          <w:p w14:paraId="5D22AE75">
            <w:pPr>
              <w:adjustRightInd w:val="0"/>
              <w:snapToGrid w:val="0"/>
              <w:rPr>
                <w:rFonts w:asciiTheme="majorEastAsia" w:hAnsiTheme="majorEastAsia" w:eastAsiaTheme="majorEastAsia"/>
                <w:b/>
                <w:sz w:val="24"/>
                <w:szCs w:val="21"/>
              </w:rPr>
            </w:pPr>
          </w:p>
        </w:tc>
        <w:tc>
          <w:tcPr>
            <w:tcW w:w="935" w:type="dxa"/>
            <w:vMerge w:val="continue"/>
          </w:tcPr>
          <w:p w14:paraId="168B981F">
            <w:pPr>
              <w:adjustRightInd w:val="0"/>
              <w:snapToGrid w:val="0"/>
              <w:rPr>
                <w:rFonts w:asciiTheme="majorEastAsia" w:hAnsiTheme="majorEastAsia" w:eastAsiaTheme="majorEastAsia"/>
                <w:b/>
                <w:sz w:val="24"/>
                <w:szCs w:val="21"/>
              </w:rPr>
            </w:pPr>
          </w:p>
        </w:tc>
        <w:tc>
          <w:tcPr>
            <w:tcW w:w="7564" w:type="dxa"/>
            <w:gridSpan w:val="2"/>
            <w:vAlign w:val="center"/>
          </w:tcPr>
          <w:p w14:paraId="04579A08">
            <w:pPr>
              <w:rPr>
                <w:szCs w:val="21"/>
                <w:highlight w:val="none"/>
              </w:rPr>
            </w:pPr>
            <w:r>
              <w:rPr>
                <w:rFonts w:hint="eastAsia" w:ascii="宋体" w:hAnsi="宋体" w:cs="宋体"/>
                <w:kern w:val="0"/>
                <w:szCs w:val="21"/>
                <w:highlight w:val="none"/>
                <w:lang w:val="en-US" w:eastAsia="zh-CN"/>
              </w:rPr>
              <w:t>4.</w:t>
            </w:r>
            <w:r>
              <w:rPr>
                <w:rFonts w:hint="eastAsia" w:ascii="宋体" w:hAnsi="宋体" w:cs="宋体"/>
                <w:kern w:val="0"/>
                <w:szCs w:val="21"/>
                <w:highlight w:val="none"/>
              </w:rPr>
              <w:t xml:space="preserve"> 可监测患者状态</w:t>
            </w:r>
            <w:r>
              <w:rPr>
                <w:rFonts w:hint="eastAsia" w:ascii="宋体" w:hAnsi="宋体" w:cs="宋体"/>
                <w:kern w:val="0"/>
                <w:szCs w:val="21"/>
                <w:highlight w:val="none"/>
                <w:lang w:val="en-US" w:eastAsia="zh-CN"/>
              </w:rPr>
              <w:t>至少包含</w:t>
            </w:r>
            <w:r>
              <w:rPr>
                <w:rFonts w:hint="eastAsia" w:ascii="宋体" w:hAnsi="宋体" w:cs="宋体"/>
                <w:kern w:val="0"/>
                <w:szCs w:val="21"/>
                <w:highlight w:val="none"/>
              </w:rPr>
              <w:t>指数（PSI）、脑电抑制率（SR）、谱缘频率（SEF）、肌电信号（EMG）、伪差指数（ARTF）、密度谱阵列（DSA）等核心脑电参数，全面反映镇静深度与脑功能状态。</w:t>
            </w:r>
          </w:p>
        </w:tc>
        <w:tc>
          <w:tcPr>
            <w:tcW w:w="817" w:type="dxa"/>
          </w:tcPr>
          <w:p w14:paraId="2FBCE44C">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39E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0" w:hRule="atLeast"/>
          <w:jc w:val="center"/>
        </w:trPr>
        <w:tc>
          <w:tcPr>
            <w:tcW w:w="710" w:type="dxa"/>
            <w:vMerge w:val="continue"/>
          </w:tcPr>
          <w:p w14:paraId="15B49070">
            <w:pPr>
              <w:adjustRightInd w:val="0"/>
              <w:snapToGrid w:val="0"/>
              <w:rPr>
                <w:rFonts w:asciiTheme="majorEastAsia" w:hAnsiTheme="majorEastAsia" w:eastAsiaTheme="majorEastAsia"/>
                <w:b/>
                <w:sz w:val="24"/>
                <w:szCs w:val="21"/>
              </w:rPr>
            </w:pPr>
          </w:p>
        </w:tc>
        <w:tc>
          <w:tcPr>
            <w:tcW w:w="935" w:type="dxa"/>
            <w:vMerge w:val="continue"/>
          </w:tcPr>
          <w:p w14:paraId="4B15D5C1">
            <w:pPr>
              <w:adjustRightInd w:val="0"/>
              <w:snapToGrid w:val="0"/>
              <w:rPr>
                <w:rFonts w:asciiTheme="majorEastAsia" w:hAnsiTheme="majorEastAsia" w:eastAsiaTheme="majorEastAsia"/>
                <w:b/>
                <w:sz w:val="24"/>
                <w:szCs w:val="21"/>
              </w:rPr>
            </w:pPr>
          </w:p>
        </w:tc>
        <w:tc>
          <w:tcPr>
            <w:tcW w:w="7564" w:type="dxa"/>
            <w:gridSpan w:val="2"/>
            <w:vAlign w:val="center"/>
          </w:tcPr>
          <w:p w14:paraId="2E82809B">
            <w:pPr>
              <w:numPr>
                <w:ilvl w:val="0"/>
                <w:numId w:val="0"/>
              </w:numPr>
              <w:autoSpaceDE w:val="0"/>
              <w:autoSpaceDN w:val="0"/>
              <w:adjustRightInd w:val="0"/>
              <w:snapToGrid w:val="0"/>
              <w:rPr>
                <w:szCs w:val="21"/>
                <w:highlight w:val="none"/>
              </w:rPr>
            </w:pPr>
            <w:r>
              <w:rPr>
                <w:rFonts w:hint="eastAsia"/>
                <w:szCs w:val="21"/>
                <w:highlight w:val="none"/>
                <w:lang w:val="en-US" w:eastAsia="zh-CN"/>
              </w:rPr>
              <w:t>5.</w:t>
            </w:r>
            <w:r>
              <w:rPr>
                <w:rFonts w:hint="eastAsia"/>
                <w:szCs w:val="21"/>
                <w:highlight w:val="none"/>
              </w:rPr>
              <w:t>参数显示：</w:t>
            </w:r>
          </w:p>
          <w:p w14:paraId="5DB0B90C">
            <w:pPr>
              <w:pStyle w:val="16"/>
              <w:numPr>
                <w:ilvl w:val="1"/>
                <w:numId w:val="2"/>
              </w:numPr>
              <w:ind w:firstLineChars="0"/>
              <w:jc w:val="left"/>
              <w:rPr>
                <w:szCs w:val="21"/>
                <w:highlight w:val="none"/>
              </w:rPr>
            </w:pPr>
            <w:r>
              <w:rPr>
                <w:rFonts w:hint="eastAsia"/>
                <w:szCs w:val="21"/>
                <w:highlight w:val="none"/>
              </w:rPr>
              <w:t>PSI（患者状态指数）：范围0-100（需涵盖此范围），用于监测全身麻醉患者的意识水平；数值更新时间：≤1.2秒。</w:t>
            </w:r>
          </w:p>
          <w:p w14:paraId="2A595F06">
            <w:pPr>
              <w:pStyle w:val="16"/>
              <w:numPr>
                <w:ilvl w:val="1"/>
                <w:numId w:val="2"/>
              </w:numPr>
              <w:ind w:firstLineChars="0"/>
              <w:jc w:val="left"/>
              <w:rPr>
                <w:szCs w:val="21"/>
                <w:highlight w:val="none"/>
              </w:rPr>
            </w:pPr>
            <w:r>
              <w:rPr>
                <w:rFonts w:hint="eastAsia"/>
                <w:szCs w:val="21"/>
                <w:highlight w:val="none"/>
              </w:rPr>
              <w:t>SR（抑制率）：范围0-100（需涵盖此范围），用于监测EEG中爆发抑制所占的时间比例。</w:t>
            </w:r>
          </w:p>
          <w:p w14:paraId="08043665">
            <w:pPr>
              <w:pStyle w:val="16"/>
              <w:numPr>
                <w:ilvl w:val="1"/>
                <w:numId w:val="2"/>
              </w:numPr>
              <w:ind w:firstLineChars="0"/>
              <w:jc w:val="left"/>
              <w:rPr>
                <w:szCs w:val="21"/>
                <w:highlight w:val="none"/>
              </w:rPr>
            </w:pPr>
            <w:r>
              <w:rPr>
                <w:rFonts w:hint="eastAsia"/>
                <w:szCs w:val="21"/>
                <w:highlight w:val="none"/>
              </w:rPr>
              <w:t>SEF（谱缘频率）：范围 0.0–30.0 Hz（需涵盖此范围），95% 脑电总功率在此频率以下，同步显示左侧 SEFL、右侧 SEFR</w:t>
            </w:r>
            <w:r>
              <w:rPr>
                <w:rFonts w:hint="eastAsia"/>
                <w:szCs w:val="21"/>
                <w:highlight w:val="none"/>
                <w:lang w:eastAsia="zh-CN"/>
              </w:rPr>
              <w:t>。</w:t>
            </w:r>
          </w:p>
          <w:p w14:paraId="0B01A414">
            <w:pPr>
              <w:pStyle w:val="16"/>
              <w:numPr>
                <w:ilvl w:val="1"/>
                <w:numId w:val="2"/>
              </w:numPr>
              <w:ind w:firstLineChars="0"/>
              <w:jc w:val="left"/>
              <w:rPr>
                <w:szCs w:val="21"/>
                <w:highlight w:val="none"/>
              </w:rPr>
            </w:pPr>
            <w:r>
              <w:rPr>
                <w:rFonts w:hint="eastAsia"/>
                <w:szCs w:val="21"/>
                <w:highlight w:val="none"/>
              </w:rPr>
              <w:t>ARTF（人工伪差）：范围0%-100%（需涵盖此范围），用于衡量系统检测到的生理（与脑无关）和环境噪音量。</w:t>
            </w:r>
          </w:p>
          <w:p w14:paraId="6E0B5F80">
            <w:pPr>
              <w:pStyle w:val="16"/>
              <w:numPr>
                <w:ilvl w:val="1"/>
                <w:numId w:val="2"/>
              </w:numPr>
              <w:ind w:firstLineChars="0"/>
              <w:jc w:val="left"/>
              <w:rPr>
                <w:szCs w:val="21"/>
                <w:highlight w:val="none"/>
              </w:rPr>
            </w:pPr>
            <w:r>
              <w:rPr>
                <w:rFonts w:hint="eastAsia"/>
                <w:szCs w:val="21"/>
                <w:highlight w:val="none"/>
              </w:rPr>
              <w:t>EMG（肌电信号）显示：范围0%-100%（需涵盖此范围），检测部分额肌及颞肌的肌电活动。</w:t>
            </w:r>
          </w:p>
          <w:p w14:paraId="6DD2E2B7">
            <w:pPr>
              <w:pStyle w:val="16"/>
              <w:numPr>
                <w:ilvl w:val="1"/>
                <w:numId w:val="2"/>
              </w:numPr>
              <w:ind w:firstLineChars="0"/>
              <w:jc w:val="left"/>
              <w:rPr>
                <w:szCs w:val="21"/>
                <w:highlight w:val="none"/>
              </w:rPr>
            </w:pPr>
            <w:r>
              <w:rPr>
                <w:rFonts w:hint="eastAsia"/>
                <w:szCs w:val="21"/>
                <w:highlight w:val="none"/>
              </w:rPr>
              <w:t>DSA（密度谱阵列）显示：范围0-30Hz（需涵盖此范围），按阶段及色彩显示脑电图的功率，可实时监测双侧大脑突发的不对称性活动及左右脑出现的爆发抑制活动。</w:t>
            </w:r>
          </w:p>
        </w:tc>
        <w:tc>
          <w:tcPr>
            <w:tcW w:w="817" w:type="dxa"/>
          </w:tcPr>
          <w:p w14:paraId="2A37CDDB">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4A10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CF09239">
            <w:pPr>
              <w:adjustRightInd w:val="0"/>
              <w:snapToGrid w:val="0"/>
              <w:rPr>
                <w:rFonts w:asciiTheme="majorEastAsia" w:hAnsiTheme="majorEastAsia" w:eastAsiaTheme="majorEastAsia"/>
                <w:b/>
                <w:sz w:val="24"/>
                <w:szCs w:val="21"/>
              </w:rPr>
            </w:pPr>
          </w:p>
        </w:tc>
        <w:tc>
          <w:tcPr>
            <w:tcW w:w="935" w:type="dxa"/>
            <w:vMerge w:val="continue"/>
          </w:tcPr>
          <w:p w14:paraId="042643EA">
            <w:pPr>
              <w:adjustRightInd w:val="0"/>
              <w:snapToGrid w:val="0"/>
              <w:rPr>
                <w:rFonts w:asciiTheme="majorEastAsia" w:hAnsiTheme="majorEastAsia" w:eastAsiaTheme="majorEastAsia"/>
                <w:b/>
                <w:sz w:val="24"/>
                <w:szCs w:val="21"/>
              </w:rPr>
            </w:pPr>
          </w:p>
        </w:tc>
        <w:tc>
          <w:tcPr>
            <w:tcW w:w="7564" w:type="dxa"/>
            <w:gridSpan w:val="2"/>
            <w:vAlign w:val="center"/>
          </w:tcPr>
          <w:p w14:paraId="4B082C1E">
            <w:pPr>
              <w:numPr>
                <w:ilvl w:val="0"/>
                <w:numId w:val="3"/>
              </w:numPr>
              <w:rPr>
                <w:szCs w:val="21"/>
                <w:highlight w:val="none"/>
              </w:rPr>
            </w:pPr>
            <w:r>
              <w:rPr>
                <w:rFonts w:hint="eastAsia"/>
                <w:szCs w:val="21"/>
                <w:highlight w:val="none"/>
                <w:lang w:val="en-US" w:eastAsia="zh-CN"/>
              </w:rPr>
              <w:t xml:space="preserve"> 需配</w:t>
            </w:r>
            <w:r>
              <w:rPr>
                <w:rFonts w:hint="eastAsia" w:ascii="Times New Roman" w:hAnsi="Times New Roman" w:eastAsia="宋体" w:cs="Times New Roman"/>
                <w:kern w:val="2"/>
                <w:sz w:val="21"/>
                <w:szCs w:val="21"/>
                <w:highlight w:val="none"/>
                <w:lang w:val="en-US" w:eastAsia="zh-CN" w:bidi="ar-SA"/>
              </w:rPr>
              <w:t>备</w:t>
            </w:r>
            <w:r>
              <w:rPr>
                <w:szCs w:val="21"/>
                <w:highlight w:val="none"/>
              </w:rPr>
              <w:t>高精度</w:t>
            </w:r>
            <w:r>
              <w:rPr>
                <w:rFonts w:hint="eastAsia" w:ascii="Times New Roman" w:hAnsi="Times New Roman" w:eastAsia="宋体" w:cs="Times New Roman"/>
                <w:kern w:val="2"/>
                <w:sz w:val="21"/>
                <w:szCs w:val="21"/>
                <w:highlight w:val="none"/>
                <w:lang w:val="en-US" w:eastAsia="zh-CN" w:bidi="ar-SA"/>
              </w:rPr>
              <w:t>一体式双侧脑电传感器，佩戴便捷、信号稳定</w:t>
            </w:r>
          </w:p>
        </w:tc>
        <w:tc>
          <w:tcPr>
            <w:tcW w:w="817" w:type="dxa"/>
          </w:tcPr>
          <w:p w14:paraId="13915903">
            <w:pPr>
              <w:adjustRightInd w:val="0"/>
              <w:snapToGrid w:val="0"/>
              <w:rPr>
                <w:rFonts w:asciiTheme="majorEastAsia" w:hAnsiTheme="majorEastAsia" w:eastAsiaTheme="majorEastAsia"/>
                <w:b/>
                <w:sz w:val="24"/>
                <w:szCs w:val="21"/>
              </w:rPr>
            </w:pPr>
          </w:p>
        </w:tc>
      </w:tr>
      <w:tr w14:paraId="3949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4C44BB">
            <w:pPr>
              <w:adjustRightInd w:val="0"/>
              <w:snapToGrid w:val="0"/>
              <w:rPr>
                <w:rFonts w:asciiTheme="majorEastAsia" w:hAnsiTheme="majorEastAsia" w:eastAsiaTheme="majorEastAsia"/>
                <w:b/>
                <w:sz w:val="24"/>
                <w:szCs w:val="21"/>
              </w:rPr>
            </w:pPr>
          </w:p>
        </w:tc>
        <w:tc>
          <w:tcPr>
            <w:tcW w:w="935" w:type="dxa"/>
            <w:vMerge w:val="continue"/>
          </w:tcPr>
          <w:p w14:paraId="27F58922">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119AB6F8">
            <w:pPr>
              <w:rPr>
                <w:rFonts w:ascii="Times New Roman" w:hAnsi="Times New Roman" w:eastAsia="宋体" w:cs="Times New Roman"/>
                <w:kern w:val="2"/>
                <w:sz w:val="21"/>
                <w:szCs w:val="21"/>
                <w:highlight w:val="none"/>
                <w:lang w:val="en-US" w:eastAsia="zh-CN" w:bidi="ar-SA"/>
              </w:rPr>
            </w:pPr>
            <w:r>
              <w:rPr>
                <w:rFonts w:hint="eastAsia" w:ascii="宋体" w:hAnsi="宋体" w:cs="宋体"/>
                <w:b/>
                <w:color w:val="000000"/>
                <w:szCs w:val="21"/>
                <w:highlight w:val="none"/>
                <w:lang w:val="en-US" w:eastAsia="zh-CN"/>
              </w:rPr>
              <w:t>7</w:t>
            </w:r>
            <w:r>
              <w:rPr>
                <w:rFonts w:hint="eastAsia" w:ascii="宋体" w:hAnsi="宋体" w:cs="宋体"/>
                <w:b/>
                <w:color w:val="000000"/>
                <w:szCs w:val="21"/>
                <w:highlight w:val="none"/>
              </w:rPr>
              <w:t>.</w:t>
            </w:r>
            <w:r>
              <w:rPr>
                <w:highlight w:val="none"/>
              </w:rPr>
              <w:t xml:space="preserve"> </w:t>
            </w:r>
            <w:r>
              <w:rPr>
                <w:rFonts w:hint="eastAsia"/>
                <w:highlight w:val="none"/>
                <w:lang w:val="en-US" w:eastAsia="zh-CN"/>
              </w:rPr>
              <w:t>供电方式：需</w:t>
            </w:r>
            <w:r>
              <w:rPr>
                <w:szCs w:val="21"/>
                <w:highlight w:val="none"/>
              </w:rPr>
              <w:t>配置锂电池，供电时间≥3小时</w:t>
            </w:r>
          </w:p>
        </w:tc>
        <w:tc>
          <w:tcPr>
            <w:tcW w:w="817" w:type="dxa"/>
          </w:tcPr>
          <w:p w14:paraId="776A04DC">
            <w:pPr>
              <w:adjustRightInd w:val="0"/>
              <w:snapToGrid w:val="0"/>
              <w:rPr>
                <w:rFonts w:asciiTheme="majorEastAsia" w:hAnsiTheme="majorEastAsia" w:eastAsiaTheme="majorEastAsia"/>
                <w:b/>
                <w:sz w:val="24"/>
                <w:szCs w:val="21"/>
              </w:rPr>
            </w:pPr>
          </w:p>
        </w:tc>
      </w:tr>
      <w:tr w14:paraId="27BB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CF2719">
            <w:pPr>
              <w:adjustRightInd w:val="0"/>
              <w:snapToGrid w:val="0"/>
              <w:rPr>
                <w:rFonts w:asciiTheme="majorEastAsia" w:hAnsiTheme="majorEastAsia" w:eastAsiaTheme="majorEastAsia"/>
                <w:b/>
                <w:sz w:val="24"/>
                <w:szCs w:val="21"/>
              </w:rPr>
            </w:pPr>
          </w:p>
        </w:tc>
        <w:tc>
          <w:tcPr>
            <w:tcW w:w="935" w:type="dxa"/>
            <w:vMerge w:val="continue"/>
          </w:tcPr>
          <w:p w14:paraId="421BCE56">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3FC7946E">
            <w:pPr>
              <w:rPr>
                <w:rFonts w:ascii="Times New Roman" w:hAnsi="Times New Roman" w:eastAsia="宋体" w:cs="Times New Roman"/>
                <w:kern w:val="2"/>
                <w:sz w:val="21"/>
                <w:szCs w:val="21"/>
                <w:highlight w:val="none"/>
                <w:lang w:val="en-US" w:eastAsia="zh-CN" w:bidi="ar-SA"/>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w:t>
            </w:r>
            <w:r>
              <w:rPr>
                <w:highlight w:val="none"/>
              </w:rPr>
              <w:t xml:space="preserve"> </w:t>
            </w:r>
            <w:r>
              <w:rPr>
                <w:rFonts w:hint="eastAsia"/>
                <w:highlight w:val="none"/>
                <w:lang w:val="en-US" w:eastAsia="zh-CN"/>
              </w:rPr>
              <w:t>需具备</w:t>
            </w:r>
            <w:r>
              <w:rPr>
                <w:szCs w:val="21"/>
                <w:highlight w:val="none"/>
              </w:rPr>
              <w:t>强抗干扰能力，</w:t>
            </w:r>
            <w:r>
              <w:rPr>
                <w:rFonts w:hint="eastAsia"/>
                <w:szCs w:val="21"/>
                <w:highlight w:val="none"/>
              </w:rPr>
              <w:t>能有效</w:t>
            </w:r>
            <w:r>
              <w:rPr>
                <w:szCs w:val="21"/>
                <w:highlight w:val="none"/>
              </w:rPr>
              <w:t>过滤肌电、电刀干扰，同时具备除颤保护功能。</w:t>
            </w:r>
          </w:p>
        </w:tc>
        <w:tc>
          <w:tcPr>
            <w:tcW w:w="817" w:type="dxa"/>
          </w:tcPr>
          <w:p w14:paraId="66961BF9">
            <w:pPr>
              <w:adjustRightInd w:val="0"/>
              <w:snapToGrid w:val="0"/>
              <w:rPr>
                <w:rFonts w:asciiTheme="majorEastAsia" w:hAnsiTheme="majorEastAsia" w:eastAsiaTheme="majorEastAsia"/>
                <w:b/>
                <w:sz w:val="24"/>
                <w:szCs w:val="21"/>
              </w:rPr>
            </w:pPr>
          </w:p>
        </w:tc>
      </w:tr>
      <w:tr w14:paraId="4893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710" w:type="dxa"/>
            <w:vMerge w:val="continue"/>
          </w:tcPr>
          <w:p w14:paraId="71A826A8">
            <w:pPr>
              <w:adjustRightInd w:val="0"/>
              <w:snapToGrid w:val="0"/>
              <w:rPr>
                <w:rFonts w:asciiTheme="majorEastAsia" w:hAnsiTheme="majorEastAsia" w:eastAsiaTheme="majorEastAsia"/>
                <w:b/>
                <w:sz w:val="24"/>
                <w:szCs w:val="21"/>
              </w:rPr>
            </w:pPr>
          </w:p>
        </w:tc>
        <w:tc>
          <w:tcPr>
            <w:tcW w:w="935" w:type="dxa"/>
            <w:vMerge w:val="continue"/>
          </w:tcPr>
          <w:p w14:paraId="5ADFFA7C">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5D993FD6">
            <w:pPr>
              <w:widowControl/>
              <w:jc w:val="left"/>
              <w:textAlignment w:val="center"/>
              <w:rPr>
                <w:rFonts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w:t>
            </w:r>
            <w:r>
              <w:rPr>
                <w:szCs w:val="21"/>
                <w:highlight w:val="none"/>
              </w:rPr>
              <w:t xml:space="preserve"> </w:t>
            </w:r>
            <w:r>
              <w:rPr>
                <w:rFonts w:hint="eastAsia"/>
                <w:szCs w:val="21"/>
                <w:highlight w:val="none"/>
                <w:lang w:val="en-US" w:eastAsia="zh-CN"/>
              </w:rPr>
              <w:t>需具备</w:t>
            </w:r>
            <w:r>
              <w:rPr>
                <w:szCs w:val="21"/>
                <w:highlight w:val="none"/>
              </w:rPr>
              <w:t>数据存储、导出功能：</w:t>
            </w:r>
            <w:r>
              <w:rPr>
                <w:rFonts w:hint="eastAsia"/>
                <w:szCs w:val="21"/>
                <w:highlight w:val="none"/>
                <w:lang w:val="en-US" w:eastAsia="zh-CN"/>
              </w:rPr>
              <w:t>需</w:t>
            </w:r>
            <w:r>
              <w:rPr>
                <w:szCs w:val="21"/>
                <w:highlight w:val="none"/>
              </w:rPr>
              <w:t>存储</w:t>
            </w:r>
            <w:r>
              <w:rPr>
                <w:rFonts w:hint="eastAsia"/>
                <w:szCs w:val="21"/>
                <w:highlight w:val="none"/>
                <w:lang w:val="en-US" w:eastAsia="zh-CN"/>
              </w:rPr>
              <w:t>至少</w:t>
            </w:r>
            <w:r>
              <w:rPr>
                <w:szCs w:val="21"/>
                <w:highlight w:val="none"/>
              </w:rPr>
              <w:t>96小时的趋势图形数据；具备数据USB端口输出、</w:t>
            </w:r>
            <w:r>
              <w:rPr>
                <w:rFonts w:hint="eastAsia"/>
                <w:szCs w:val="21"/>
                <w:highlight w:val="none"/>
              </w:rPr>
              <w:t>导出</w:t>
            </w:r>
            <w:r>
              <w:rPr>
                <w:szCs w:val="21"/>
                <w:highlight w:val="none"/>
              </w:rPr>
              <w:t>功能</w:t>
            </w:r>
          </w:p>
        </w:tc>
        <w:tc>
          <w:tcPr>
            <w:tcW w:w="817" w:type="dxa"/>
          </w:tcPr>
          <w:p w14:paraId="5B32D7F2">
            <w:pPr>
              <w:adjustRightInd w:val="0"/>
              <w:snapToGrid w:val="0"/>
              <w:rPr>
                <w:rFonts w:asciiTheme="majorEastAsia" w:hAnsiTheme="majorEastAsia" w:eastAsiaTheme="majorEastAsia"/>
                <w:b/>
                <w:sz w:val="24"/>
                <w:szCs w:val="21"/>
              </w:rPr>
            </w:pPr>
          </w:p>
        </w:tc>
      </w:tr>
      <w:tr w14:paraId="042D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C97532">
            <w:pPr>
              <w:adjustRightInd w:val="0"/>
              <w:snapToGrid w:val="0"/>
              <w:rPr>
                <w:rFonts w:asciiTheme="majorEastAsia" w:hAnsiTheme="majorEastAsia" w:eastAsiaTheme="majorEastAsia"/>
                <w:b/>
                <w:sz w:val="24"/>
                <w:szCs w:val="21"/>
              </w:rPr>
            </w:pPr>
          </w:p>
        </w:tc>
        <w:tc>
          <w:tcPr>
            <w:tcW w:w="935" w:type="dxa"/>
            <w:vMerge w:val="continue"/>
          </w:tcPr>
          <w:p w14:paraId="2CA1D5DC">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57961277">
            <w:pPr>
              <w:adjustRightInd w:val="0"/>
              <w:snapToGrid w:val="0"/>
              <w:rPr>
                <w:rFonts w:cs="Times New Roman" w:asciiTheme="majorEastAsia" w:hAnsiTheme="majorEastAsia" w:eastAsiaTheme="majorEastAsia"/>
                <w:kern w:val="2"/>
                <w:sz w:val="24"/>
                <w:szCs w:val="21"/>
                <w:highlight w:val="none"/>
                <w:lang w:val="en-US" w:eastAsia="zh-CN" w:bidi="ar-SA"/>
              </w:rPr>
            </w:pPr>
            <w:r>
              <w:rPr>
                <w:rFonts w:hint="eastAsia" w:asciiTheme="majorEastAsia" w:hAnsiTheme="majorEastAsia" w:eastAsiaTheme="majorEastAsia"/>
                <w:sz w:val="24"/>
                <w:szCs w:val="21"/>
                <w:highlight w:val="none"/>
                <w:lang w:val="en-US" w:eastAsia="zh-CN"/>
              </w:rPr>
              <w:t>10</w:t>
            </w:r>
            <w:r>
              <w:rPr>
                <w:rFonts w:hint="eastAsia" w:asciiTheme="majorEastAsia" w:hAnsiTheme="majorEastAsia" w:eastAsiaTheme="majorEastAsia"/>
                <w:sz w:val="24"/>
                <w:szCs w:val="21"/>
                <w:highlight w:val="none"/>
              </w:rPr>
              <w:t>.</w:t>
            </w:r>
            <w:r>
              <w:rPr>
                <w:rFonts w:hint="eastAsia"/>
                <w:szCs w:val="21"/>
                <w:highlight w:val="none"/>
              </w:rPr>
              <w:t>配备 USB、以太网接口，支持与医院 HIS、LIS、急诊监护系统对接，数据可双向传输，开放WLAN无线通讯协议。</w:t>
            </w:r>
          </w:p>
        </w:tc>
        <w:tc>
          <w:tcPr>
            <w:tcW w:w="817" w:type="dxa"/>
          </w:tcPr>
          <w:p w14:paraId="334F4C41">
            <w:pPr>
              <w:adjustRightInd w:val="0"/>
              <w:snapToGrid w:val="0"/>
              <w:rPr>
                <w:rFonts w:asciiTheme="majorEastAsia" w:hAnsiTheme="majorEastAsia" w:eastAsiaTheme="majorEastAsia"/>
                <w:b/>
                <w:sz w:val="24"/>
                <w:szCs w:val="21"/>
              </w:rPr>
            </w:pPr>
          </w:p>
        </w:tc>
      </w:tr>
      <w:tr w14:paraId="172B7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634F1E">
            <w:pPr>
              <w:adjustRightInd w:val="0"/>
              <w:snapToGrid w:val="0"/>
              <w:rPr>
                <w:rFonts w:asciiTheme="majorEastAsia" w:hAnsiTheme="majorEastAsia" w:eastAsiaTheme="majorEastAsia"/>
                <w:b/>
                <w:sz w:val="24"/>
                <w:szCs w:val="21"/>
              </w:rPr>
            </w:pPr>
          </w:p>
        </w:tc>
        <w:tc>
          <w:tcPr>
            <w:tcW w:w="935" w:type="dxa"/>
            <w:vMerge w:val="continue"/>
          </w:tcPr>
          <w:p w14:paraId="48DF0059">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2E1D36FE">
            <w:pPr>
              <w:rPr>
                <w:rFonts w:ascii="Times New Roman" w:hAnsi="Times New Roman" w:eastAsia="宋体" w:cs="Times New Roman"/>
                <w:kern w:val="2"/>
                <w:sz w:val="21"/>
                <w:szCs w:val="21"/>
                <w:highlight w:val="none"/>
                <w:lang w:val="en-US" w:eastAsia="zh-CN" w:bidi="ar-SA"/>
              </w:rPr>
            </w:pPr>
            <w:r>
              <w:rPr>
                <w:rFonts w:hint="eastAsia"/>
                <w:highlight w:val="none"/>
                <w:lang w:val="en-US" w:eastAsia="zh-CN"/>
              </w:rPr>
              <w:t>11.</w:t>
            </w:r>
            <w:r>
              <w:rPr>
                <w:rFonts w:hint="eastAsia"/>
                <w:highlight w:val="none"/>
              </w:rPr>
              <w:t xml:space="preserve"> </w:t>
            </w:r>
            <w:r>
              <w:rPr>
                <w:rFonts w:hint="eastAsia"/>
                <w:szCs w:val="21"/>
                <w:highlight w:val="none"/>
              </w:rPr>
              <w:t>具备蓝牙通讯功能</w:t>
            </w:r>
          </w:p>
        </w:tc>
        <w:tc>
          <w:tcPr>
            <w:tcW w:w="817" w:type="dxa"/>
          </w:tcPr>
          <w:p w14:paraId="31D36DE4">
            <w:pPr>
              <w:adjustRightInd w:val="0"/>
              <w:snapToGrid w:val="0"/>
              <w:rPr>
                <w:rFonts w:asciiTheme="majorEastAsia" w:hAnsiTheme="majorEastAsia" w:eastAsiaTheme="majorEastAsia"/>
                <w:b/>
                <w:sz w:val="24"/>
                <w:szCs w:val="21"/>
              </w:rPr>
            </w:pPr>
          </w:p>
        </w:tc>
      </w:tr>
      <w:tr w14:paraId="51520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C60EE8">
            <w:pPr>
              <w:adjustRightInd w:val="0"/>
              <w:snapToGrid w:val="0"/>
              <w:rPr>
                <w:rFonts w:asciiTheme="majorEastAsia" w:hAnsiTheme="majorEastAsia" w:eastAsiaTheme="majorEastAsia"/>
                <w:b/>
                <w:sz w:val="24"/>
                <w:szCs w:val="21"/>
              </w:rPr>
            </w:pPr>
          </w:p>
        </w:tc>
        <w:tc>
          <w:tcPr>
            <w:tcW w:w="935" w:type="dxa"/>
            <w:vMerge w:val="continue"/>
          </w:tcPr>
          <w:p w14:paraId="1B36E533">
            <w:pPr>
              <w:adjustRightInd w:val="0"/>
              <w:snapToGrid w:val="0"/>
              <w:rPr>
                <w:rFonts w:asciiTheme="majorEastAsia" w:hAnsiTheme="majorEastAsia" w:eastAsiaTheme="majorEastAsia"/>
                <w:b/>
                <w:sz w:val="24"/>
                <w:szCs w:val="21"/>
              </w:rPr>
            </w:pPr>
          </w:p>
        </w:tc>
        <w:tc>
          <w:tcPr>
            <w:tcW w:w="7564" w:type="dxa"/>
            <w:gridSpan w:val="2"/>
          </w:tcPr>
          <w:p w14:paraId="2403A661">
            <w:pPr>
              <w:rPr>
                <w:szCs w:val="21"/>
                <w:highlight w:val="none"/>
              </w:rPr>
            </w:pPr>
            <w:r>
              <w:rPr>
                <w:rFonts w:hint="eastAsia"/>
                <w:szCs w:val="21"/>
                <w:highlight w:val="none"/>
              </w:rPr>
              <w:t>1</w:t>
            </w:r>
            <w:r>
              <w:rPr>
                <w:rFonts w:hint="eastAsia"/>
                <w:szCs w:val="21"/>
                <w:highlight w:val="none"/>
                <w:lang w:val="en-US" w:eastAsia="zh-CN"/>
              </w:rPr>
              <w:t>2</w:t>
            </w:r>
            <w:r>
              <w:rPr>
                <w:rFonts w:hint="eastAsia"/>
                <w:szCs w:val="21"/>
                <w:highlight w:val="none"/>
              </w:rPr>
              <w:t>.</w:t>
            </w:r>
            <w:r>
              <w:rPr>
                <w:rFonts w:hint="eastAsia"/>
                <w:szCs w:val="21"/>
                <w:highlight w:val="none"/>
                <w:lang w:val="en-US" w:eastAsia="zh-CN"/>
              </w:rPr>
              <w:t>需具备</w:t>
            </w:r>
            <w:r>
              <w:rPr>
                <w:szCs w:val="21"/>
                <w:highlight w:val="none"/>
              </w:rPr>
              <w:t>报警功能：</w:t>
            </w:r>
            <w:r>
              <w:rPr>
                <w:rFonts w:hint="eastAsia"/>
                <w:szCs w:val="21"/>
                <w:highlight w:val="none"/>
              </w:rPr>
              <w:t>具备声光报警功能，多级别报警灯颜色报警</w:t>
            </w:r>
            <w:r>
              <w:rPr>
                <w:rFonts w:hint="eastAsia"/>
                <w:szCs w:val="21"/>
                <w:highlight w:val="none"/>
                <w:lang w:eastAsia="zh-CN"/>
              </w:rPr>
              <w:t>，</w:t>
            </w:r>
            <w:r>
              <w:rPr>
                <w:rFonts w:hint="eastAsia"/>
                <w:szCs w:val="21"/>
                <w:highlight w:val="none"/>
              </w:rPr>
              <w:t>可自定义报警阈值，报警数据可存储、可导出提供电极状态、系统故障、低电量等全面报警提示。</w:t>
            </w:r>
          </w:p>
        </w:tc>
        <w:tc>
          <w:tcPr>
            <w:tcW w:w="817" w:type="dxa"/>
          </w:tcPr>
          <w:p w14:paraId="3B128A57">
            <w:pPr>
              <w:adjustRightInd w:val="0"/>
              <w:snapToGrid w:val="0"/>
              <w:rPr>
                <w:rFonts w:asciiTheme="majorEastAsia" w:hAnsiTheme="majorEastAsia" w:eastAsiaTheme="majorEastAsia"/>
                <w:b/>
                <w:sz w:val="24"/>
                <w:szCs w:val="21"/>
              </w:rPr>
            </w:pPr>
          </w:p>
        </w:tc>
      </w:tr>
      <w:tr w14:paraId="7F02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F5801A">
            <w:pPr>
              <w:adjustRightInd w:val="0"/>
              <w:snapToGrid w:val="0"/>
              <w:rPr>
                <w:rFonts w:asciiTheme="majorEastAsia" w:hAnsiTheme="majorEastAsia" w:eastAsiaTheme="majorEastAsia"/>
                <w:b/>
                <w:sz w:val="24"/>
                <w:szCs w:val="21"/>
              </w:rPr>
            </w:pPr>
          </w:p>
        </w:tc>
        <w:tc>
          <w:tcPr>
            <w:tcW w:w="935" w:type="dxa"/>
            <w:vMerge w:val="continue"/>
          </w:tcPr>
          <w:p w14:paraId="52405829">
            <w:pPr>
              <w:adjustRightInd w:val="0"/>
              <w:snapToGrid w:val="0"/>
              <w:rPr>
                <w:rFonts w:asciiTheme="majorEastAsia" w:hAnsiTheme="majorEastAsia" w:eastAsiaTheme="majorEastAsia"/>
                <w:b/>
                <w:sz w:val="24"/>
                <w:szCs w:val="21"/>
              </w:rPr>
            </w:pPr>
          </w:p>
        </w:tc>
        <w:tc>
          <w:tcPr>
            <w:tcW w:w="7564" w:type="dxa"/>
            <w:gridSpan w:val="2"/>
          </w:tcPr>
          <w:p w14:paraId="0982FA42">
            <w:pPr>
              <w:rPr>
                <w:rFonts w:hint="eastAsia" w:eastAsia="宋体"/>
                <w:szCs w:val="21"/>
                <w:highlight w:val="none"/>
                <w:lang w:val="en-US" w:eastAsia="zh-CN"/>
              </w:rPr>
            </w:pPr>
            <w:r>
              <w:rPr>
                <w:rFonts w:hint="eastAsia"/>
                <w:szCs w:val="21"/>
                <w:highlight w:val="none"/>
                <w:lang w:val="en-US" w:eastAsia="zh-CN"/>
              </w:rPr>
              <w:t>13.需</w:t>
            </w:r>
            <w:r>
              <w:rPr>
                <w:rFonts w:hint="eastAsia"/>
                <w:szCs w:val="21"/>
                <w:highlight w:val="none"/>
              </w:rPr>
              <w:t>具备系统自检、截屏记录、日志追溯等辅助功能</w:t>
            </w:r>
            <w:r>
              <w:rPr>
                <w:rFonts w:hint="eastAsia"/>
                <w:szCs w:val="21"/>
                <w:highlight w:val="none"/>
                <w:lang w:eastAsia="zh-CN"/>
              </w:rPr>
              <w:t>，</w:t>
            </w:r>
            <w:r>
              <w:rPr>
                <w:rFonts w:hint="eastAsia"/>
                <w:szCs w:val="21"/>
                <w:highlight w:val="none"/>
                <w:lang w:val="en-US" w:eastAsia="zh-CN"/>
              </w:rPr>
              <w:t>可</w:t>
            </w:r>
            <w:r>
              <w:rPr>
                <w:szCs w:val="21"/>
                <w:highlight w:val="none"/>
              </w:rPr>
              <w:t>显示全过程的数值和图形，并持续更新</w:t>
            </w:r>
            <w:r>
              <w:rPr>
                <w:rFonts w:hint="eastAsia"/>
                <w:szCs w:val="21"/>
                <w:highlight w:val="none"/>
                <w:lang w:eastAsia="zh-CN"/>
              </w:rPr>
              <w:t>。</w:t>
            </w:r>
          </w:p>
        </w:tc>
        <w:tc>
          <w:tcPr>
            <w:tcW w:w="817" w:type="dxa"/>
          </w:tcPr>
          <w:p w14:paraId="00C775E5">
            <w:pPr>
              <w:adjustRightInd w:val="0"/>
              <w:snapToGrid w:val="0"/>
              <w:rPr>
                <w:rFonts w:asciiTheme="majorEastAsia" w:hAnsiTheme="majorEastAsia" w:eastAsiaTheme="majorEastAsia"/>
                <w:b/>
                <w:sz w:val="24"/>
                <w:szCs w:val="21"/>
              </w:rPr>
            </w:pPr>
          </w:p>
        </w:tc>
      </w:tr>
      <w:tr w14:paraId="6D2C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7CB9563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DF7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4C25C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F59AABE">
            <w:pPr>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40D39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9F0286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D4AFCDD">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0F84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063501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4D0337E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049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2A442A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3D766C9D">
            <w:pPr>
              <w:adjustRightInd w:val="0"/>
              <w:snapToGrid w:val="0"/>
              <w:rPr>
                <w:rFonts w:hint="eastAsia"/>
              </w:rPr>
            </w:pPr>
            <w:r>
              <w:rPr>
                <w:rFonts w:hint="eastAsia"/>
              </w:rPr>
              <w:t>合同总价≥3万付款方式：</w:t>
            </w:r>
          </w:p>
          <w:p w14:paraId="3E3A8689">
            <w:pPr>
              <w:adjustRightInd w:val="0"/>
              <w:snapToGrid w:val="0"/>
              <w:rPr>
                <w:rFonts w:hint="eastAsia"/>
              </w:rPr>
            </w:pPr>
            <w:r>
              <w:rPr>
                <w:rFonts w:hint="eastAsia"/>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3350710B">
            <w:pPr>
              <w:adjustRightInd w:val="0"/>
              <w:snapToGrid w:val="0"/>
              <w:rPr>
                <w:rFonts w:hint="eastAsia"/>
              </w:rPr>
            </w:pPr>
            <w:r>
              <w:rPr>
                <w:rFonts w:hint="eastAsia"/>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2625FB51">
            <w:pPr>
              <w:adjustRightInd w:val="0"/>
              <w:snapToGrid w:val="0"/>
              <w:rPr>
                <w:rFonts w:hint="eastAsia"/>
              </w:rPr>
            </w:pPr>
            <w:r>
              <w:rPr>
                <w:rFonts w:hint="eastAsia"/>
              </w:rPr>
              <w:t>合同总价＜3万付款方式：</w:t>
            </w:r>
          </w:p>
          <w:p w14:paraId="529DF196">
            <w:pPr>
              <w:adjustRightInd w:val="0"/>
              <w:snapToGrid w:val="0"/>
              <w:rPr>
                <w:rFonts w:asciiTheme="majorEastAsia" w:hAnsiTheme="majorEastAsia" w:eastAsiaTheme="majorEastAsia"/>
                <w:b/>
                <w:sz w:val="24"/>
                <w:szCs w:val="21"/>
              </w:rPr>
            </w:pPr>
            <w:r>
              <w:rPr>
                <w:rFonts w:hint="eastAsia"/>
              </w:rPr>
              <w:t>货到清点、安装调试验收合格正常使用后，出具全额发票，采购人凭中标人提供的完整资料，自发票到达采购人财务之日起10个工作日内，支付100%合同货款到中标人指定账户。</w:t>
            </w:r>
          </w:p>
        </w:tc>
      </w:tr>
      <w:tr w14:paraId="1BF1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BCC7D4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6EEE8E9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50E11E7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75B36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14B0E6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773AE4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3F40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1180FF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328A8F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E6840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5B634C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B6B08D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43FDF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16C1E7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BD96CF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0F36CA6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3FF969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73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5593DF">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916ABEE">
            <w:pPr>
              <w:adjustRightInd w:val="0"/>
              <w:snapToGrid w:val="0"/>
              <w:rPr>
                <w:rFonts w:asciiTheme="majorEastAsia" w:hAnsiTheme="majorEastAsia" w:eastAsiaTheme="majorEastAsia"/>
                <w:sz w:val="24"/>
                <w:szCs w:val="21"/>
              </w:rPr>
            </w:pPr>
          </w:p>
        </w:tc>
        <w:tc>
          <w:tcPr>
            <w:tcW w:w="8261" w:type="dxa"/>
            <w:gridSpan w:val="2"/>
          </w:tcPr>
          <w:p w14:paraId="15CE7BBE">
            <w:pPr>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u w:val="single"/>
                <w:lang w:val="en-US" w:eastAsia="zh-CN"/>
              </w:rPr>
              <w:t xml:space="preserve">    </w:t>
            </w:r>
            <w:r>
              <w:rPr>
                <w:rFonts w:hint="eastAsia" w:asciiTheme="minorEastAsia" w:hAnsiTheme="minorEastAsia" w:eastAsiaTheme="minorEastAsia"/>
                <w:b/>
                <w:bCs w:val="0"/>
                <w:color w:val="FF0000"/>
                <w:szCs w:val="21"/>
              </w:rPr>
              <w:t>年</w:t>
            </w:r>
            <w:r>
              <w:rPr>
                <w:rFonts w:hint="eastAsia"/>
                <w:b/>
                <w:bCs w:val="0"/>
                <w:color w:val="FF0000"/>
                <w:lang w:val="en-US" w:eastAsia="zh-CN"/>
              </w:rPr>
              <w:t>（</w:t>
            </w:r>
            <w:r>
              <w:rPr>
                <w:rFonts w:hint="eastAsia"/>
                <w:b/>
                <w:bCs/>
                <w:color w:val="FF0000"/>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D6DD6EE">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69DB370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19DC290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2E1F68B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601B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09E439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A36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7F37A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2B30E4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3B8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2D09C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58226C7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BA929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4CC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6006CC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1959F1B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A9B21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C5FDB94">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4776E3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587602B">
      <w:pPr>
        <w:ind w:firstLine="150" w:firstLineChars="100"/>
        <w:rPr>
          <w:rFonts w:cs="方正小标宋简体" w:asciiTheme="majorEastAsia" w:hAnsiTheme="majorEastAsia" w:eastAsiaTheme="majorEastAsia"/>
          <w:sz w:val="15"/>
          <w:szCs w:val="15"/>
        </w:rPr>
      </w:pPr>
    </w:p>
    <w:p w14:paraId="6E406755">
      <w:pPr>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7C92C6E">
      <w:pPr>
        <w:pStyle w:val="3"/>
        <w:spacing w:line="240" w:lineRule="auto"/>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37523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BBA37E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71FE63E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w:t>
            </w:r>
            <w:r>
              <w:rPr>
                <w:rFonts w:hint="eastAsia" w:asciiTheme="majorEastAsia" w:hAnsiTheme="majorEastAsia" w:eastAsiaTheme="majorEastAsia"/>
                <w:b/>
                <w:sz w:val="24"/>
                <w:szCs w:val="21"/>
                <w:u w:val="single"/>
              </w:rPr>
              <w:t>一次性脑电传感器</w:t>
            </w:r>
          </w:p>
          <w:p w14:paraId="238B968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3D1A5C4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2415C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83D300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0E6846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5159DB3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7F3B616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48F3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3CE8B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55B771F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799AF69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2628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AC8B7A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413A8BF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7E1928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28DB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DD3485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4A653C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r>
              <w:rPr>
                <w:rFonts w:hint="eastAsia" w:ascii="Segoe UI Symbol" w:hAnsi="Segoe UI Symbol" w:cs="Segoe UI Symbol" w:eastAsiaTheme="majorEastAsia"/>
                <w:b/>
                <w:sz w:val="24"/>
                <w:szCs w:val="21"/>
              </w:rPr>
              <w:t>☑</w:t>
            </w:r>
            <w:r>
              <w:rPr>
                <w:rFonts w:hint="eastAsia" w:asciiTheme="majorEastAsia" w:hAnsiTheme="majorEastAsia" w:eastAsiaTheme="majorEastAsia"/>
                <w:b/>
                <w:sz w:val="24"/>
                <w:szCs w:val="21"/>
              </w:rPr>
              <w:t>否</w:t>
            </w:r>
          </w:p>
        </w:tc>
      </w:tr>
      <w:tr w14:paraId="53D6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7D97B6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40353245">
            <w:pPr>
              <w:adjustRightInd w:val="0"/>
              <w:snapToGrid w:val="0"/>
              <w:rPr>
                <w:rFonts w:ascii="宋体" w:hAnsi="宋体" w:cs="宋体"/>
                <w:bCs/>
                <w:color w:val="000000"/>
                <w:szCs w:val="21"/>
              </w:rPr>
            </w:pPr>
            <w:r>
              <w:rPr>
                <w:rFonts w:hint="eastAsia" w:ascii="宋体" w:hAnsi="宋体" w:cs="宋体"/>
                <w:bCs/>
                <w:color w:val="000000"/>
                <w:szCs w:val="21"/>
              </w:rPr>
              <w:t>10年</w:t>
            </w:r>
          </w:p>
        </w:tc>
      </w:tr>
      <w:tr w14:paraId="64B5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5F08E35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7307843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0267D726">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570A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29115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32F75F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48B85FA0">
      <w:pPr>
        <w:ind w:left="400"/>
        <w:jc w:val="center"/>
        <w:rPr>
          <w:rFonts w:cs="方正小标宋简体" w:asciiTheme="majorEastAsia" w:hAnsiTheme="majorEastAsia" w:eastAsiaTheme="majorEastAsia"/>
          <w:b/>
          <w:sz w:val="36"/>
          <w:szCs w:val="36"/>
        </w:rPr>
      </w:pPr>
    </w:p>
    <w:p w14:paraId="6439516B">
      <w:pPr>
        <w:adjustRightInd w:val="0"/>
        <w:snapToGrid w:val="0"/>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1C72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5F55CFA">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30FC93E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64C2B76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D036E0C">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27A1849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7A68AAE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182D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717F70DF">
            <w:pPr>
              <w:widowControl/>
              <w:adjustRightInd w:val="0"/>
              <w:snapToGrid w:val="0"/>
              <w:rPr>
                <w:rFonts w:cs="方正小标宋简体" w:asciiTheme="majorEastAsia" w:hAnsiTheme="majorEastAsia" w:eastAsiaTheme="majorEastAsia"/>
                <w:sz w:val="24"/>
              </w:rPr>
            </w:pPr>
          </w:p>
        </w:tc>
        <w:tc>
          <w:tcPr>
            <w:tcW w:w="2247" w:type="dxa"/>
          </w:tcPr>
          <w:p w14:paraId="411A17D8">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无</w:t>
            </w:r>
          </w:p>
        </w:tc>
        <w:tc>
          <w:tcPr>
            <w:tcW w:w="2005" w:type="dxa"/>
          </w:tcPr>
          <w:p w14:paraId="211184A0">
            <w:pPr>
              <w:widowControl/>
              <w:adjustRightInd w:val="0"/>
              <w:snapToGrid w:val="0"/>
              <w:rPr>
                <w:rFonts w:cs="方正小标宋简体" w:asciiTheme="majorEastAsia" w:hAnsiTheme="majorEastAsia" w:eastAsiaTheme="majorEastAsia"/>
                <w:sz w:val="24"/>
              </w:rPr>
            </w:pPr>
          </w:p>
        </w:tc>
        <w:tc>
          <w:tcPr>
            <w:tcW w:w="1843" w:type="dxa"/>
          </w:tcPr>
          <w:p w14:paraId="3819A8B8">
            <w:pPr>
              <w:widowControl/>
              <w:adjustRightInd w:val="0"/>
              <w:snapToGrid w:val="0"/>
              <w:rPr>
                <w:rFonts w:cs="方正小标宋简体" w:asciiTheme="majorEastAsia" w:hAnsiTheme="majorEastAsia" w:eastAsiaTheme="majorEastAsia"/>
                <w:sz w:val="24"/>
              </w:rPr>
            </w:pPr>
          </w:p>
        </w:tc>
        <w:tc>
          <w:tcPr>
            <w:tcW w:w="1417" w:type="dxa"/>
          </w:tcPr>
          <w:p w14:paraId="4B6A7655">
            <w:pPr>
              <w:widowControl/>
              <w:adjustRightInd w:val="0"/>
              <w:snapToGrid w:val="0"/>
              <w:rPr>
                <w:rFonts w:cs="方正小标宋简体" w:asciiTheme="majorEastAsia" w:hAnsiTheme="majorEastAsia" w:eastAsiaTheme="majorEastAsia"/>
                <w:sz w:val="24"/>
              </w:rPr>
            </w:pPr>
          </w:p>
        </w:tc>
        <w:tc>
          <w:tcPr>
            <w:tcW w:w="1560" w:type="dxa"/>
          </w:tcPr>
          <w:p w14:paraId="4E4A6C66">
            <w:pPr>
              <w:widowControl/>
              <w:adjustRightInd w:val="0"/>
              <w:snapToGrid w:val="0"/>
              <w:rPr>
                <w:rFonts w:cs="方正小标宋简体" w:asciiTheme="majorEastAsia" w:hAnsiTheme="majorEastAsia" w:eastAsiaTheme="majorEastAsia"/>
                <w:sz w:val="24"/>
              </w:rPr>
            </w:pPr>
          </w:p>
        </w:tc>
      </w:tr>
    </w:tbl>
    <w:p w14:paraId="49B74DB0">
      <w:pPr>
        <w:adjustRightInd w:val="0"/>
        <w:snapToGrid w:val="0"/>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016B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82C3CD2">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7425FCA2">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059C377">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3EACACBC">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74656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1A36A76">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4537FC7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0FDD7781">
            <w:pPr>
              <w:widowControl/>
              <w:jc w:val="center"/>
              <w:rPr>
                <w:rFonts w:cs="方正小标宋简体" w:asciiTheme="majorEastAsia" w:hAnsiTheme="majorEastAsia" w:eastAsiaTheme="majorEastAsia"/>
                <w:sz w:val="24"/>
              </w:rPr>
            </w:pPr>
          </w:p>
        </w:tc>
        <w:tc>
          <w:tcPr>
            <w:tcW w:w="2605" w:type="dxa"/>
            <w:vAlign w:val="center"/>
          </w:tcPr>
          <w:p w14:paraId="3E3E3ADF">
            <w:pPr>
              <w:widowControl/>
              <w:jc w:val="center"/>
              <w:rPr>
                <w:rFonts w:cs="方正小标宋简体" w:asciiTheme="majorEastAsia" w:hAnsiTheme="majorEastAsia" w:eastAsiaTheme="majorEastAsia"/>
                <w:sz w:val="24"/>
              </w:rPr>
            </w:pPr>
          </w:p>
        </w:tc>
      </w:tr>
    </w:tbl>
    <w:p w14:paraId="7042E989">
      <w:pPr>
        <w:widowControl/>
        <w:rPr>
          <w:rFonts w:cs="方正小标宋简体" w:asciiTheme="majorEastAsia" w:hAnsiTheme="majorEastAsia" w:eastAsiaTheme="majorEastAsia"/>
          <w:sz w:val="36"/>
          <w:szCs w:val="36"/>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一次性脑电传感器</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240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295</w:t>
            </w:r>
          </w:p>
        </w:tc>
      </w:tr>
    </w:tbl>
    <w:p w14:paraId="392EBFED">
      <w:pPr>
        <w:rPr>
          <w:rFonts w:cs="方正小标宋简体" w:asciiTheme="majorEastAsia" w:hAnsiTheme="majorEastAsia" w:eastAsiaTheme="majorEastAsia"/>
          <w:sz w:val="10"/>
          <w:szCs w:val="10"/>
        </w:rPr>
      </w:pPr>
      <w:bookmarkStart w:id="0" w:name="_GoBack"/>
      <w:bookmarkEnd w:id="0"/>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09290D08">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E5B0E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5E7D2A"/>
    <w:multiLevelType w:val="multilevel"/>
    <w:tmpl w:val="5B5E7D2A"/>
    <w:lvl w:ilvl="0" w:tentative="0">
      <w:start w:val="1"/>
      <w:numFmt w:val="upperLetter"/>
      <w:lvlText w:val="%1."/>
      <w:lvlJc w:val="left"/>
      <w:pPr>
        <w:ind w:left="420" w:hanging="420"/>
      </w:pPr>
      <w:rPr>
        <w:rFonts w:hint="eastAsia"/>
      </w:rPr>
    </w:lvl>
    <w:lvl w:ilvl="1" w:tentative="0">
      <w:start w:val="1"/>
      <w:numFmt w:val="decimal"/>
      <w:lvlText w:val="%2）"/>
      <w:lvlJc w:val="left"/>
      <w:pPr>
        <w:ind w:left="780" w:hanging="36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abstractNum w:abstractNumId="2">
    <w:nsid w:val="777851F8"/>
    <w:multiLevelType w:val="singleLevel"/>
    <w:tmpl w:val="777851F8"/>
    <w:lvl w:ilvl="0" w:tentative="0">
      <w:start w:val="6"/>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5A9D"/>
    <w:rsid w:val="00056650"/>
    <w:rsid w:val="0006293A"/>
    <w:rsid w:val="000910F0"/>
    <w:rsid w:val="00091320"/>
    <w:rsid w:val="00094BE5"/>
    <w:rsid w:val="000B173B"/>
    <w:rsid w:val="000B47AC"/>
    <w:rsid w:val="000C1092"/>
    <w:rsid w:val="000C2EB1"/>
    <w:rsid w:val="000D332B"/>
    <w:rsid w:val="000D486B"/>
    <w:rsid w:val="000D528A"/>
    <w:rsid w:val="000E2EEF"/>
    <w:rsid w:val="000E6D84"/>
    <w:rsid w:val="00100E5F"/>
    <w:rsid w:val="00114A9B"/>
    <w:rsid w:val="00117159"/>
    <w:rsid w:val="00117295"/>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9AE"/>
    <w:rsid w:val="00201CE8"/>
    <w:rsid w:val="00207531"/>
    <w:rsid w:val="00213A4E"/>
    <w:rsid w:val="00214240"/>
    <w:rsid w:val="0022066A"/>
    <w:rsid w:val="00223188"/>
    <w:rsid w:val="002243DF"/>
    <w:rsid w:val="0024191C"/>
    <w:rsid w:val="00244C7F"/>
    <w:rsid w:val="00262E90"/>
    <w:rsid w:val="00275C8E"/>
    <w:rsid w:val="002850D0"/>
    <w:rsid w:val="002956A8"/>
    <w:rsid w:val="0029701C"/>
    <w:rsid w:val="00297C31"/>
    <w:rsid w:val="002B3785"/>
    <w:rsid w:val="002E542A"/>
    <w:rsid w:val="002F5D5E"/>
    <w:rsid w:val="00301E47"/>
    <w:rsid w:val="00307648"/>
    <w:rsid w:val="003213BB"/>
    <w:rsid w:val="00321F08"/>
    <w:rsid w:val="00322AE6"/>
    <w:rsid w:val="00326BC1"/>
    <w:rsid w:val="00334AA0"/>
    <w:rsid w:val="00352B55"/>
    <w:rsid w:val="00354F4C"/>
    <w:rsid w:val="00376AC2"/>
    <w:rsid w:val="003942D3"/>
    <w:rsid w:val="0039648A"/>
    <w:rsid w:val="003A1584"/>
    <w:rsid w:val="003A33C5"/>
    <w:rsid w:val="003C7827"/>
    <w:rsid w:val="003D442D"/>
    <w:rsid w:val="003D7EF0"/>
    <w:rsid w:val="004164F9"/>
    <w:rsid w:val="00423853"/>
    <w:rsid w:val="00423C2F"/>
    <w:rsid w:val="00446E5F"/>
    <w:rsid w:val="00455236"/>
    <w:rsid w:val="00456EA0"/>
    <w:rsid w:val="0046464C"/>
    <w:rsid w:val="00465CFB"/>
    <w:rsid w:val="00465E46"/>
    <w:rsid w:val="00472034"/>
    <w:rsid w:val="004742D6"/>
    <w:rsid w:val="00497BF4"/>
    <w:rsid w:val="004B1081"/>
    <w:rsid w:val="004B3240"/>
    <w:rsid w:val="004B3CFF"/>
    <w:rsid w:val="004C1160"/>
    <w:rsid w:val="004C74AE"/>
    <w:rsid w:val="004D0A11"/>
    <w:rsid w:val="004E0D21"/>
    <w:rsid w:val="004E3BB5"/>
    <w:rsid w:val="004F46AD"/>
    <w:rsid w:val="004F6661"/>
    <w:rsid w:val="004F7CF7"/>
    <w:rsid w:val="0050046D"/>
    <w:rsid w:val="00504B0F"/>
    <w:rsid w:val="00511DC2"/>
    <w:rsid w:val="00523CD5"/>
    <w:rsid w:val="005275A8"/>
    <w:rsid w:val="00535190"/>
    <w:rsid w:val="0053721B"/>
    <w:rsid w:val="00542363"/>
    <w:rsid w:val="00543959"/>
    <w:rsid w:val="0055112D"/>
    <w:rsid w:val="00553925"/>
    <w:rsid w:val="005666F4"/>
    <w:rsid w:val="005675B0"/>
    <w:rsid w:val="005772ED"/>
    <w:rsid w:val="005818E2"/>
    <w:rsid w:val="00590721"/>
    <w:rsid w:val="00597CA2"/>
    <w:rsid w:val="005C211C"/>
    <w:rsid w:val="005C239D"/>
    <w:rsid w:val="005C57CC"/>
    <w:rsid w:val="005D1F81"/>
    <w:rsid w:val="00603257"/>
    <w:rsid w:val="0060593D"/>
    <w:rsid w:val="006231CE"/>
    <w:rsid w:val="00651D42"/>
    <w:rsid w:val="00654133"/>
    <w:rsid w:val="00662021"/>
    <w:rsid w:val="00662B11"/>
    <w:rsid w:val="00685C09"/>
    <w:rsid w:val="00686B45"/>
    <w:rsid w:val="006A5C34"/>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7E39E0"/>
    <w:rsid w:val="0080050C"/>
    <w:rsid w:val="008120B0"/>
    <w:rsid w:val="00813523"/>
    <w:rsid w:val="00860BEF"/>
    <w:rsid w:val="00871F5E"/>
    <w:rsid w:val="00872D2F"/>
    <w:rsid w:val="00874934"/>
    <w:rsid w:val="00876B02"/>
    <w:rsid w:val="008802B6"/>
    <w:rsid w:val="008964A3"/>
    <w:rsid w:val="008B74EE"/>
    <w:rsid w:val="008C28A8"/>
    <w:rsid w:val="008D2C79"/>
    <w:rsid w:val="008D3E82"/>
    <w:rsid w:val="008E56F3"/>
    <w:rsid w:val="008F103E"/>
    <w:rsid w:val="0090107D"/>
    <w:rsid w:val="009122AA"/>
    <w:rsid w:val="00914B58"/>
    <w:rsid w:val="00930B23"/>
    <w:rsid w:val="00931213"/>
    <w:rsid w:val="00936CEC"/>
    <w:rsid w:val="009376BC"/>
    <w:rsid w:val="00937D3D"/>
    <w:rsid w:val="00947CF3"/>
    <w:rsid w:val="00953822"/>
    <w:rsid w:val="00972C2D"/>
    <w:rsid w:val="009730D1"/>
    <w:rsid w:val="009764EB"/>
    <w:rsid w:val="009908D7"/>
    <w:rsid w:val="00991D87"/>
    <w:rsid w:val="00991F74"/>
    <w:rsid w:val="00996AC8"/>
    <w:rsid w:val="009978E3"/>
    <w:rsid w:val="009A130E"/>
    <w:rsid w:val="009A1DE2"/>
    <w:rsid w:val="009A48B9"/>
    <w:rsid w:val="009B5AA8"/>
    <w:rsid w:val="009C20A6"/>
    <w:rsid w:val="009D0BAA"/>
    <w:rsid w:val="009E6FD2"/>
    <w:rsid w:val="009F5BF6"/>
    <w:rsid w:val="00A00442"/>
    <w:rsid w:val="00A043A8"/>
    <w:rsid w:val="00A0782D"/>
    <w:rsid w:val="00A17D1D"/>
    <w:rsid w:val="00A303A3"/>
    <w:rsid w:val="00A619BE"/>
    <w:rsid w:val="00A903C7"/>
    <w:rsid w:val="00A9380C"/>
    <w:rsid w:val="00AA4B4A"/>
    <w:rsid w:val="00AA6962"/>
    <w:rsid w:val="00AB2610"/>
    <w:rsid w:val="00AF5FA9"/>
    <w:rsid w:val="00AF7A87"/>
    <w:rsid w:val="00B01564"/>
    <w:rsid w:val="00B06C01"/>
    <w:rsid w:val="00B21F51"/>
    <w:rsid w:val="00B22795"/>
    <w:rsid w:val="00B25EF8"/>
    <w:rsid w:val="00B44B7C"/>
    <w:rsid w:val="00B63890"/>
    <w:rsid w:val="00B74119"/>
    <w:rsid w:val="00B82233"/>
    <w:rsid w:val="00BA17A1"/>
    <w:rsid w:val="00BA5B17"/>
    <w:rsid w:val="00BB19E2"/>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679D"/>
    <w:rsid w:val="00C77FD8"/>
    <w:rsid w:val="00CA6E6B"/>
    <w:rsid w:val="00CB754A"/>
    <w:rsid w:val="00CE57E3"/>
    <w:rsid w:val="00CF09E5"/>
    <w:rsid w:val="00CF4610"/>
    <w:rsid w:val="00D05083"/>
    <w:rsid w:val="00D20AAF"/>
    <w:rsid w:val="00D412EF"/>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06EE"/>
    <w:rsid w:val="00ED7224"/>
    <w:rsid w:val="00EF0BF4"/>
    <w:rsid w:val="00F0149B"/>
    <w:rsid w:val="00F07294"/>
    <w:rsid w:val="00F115FC"/>
    <w:rsid w:val="00F1549D"/>
    <w:rsid w:val="00F225D8"/>
    <w:rsid w:val="00F23DB0"/>
    <w:rsid w:val="00F30025"/>
    <w:rsid w:val="00F411B7"/>
    <w:rsid w:val="00F464BC"/>
    <w:rsid w:val="00F52745"/>
    <w:rsid w:val="00F60CB5"/>
    <w:rsid w:val="00F65BCF"/>
    <w:rsid w:val="00F6788A"/>
    <w:rsid w:val="00F81403"/>
    <w:rsid w:val="00F83533"/>
    <w:rsid w:val="00F945B0"/>
    <w:rsid w:val="00FB421E"/>
    <w:rsid w:val="00FC40CA"/>
    <w:rsid w:val="00FC68FA"/>
    <w:rsid w:val="00FD0656"/>
    <w:rsid w:val="00FD23ED"/>
    <w:rsid w:val="00FF30DB"/>
    <w:rsid w:val="0611217C"/>
    <w:rsid w:val="07AE3385"/>
    <w:rsid w:val="0F8E7447"/>
    <w:rsid w:val="119B6051"/>
    <w:rsid w:val="12A25084"/>
    <w:rsid w:val="13081D1D"/>
    <w:rsid w:val="137F1B6B"/>
    <w:rsid w:val="142B2292"/>
    <w:rsid w:val="15FB47D0"/>
    <w:rsid w:val="19A66D0D"/>
    <w:rsid w:val="19F30FFB"/>
    <w:rsid w:val="1A385FE8"/>
    <w:rsid w:val="1DFA73F3"/>
    <w:rsid w:val="1E12700E"/>
    <w:rsid w:val="20FE3D8F"/>
    <w:rsid w:val="21971856"/>
    <w:rsid w:val="22E10C1D"/>
    <w:rsid w:val="230C3B8B"/>
    <w:rsid w:val="2866462A"/>
    <w:rsid w:val="2B252436"/>
    <w:rsid w:val="359B56E2"/>
    <w:rsid w:val="366D6BB6"/>
    <w:rsid w:val="381B7E1F"/>
    <w:rsid w:val="3EB2662C"/>
    <w:rsid w:val="445F60B6"/>
    <w:rsid w:val="48C42CD5"/>
    <w:rsid w:val="4E280CF3"/>
    <w:rsid w:val="566D4594"/>
    <w:rsid w:val="58242AE0"/>
    <w:rsid w:val="58AB396B"/>
    <w:rsid w:val="5BC25A07"/>
    <w:rsid w:val="5BDE3A84"/>
    <w:rsid w:val="5C483C8E"/>
    <w:rsid w:val="62A635D4"/>
    <w:rsid w:val="663B31C1"/>
    <w:rsid w:val="66AC0259"/>
    <w:rsid w:val="6AFD60D5"/>
    <w:rsid w:val="6F633413"/>
    <w:rsid w:val="6F9E571F"/>
    <w:rsid w:val="73374A1C"/>
    <w:rsid w:val="738F7392"/>
    <w:rsid w:val="762C283F"/>
    <w:rsid w:val="767D5D1E"/>
    <w:rsid w:val="76E03ABB"/>
    <w:rsid w:val="77967A6C"/>
    <w:rsid w:val="79EB00E3"/>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2AF98-1A1A-4AF9-9957-C9D89620521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5567</Words>
  <Characters>5812</Characters>
  <Lines>41</Lines>
  <Paragraphs>11</Paragraphs>
  <TotalTime>1</TotalTime>
  <ScaleCrop>false</ScaleCrop>
  <LinksUpToDate>false</LinksUpToDate>
  <CharactersWithSpaces>5918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2025-06-17T10:49:00Z</dcterms:created>
  <dc:creator>陈蕾</dc:creator>
  <cp:lastModifiedBy>5J1</cp:lastModifiedBy>
  <cp:lastPrinted>2025-08-11T03:42:00Z</cp:lastPrinted>
  <dcterms:modified xsi:type="dcterms:W3CDTF">2026-04-14T07:48:29Z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9A95F5B443194F229200D6266A2FACD5_13</vt:lpwstr>
  </property>
</Properties>
</file>