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46225D">
      <w:pPr>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11A0F8C5">
      <w:pPr>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67744CC5">
      <w:pPr>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73B20C09">
      <w:pPr>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1084B9BF">
      <w:pPr>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4ED68D42">
      <w:pPr>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申请科室：重症医学科        </w:t>
      </w:r>
      <w:r>
        <w:rPr>
          <w:rFonts w:hint="eastAsia" w:cs="宋体" w:asciiTheme="majorEastAsia" w:hAnsiTheme="majorEastAsia" w:eastAsiaTheme="majorEastAsia"/>
          <w:b/>
          <w:color w:val="000000"/>
          <w:sz w:val="24"/>
          <w:szCs w:val="21"/>
        </w:rPr>
        <w:t>负责人姓名：</w:t>
      </w:r>
      <w:r>
        <w:rPr>
          <w:rFonts w:hint="eastAsia" w:cs="宋体"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206"/>
        <w:gridCol w:w="850"/>
        <w:gridCol w:w="503"/>
        <w:gridCol w:w="64"/>
        <w:gridCol w:w="567"/>
        <w:gridCol w:w="503"/>
        <w:gridCol w:w="348"/>
        <w:gridCol w:w="567"/>
        <w:gridCol w:w="567"/>
        <w:gridCol w:w="1417"/>
        <w:gridCol w:w="993"/>
        <w:gridCol w:w="1062"/>
      </w:tblGrid>
      <w:tr w14:paraId="755F2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17F5F1A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51442A8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3F20198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4D7FB7B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37B6D9D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7CD0E7F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2853B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5E8E4FDB">
            <w:pPr>
              <w:adjustRightInd w:val="0"/>
              <w:snapToGrid w:val="0"/>
              <w:jc w:val="center"/>
              <w:rPr>
                <w:rFonts w:asciiTheme="majorEastAsia" w:hAnsiTheme="majorEastAsia" w:eastAsiaTheme="majorEastAsia"/>
                <w:sz w:val="24"/>
                <w:szCs w:val="21"/>
              </w:rPr>
            </w:pPr>
            <w:bookmarkStart w:id="0" w:name="OLE_LINK16"/>
            <w:r>
              <w:rPr>
                <w:rFonts w:hint="eastAsia" w:asciiTheme="majorEastAsia" w:hAnsiTheme="majorEastAsia" w:eastAsiaTheme="majorEastAsia"/>
                <w:b/>
                <w:sz w:val="24"/>
                <w:szCs w:val="21"/>
              </w:rPr>
              <w:t>脑组织氧饱和度监测仪</w:t>
            </w:r>
            <w:bookmarkEnd w:id="0"/>
          </w:p>
        </w:tc>
        <w:tc>
          <w:tcPr>
            <w:tcW w:w="1559" w:type="dxa"/>
            <w:gridSpan w:val="3"/>
            <w:vAlign w:val="center"/>
          </w:tcPr>
          <w:p w14:paraId="149A65E5">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1134" w:type="dxa"/>
            <w:gridSpan w:val="3"/>
            <w:vAlign w:val="center"/>
          </w:tcPr>
          <w:p w14:paraId="0243B3CC">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915" w:type="dxa"/>
            <w:gridSpan w:val="2"/>
            <w:vAlign w:val="center"/>
          </w:tcPr>
          <w:p w14:paraId="7A555606">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套</w:t>
            </w:r>
          </w:p>
        </w:tc>
        <w:tc>
          <w:tcPr>
            <w:tcW w:w="1984" w:type="dxa"/>
            <w:gridSpan w:val="2"/>
          </w:tcPr>
          <w:p w14:paraId="36D217DF">
            <w:pPr>
              <w:adjustRightInd w:val="0"/>
              <w:snapToGrid w:val="0"/>
              <w:jc w:val="center"/>
              <w:rPr>
                <w:rFonts w:asciiTheme="majorEastAsia" w:hAnsiTheme="majorEastAsia" w:eastAsiaTheme="majorEastAsia"/>
                <w:sz w:val="24"/>
                <w:szCs w:val="21"/>
              </w:rPr>
            </w:pPr>
            <w:r>
              <w:rPr>
                <w:rFonts w:asciiTheme="majorEastAsia" w:hAnsiTheme="majorEastAsia" w:eastAsiaTheme="majorEastAsia"/>
                <w:sz w:val="24"/>
                <w:szCs w:val="21"/>
              </w:rPr>
              <w:t>15</w:t>
            </w:r>
          </w:p>
        </w:tc>
        <w:tc>
          <w:tcPr>
            <w:tcW w:w="2055" w:type="dxa"/>
            <w:gridSpan w:val="2"/>
            <w:vAlign w:val="center"/>
          </w:tcPr>
          <w:p w14:paraId="34EAA1F3">
            <w:pPr>
              <w:adjustRightInd w:val="0"/>
              <w:snapToGrid w:val="0"/>
              <w:jc w:val="center"/>
              <w:rPr>
                <w:rFonts w:asciiTheme="majorEastAsia" w:hAnsiTheme="majorEastAsia" w:eastAsiaTheme="majorEastAsia"/>
                <w:sz w:val="24"/>
                <w:szCs w:val="21"/>
              </w:rPr>
            </w:pPr>
            <w:r>
              <w:rPr>
                <w:rFonts w:asciiTheme="majorEastAsia" w:hAnsiTheme="majorEastAsia" w:eastAsiaTheme="majorEastAsia"/>
                <w:sz w:val="24"/>
                <w:szCs w:val="21"/>
              </w:rPr>
              <w:t>15</w:t>
            </w:r>
          </w:p>
        </w:tc>
      </w:tr>
      <w:tr w14:paraId="4C091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2F6995F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00AB708A">
            <w:pPr>
              <w:rPr>
                <w:rFonts w:asciiTheme="majorEastAsia" w:hAnsiTheme="majorEastAsia" w:eastAsiaTheme="majorEastAsia"/>
                <w:sz w:val="24"/>
                <w:szCs w:val="21"/>
              </w:rPr>
            </w:pPr>
            <w:r>
              <w:rPr>
                <w:rFonts w:hint="eastAsia" w:asciiTheme="majorEastAsia" w:hAnsiTheme="majorEastAsia" w:eastAsiaTheme="majorEastAsia"/>
                <w:sz w:val="24"/>
                <w:szCs w:val="21"/>
              </w:rPr>
              <w:t>脑组织氧饱和度（rSO₂）监测对预防脑缺血、优化临床决策及改善患者预后具有重要意义。目前我科室现有设备在实时监测、数据精准度及临床适配性方面存在局限，亟需引进高性能脑组织氧饱和度监测仪以满足临床需求。</w:t>
            </w:r>
          </w:p>
        </w:tc>
      </w:tr>
      <w:tr w14:paraId="3324D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13515B36">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1867E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6F2465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845" w:type="dxa"/>
            <w:gridSpan w:val="3"/>
            <w:vAlign w:val="center"/>
          </w:tcPr>
          <w:p w14:paraId="3781A82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041C1E7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gridSpan w:val="2"/>
            <w:vAlign w:val="center"/>
          </w:tcPr>
          <w:p w14:paraId="45C93CE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54315D6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851" w:type="dxa"/>
            <w:gridSpan w:val="2"/>
            <w:vAlign w:val="center"/>
          </w:tcPr>
          <w:p w14:paraId="04DA08B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3B8C764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417" w:type="dxa"/>
            <w:vAlign w:val="center"/>
          </w:tcPr>
          <w:p w14:paraId="16A30F1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088691C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2D93C13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20116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5BE2CB3">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2845" w:type="dxa"/>
            <w:gridSpan w:val="3"/>
            <w:vAlign w:val="center"/>
          </w:tcPr>
          <w:p w14:paraId="4BC5B2E8">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脑组织氧饱和度监测仪主机</w:t>
            </w:r>
          </w:p>
        </w:tc>
        <w:tc>
          <w:tcPr>
            <w:tcW w:w="850" w:type="dxa"/>
            <w:vAlign w:val="center"/>
          </w:tcPr>
          <w:p w14:paraId="7A6D4CFD">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vAlign w:val="center"/>
          </w:tcPr>
          <w:p w14:paraId="4E2F7687">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vAlign w:val="center"/>
          </w:tcPr>
          <w:p w14:paraId="0DE2F32F">
            <w:pPr>
              <w:jc w:val="center"/>
              <w:rPr>
                <w:bCs/>
              </w:rPr>
            </w:pPr>
            <w:r>
              <w:rPr>
                <w:rFonts w:hint="eastAsia" w:asciiTheme="majorEastAsia" w:hAnsiTheme="majorEastAsia" w:eastAsiaTheme="majorEastAsia"/>
                <w:bCs/>
                <w:sz w:val="24"/>
                <w:szCs w:val="21"/>
              </w:rPr>
              <w:t>台</w:t>
            </w:r>
          </w:p>
        </w:tc>
        <w:tc>
          <w:tcPr>
            <w:tcW w:w="851" w:type="dxa"/>
            <w:gridSpan w:val="2"/>
            <w:vAlign w:val="center"/>
          </w:tcPr>
          <w:p w14:paraId="56981941">
            <w:pPr>
              <w:adjustRightInd w:val="0"/>
              <w:snapToGrid w:val="0"/>
              <w:jc w:val="center"/>
              <w:rPr>
                <w:rFonts w:asciiTheme="majorEastAsia" w:hAnsiTheme="majorEastAsia" w:eastAsiaTheme="majorEastAsia"/>
                <w:bCs/>
                <w:sz w:val="24"/>
                <w:szCs w:val="21"/>
              </w:rPr>
            </w:pPr>
            <w:r>
              <w:rPr>
                <w:rFonts w:asciiTheme="majorEastAsia" w:hAnsiTheme="majorEastAsia" w:eastAsiaTheme="majorEastAsia"/>
                <w:bCs/>
                <w:sz w:val="24"/>
                <w:szCs w:val="21"/>
              </w:rPr>
              <w:t>15</w:t>
            </w:r>
          </w:p>
        </w:tc>
        <w:tc>
          <w:tcPr>
            <w:tcW w:w="1134" w:type="dxa"/>
            <w:gridSpan w:val="2"/>
            <w:vAlign w:val="center"/>
          </w:tcPr>
          <w:p w14:paraId="240DC1E2">
            <w:pPr>
              <w:adjustRightInd w:val="0"/>
              <w:snapToGrid w:val="0"/>
              <w:jc w:val="center"/>
              <w:rPr>
                <w:rFonts w:asciiTheme="majorEastAsia" w:hAnsiTheme="majorEastAsia" w:eastAsiaTheme="majorEastAsia"/>
                <w:bCs/>
                <w:sz w:val="24"/>
                <w:szCs w:val="21"/>
              </w:rPr>
            </w:pPr>
            <w:r>
              <w:rPr>
                <w:rFonts w:asciiTheme="majorEastAsia" w:hAnsiTheme="majorEastAsia" w:eastAsiaTheme="majorEastAsia"/>
                <w:bCs/>
                <w:sz w:val="24"/>
                <w:szCs w:val="21"/>
              </w:rPr>
              <w:t>15</w:t>
            </w:r>
          </w:p>
        </w:tc>
        <w:tc>
          <w:tcPr>
            <w:tcW w:w="1417" w:type="dxa"/>
            <w:vAlign w:val="center"/>
          </w:tcPr>
          <w:p w14:paraId="3ED3CAD3">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是</w:t>
            </w:r>
          </w:p>
        </w:tc>
        <w:tc>
          <w:tcPr>
            <w:tcW w:w="993" w:type="dxa"/>
            <w:vAlign w:val="center"/>
          </w:tcPr>
          <w:p w14:paraId="5E18E4AE">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7C09D3DB">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是</w:t>
            </w:r>
          </w:p>
        </w:tc>
      </w:tr>
      <w:tr w14:paraId="4BFD4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5C08BB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3</w:t>
            </w:r>
          </w:p>
        </w:tc>
        <w:tc>
          <w:tcPr>
            <w:tcW w:w="2845" w:type="dxa"/>
            <w:gridSpan w:val="3"/>
            <w:vAlign w:val="center"/>
          </w:tcPr>
          <w:p w14:paraId="56BCAB9E">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等电位线</w:t>
            </w:r>
          </w:p>
        </w:tc>
        <w:tc>
          <w:tcPr>
            <w:tcW w:w="850" w:type="dxa"/>
            <w:vAlign w:val="center"/>
          </w:tcPr>
          <w:p w14:paraId="1F10B8D2">
            <w:pPr>
              <w:jc w:val="center"/>
              <w:rPr>
                <w:bCs/>
              </w:rPr>
            </w:pPr>
            <w:r>
              <w:rPr>
                <w:rFonts w:hint="eastAsia" w:asciiTheme="majorEastAsia" w:hAnsiTheme="majorEastAsia" w:eastAsiaTheme="majorEastAsia"/>
                <w:bCs/>
                <w:sz w:val="24"/>
                <w:szCs w:val="21"/>
              </w:rPr>
              <w:t>国产</w:t>
            </w:r>
          </w:p>
        </w:tc>
        <w:tc>
          <w:tcPr>
            <w:tcW w:w="567" w:type="dxa"/>
            <w:gridSpan w:val="2"/>
            <w:vAlign w:val="center"/>
          </w:tcPr>
          <w:p w14:paraId="5F8F23C2">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vAlign w:val="center"/>
          </w:tcPr>
          <w:p w14:paraId="115BB0A8">
            <w:pPr>
              <w:jc w:val="center"/>
              <w:rPr>
                <w:bCs/>
              </w:rPr>
            </w:pPr>
            <w:r>
              <w:rPr>
                <w:rFonts w:hint="eastAsia"/>
                <w:bCs/>
              </w:rPr>
              <w:t>根</w:t>
            </w:r>
          </w:p>
        </w:tc>
        <w:tc>
          <w:tcPr>
            <w:tcW w:w="851" w:type="dxa"/>
            <w:gridSpan w:val="2"/>
            <w:vAlign w:val="center"/>
          </w:tcPr>
          <w:p w14:paraId="0594D515">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134" w:type="dxa"/>
            <w:gridSpan w:val="2"/>
            <w:vAlign w:val="center"/>
          </w:tcPr>
          <w:p w14:paraId="39BF3503">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417" w:type="dxa"/>
            <w:vAlign w:val="center"/>
          </w:tcPr>
          <w:p w14:paraId="7761784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993" w:type="dxa"/>
            <w:vAlign w:val="center"/>
          </w:tcPr>
          <w:p w14:paraId="714FFA81">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244A286B">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3F023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E8A1820">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4</w:t>
            </w:r>
          </w:p>
        </w:tc>
        <w:tc>
          <w:tcPr>
            <w:tcW w:w="2845" w:type="dxa"/>
            <w:gridSpan w:val="3"/>
            <w:vAlign w:val="center"/>
          </w:tcPr>
          <w:p w14:paraId="22CC547A">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组织氧模块</w:t>
            </w:r>
          </w:p>
        </w:tc>
        <w:tc>
          <w:tcPr>
            <w:tcW w:w="850" w:type="dxa"/>
            <w:vAlign w:val="center"/>
          </w:tcPr>
          <w:p w14:paraId="13D17F6D">
            <w:pPr>
              <w:jc w:val="center"/>
              <w:rPr>
                <w:bCs/>
              </w:rPr>
            </w:pPr>
            <w:r>
              <w:rPr>
                <w:rFonts w:hint="eastAsia" w:asciiTheme="majorEastAsia" w:hAnsiTheme="majorEastAsia" w:eastAsiaTheme="majorEastAsia"/>
                <w:bCs/>
                <w:sz w:val="24"/>
                <w:szCs w:val="21"/>
              </w:rPr>
              <w:t>国产</w:t>
            </w:r>
          </w:p>
        </w:tc>
        <w:tc>
          <w:tcPr>
            <w:tcW w:w="567" w:type="dxa"/>
            <w:gridSpan w:val="2"/>
            <w:vAlign w:val="center"/>
          </w:tcPr>
          <w:p w14:paraId="6712276D">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2</w:t>
            </w:r>
          </w:p>
        </w:tc>
        <w:tc>
          <w:tcPr>
            <w:tcW w:w="567" w:type="dxa"/>
            <w:vAlign w:val="center"/>
          </w:tcPr>
          <w:p w14:paraId="3E7F6E98">
            <w:pPr>
              <w:jc w:val="center"/>
              <w:rPr>
                <w:bCs/>
              </w:rPr>
            </w:pPr>
            <w:r>
              <w:rPr>
                <w:rFonts w:hint="eastAsia" w:asciiTheme="majorEastAsia" w:hAnsiTheme="majorEastAsia" w:eastAsiaTheme="majorEastAsia"/>
                <w:bCs/>
                <w:sz w:val="24"/>
                <w:szCs w:val="21"/>
              </w:rPr>
              <w:t>套</w:t>
            </w:r>
          </w:p>
        </w:tc>
        <w:tc>
          <w:tcPr>
            <w:tcW w:w="851" w:type="dxa"/>
            <w:gridSpan w:val="2"/>
            <w:vAlign w:val="center"/>
          </w:tcPr>
          <w:p w14:paraId="39C28992">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134" w:type="dxa"/>
            <w:gridSpan w:val="2"/>
            <w:vAlign w:val="center"/>
          </w:tcPr>
          <w:p w14:paraId="7724836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417" w:type="dxa"/>
            <w:vAlign w:val="center"/>
          </w:tcPr>
          <w:p w14:paraId="4ED1C655">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993" w:type="dxa"/>
            <w:vAlign w:val="center"/>
          </w:tcPr>
          <w:p w14:paraId="60B28278">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3B441C65">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2BAEA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2102D1C">
            <w:pPr>
              <w:ind w:firstLine="240" w:firstLineChars="100"/>
              <w:rPr>
                <w:rFonts w:asciiTheme="majorEastAsia" w:hAnsiTheme="majorEastAsia" w:eastAsiaTheme="majorEastAsia"/>
                <w:bCs/>
                <w:sz w:val="24"/>
                <w:szCs w:val="21"/>
              </w:rPr>
            </w:pPr>
            <w:r>
              <w:rPr>
                <w:rFonts w:hint="eastAsia" w:asciiTheme="majorEastAsia" w:hAnsiTheme="majorEastAsia" w:eastAsiaTheme="majorEastAsia"/>
                <w:bCs/>
                <w:sz w:val="24"/>
                <w:szCs w:val="21"/>
              </w:rPr>
              <w:t>5</w:t>
            </w:r>
          </w:p>
        </w:tc>
        <w:tc>
          <w:tcPr>
            <w:tcW w:w="2845" w:type="dxa"/>
            <w:gridSpan w:val="3"/>
            <w:vAlign w:val="center"/>
          </w:tcPr>
          <w:p w14:paraId="519F73D9">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重复用血氧传感器</w:t>
            </w:r>
          </w:p>
        </w:tc>
        <w:tc>
          <w:tcPr>
            <w:tcW w:w="850" w:type="dxa"/>
            <w:vAlign w:val="center"/>
          </w:tcPr>
          <w:p w14:paraId="6D2C1C27">
            <w:pPr>
              <w:jc w:val="center"/>
              <w:rPr>
                <w:bCs/>
              </w:rPr>
            </w:pPr>
            <w:r>
              <w:rPr>
                <w:rFonts w:hint="eastAsia" w:asciiTheme="majorEastAsia" w:hAnsiTheme="majorEastAsia" w:eastAsiaTheme="majorEastAsia"/>
                <w:bCs/>
                <w:sz w:val="24"/>
                <w:szCs w:val="21"/>
              </w:rPr>
              <w:t>国产</w:t>
            </w:r>
          </w:p>
        </w:tc>
        <w:tc>
          <w:tcPr>
            <w:tcW w:w="567" w:type="dxa"/>
            <w:gridSpan w:val="2"/>
            <w:vAlign w:val="center"/>
          </w:tcPr>
          <w:p w14:paraId="5040F994">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4</w:t>
            </w:r>
          </w:p>
        </w:tc>
        <w:tc>
          <w:tcPr>
            <w:tcW w:w="567" w:type="dxa"/>
            <w:vAlign w:val="center"/>
          </w:tcPr>
          <w:p w14:paraId="67B394E1">
            <w:pPr>
              <w:jc w:val="center"/>
              <w:rPr>
                <w:bCs/>
              </w:rPr>
            </w:pPr>
            <w:r>
              <w:rPr>
                <w:rFonts w:hint="eastAsia" w:asciiTheme="majorEastAsia" w:hAnsiTheme="majorEastAsia" w:eastAsiaTheme="majorEastAsia"/>
                <w:bCs/>
                <w:sz w:val="24"/>
                <w:szCs w:val="21"/>
              </w:rPr>
              <w:t>支</w:t>
            </w:r>
          </w:p>
        </w:tc>
        <w:tc>
          <w:tcPr>
            <w:tcW w:w="851" w:type="dxa"/>
            <w:gridSpan w:val="2"/>
            <w:vAlign w:val="center"/>
          </w:tcPr>
          <w:p w14:paraId="6F636E14">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134" w:type="dxa"/>
            <w:gridSpan w:val="2"/>
            <w:vAlign w:val="center"/>
          </w:tcPr>
          <w:p w14:paraId="5482D62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417" w:type="dxa"/>
            <w:vAlign w:val="center"/>
          </w:tcPr>
          <w:p w14:paraId="3A5E446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993" w:type="dxa"/>
            <w:vAlign w:val="center"/>
          </w:tcPr>
          <w:p w14:paraId="4D72D9A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4A153C14">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3CE33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614ED93">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6</w:t>
            </w:r>
          </w:p>
        </w:tc>
        <w:tc>
          <w:tcPr>
            <w:tcW w:w="2845" w:type="dxa"/>
            <w:gridSpan w:val="3"/>
            <w:vAlign w:val="center"/>
          </w:tcPr>
          <w:p w14:paraId="4BEB034F">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电池</w:t>
            </w:r>
          </w:p>
        </w:tc>
        <w:tc>
          <w:tcPr>
            <w:tcW w:w="850" w:type="dxa"/>
            <w:vAlign w:val="center"/>
          </w:tcPr>
          <w:p w14:paraId="11EABE8D">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vAlign w:val="center"/>
          </w:tcPr>
          <w:p w14:paraId="759CDA52">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vAlign w:val="center"/>
          </w:tcPr>
          <w:p w14:paraId="1D707759">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个</w:t>
            </w:r>
          </w:p>
        </w:tc>
        <w:tc>
          <w:tcPr>
            <w:tcW w:w="851" w:type="dxa"/>
            <w:gridSpan w:val="2"/>
            <w:vAlign w:val="center"/>
          </w:tcPr>
          <w:p w14:paraId="7E9F5909">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134" w:type="dxa"/>
            <w:gridSpan w:val="2"/>
            <w:vAlign w:val="center"/>
          </w:tcPr>
          <w:p w14:paraId="4227A7F4">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417" w:type="dxa"/>
            <w:vAlign w:val="center"/>
          </w:tcPr>
          <w:p w14:paraId="066314E2">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993" w:type="dxa"/>
            <w:vAlign w:val="center"/>
          </w:tcPr>
          <w:p w14:paraId="2224E264">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7C0DEA52">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bl>
    <w:p w14:paraId="4CB9E51F">
      <w:pPr>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1297A7C9">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5F0C9579">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00CF196E">
      <w:pPr>
        <w:numPr>
          <w:ilvl w:val="0"/>
          <w:numId w:val="1"/>
        </w:numPr>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240F359A">
      <w:pPr>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768827F7">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60721DF6">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4A748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14F445E7">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7A2A7918">
            <w:pPr>
              <w:adjustRightInd w:val="0"/>
              <w:snapToGrid w:val="0"/>
              <w:jc w:val="center"/>
              <w:rPr>
                <w:rFonts w:asciiTheme="majorEastAsia" w:hAnsiTheme="majorEastAsia" w:eastAsiaTheme="majorEastAsia"/>
                <w:b/>
                <w:sz w:val="24"/>
                <w:szCs w:val="21"/>
              </w:rPr>
            </w:pPr>
          </w:p>
        </w:tc>
      </w:tr>
      <w:tr w14:paraId="5891F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7372B41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1274DCE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284A98D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50D6B95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4B5D7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733B594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46DD9AD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脑组织氧饱和度监测仪</w:t>
            </w:r>
          </w:p>
        </w:tc>
        <w:tc>
          <w:tcPr>
            <w:tcW w:w="7564" w:type="dxa"/>
            <w:gridSpan w:val="2"/>
            <w:vAlign w:val="top"/>
          </w:tcPr>
          <w:p w14:paraId="3E8A090A">
            <w:pPr>
              <w:numPr>
                <w:ilvl w:val="0"/>
                <w:numId w:val="0"/>
              </w:numPr>
              <w:rPr>
                <w:rFonts w:hint="eastAsia" w:ascii="宋体" w:hAnsi="宋体" w:eastAsia="宋体" w:cs="宋体"/>
                <w:color w:val="auto"/>
                <w:szCs w:val="21"/>
                <w:lang w:val="en-US" w:bidi="ar"/>
              </w:rPr>
            </w:pPr>
            <w:r>
              <w:rPr>
                <w:rFonts w:hint="eastAsia" w:ascii="宋体" w:hAnsi="宋体" w:eastAsia="宋体" w:cs="宋体"/>
                <w:color w:val="auto"/>
                <w:szCs w:val="21"/>
                <w:lang w:val="en-US" w:eastAsia="zh-CN" w:bidi="ar"/>
              </w:rPr>
              <w:t>1、</w:t>
            </w:r>
            <w:r>
              <w:rPr>
                <w:rFonts w:hint="eastAsia" w:ascii="宋体" w:hAnsi="宋体" w:eastAsia="宋体" w:cs="宋体"/>
                <w:color w:val="auto"/>
                <w:szCs w:val="21"/>
                <w:lang w:val="en-US" w:bidi="ar"/>
              </w:rPr>
              <w:t>监测大脑或局部组织血氧饱和度（rSO2）</w:t>
            </w:r>
            <w:r>
              <w:rPr>
                <w:rFonts w:hint="eastAsia" w:ascii="宋体" w:hAnsi="宋体" w:eastAsia="宋体" w:cs="宋体"/>
                <w:color w:val="auto"/>
                <w:szCs w:val="21"/>
                <w:lang w:val="en-US" w:eastAsia="zh-CN" w:bidi="ar"/>
              </w:rPr>
              <w:t>。</w:t>
            </w:r>
            <w:r>
              <w:rPr>
                <w:rFonts w:hint="eastAsia" w:ascii="宋体" w:hAnsi="宋体" w:eastAsia="宋体" w:cs="宋体"/>
                <w:color w:val="auto"/>
                <w:szCs w:val="21"/>
                <w:lang w:val="en-US" w:bidi="ar"/>
              </w:rPr>
              <w:t>监测参数</w:t>
            </w:r>
            <w:r>
              <w:rPr>
                <w:rFonts w:hint="eastAsia" w:ascii="宋体" w:hAnsi="宋体" w:eastAsia="宋体" w:cs="宋体"/>
                <w:color w:val="auto"/>
                <w:szCs w:val="21"/>
                <w:lang w:val="en-US" w:eastAsia="zh-CN" w:bidi="ar"/>
              </w:rPr>
              <w:t>包含</w:t>
            </w:r>
            <w:r>
              <w:rPr>
                <w:rFonts w:hint="eastAsia" w:ascii="宋体" w:hAnsi="宋体" w:eastAsia="宋体" w:cs="宋体"/>
                <w:color w:val="auto"/>
                <w:szCs w:val="21"/>
                <w:lang w:val="en-US" w:bidi="ar"/>
              </w:rPr>
              <w:t>：rSO2、信号质量SQI、AUC</w:t>
            </w:r>
            <w:r>
              <w:rPr>
                <w:rFonts w:hint="eastAsia" w:ascii="宋体" w:hAnsi="宋体" w:eastAsia="宋体" w:cs="宋体"/>
                <w:color w:val="auto"/>
                <w:szCs w:val="21"/>
                <w:lang w:val="en-US" w:eastAsia="zh-CN" w:bidi="ar"/>
              </w:rPr>
              <w:t>、AUT、TUT</w:t>
            </w:r>
            <w:r>
              <w:rPr>
                <w:rFonts w:hint="eastAsia" w:ascii="宋体" w:hAnsi="宋体" w:eastAsia="宋体" w:cs="宋体"/>
                <w:color w:val="auto"/>
                <w:szCs w:val="21"/>
                <w:lang w:val="en-US" w:bidi="ar"/>
              </w:rPr>
              <w:t>、基线（</w:t>
            </w:r>
            <w:r>
              <w:rPr>
                <w:rFonts w:hint="eastAsia" w:ascii="宋体" w:hAnsi="宋体" w:eastAsia="宋体" w:cs="宋体"/>
                <w:color w:val="auto"/>
                <w:szCs w:val="21"/>
                <w:lang w:val="en-US" w:eastAsia="zh-CN" w:bidi="ar"/>
              </w:rPr>
              <w:t>BL</w:t>
            </w:r>
            <w:r>
              <w:rPr>
                <w:rFonts w:hint="eastAsia" w:ascii="宋体" w:hAnsi="宋体" w:eastAsia="宋体" w:cs="宋体"/>
                <w:color w:val="auto"/>
                <w:szCs w:val="21"/>
                <w:lang w:val="en-US" w:bidi="ar"/>
              </w:rPr>
              <w:t>）、Δ</w:t>
            </w:r>
            <w:r>
              <w:rPr>
                <w:rFonts w:hint="eastAsia" w:ascii="宋体" w:hAnsi="宋体" w:eastAsia="宋体" w:cs="宋体"/>
                <w:color w:val="auto"/>
                <w:szCs w:val="21"/>
                <w:lang w:val="en-US" w:eastAsia="zh-CN" w:bidi="ar"/>
              </w:rPr>
              <w:t>BL、</w:t>
            </w:r>
            <w:r>
              <w:rPr>
                <w:rFonts w:hint="eastAsia" w:ascii="宋体" w:hAnsi="宋体" w:eastAsia="宋体" w:cs="宋体"/>
                <w:color w:val="auto"/>
                <w:szCs w:val="21"/>
                <w:lang w:val="en-US" w:bidi="ar"/>
              </w:rPr>
              <w:t>ΔO2Hb、ΔHHb、ΔtHb</w:t>
            </w:r>
            <w:r>
              <w:rPr>
                <w:rFonts w:hint="eastAsia" w:ascii="宋体" w:hAnsi="宋体" w:eastAsia="宋体" w:cs="宋体"/>
                <w:color w:val="auto"/>
                <w:szCs w:val="21"/>
                <w:lang w:val="en-US" w:eastAsia="zh-CN" w:bidi="ar"/>
              </w:rPr>
              <w:t>、</w:t>
            </w:r>
            <w:r>
              <w:rPr>
                <w:rFonts w:hint="eastAsia" w:ascii="宋体" w:hAnsi="宋体" w:eastAsia="宋体" w:cs="宋体"/>
                <w:color w:val="auto"/>
                <w:szCs w:val="21"/>
                <w:lang w:val="en-US" w:bidi="ar"/>
              </w:rPr>
              <w:t>Δ</w:t>
            </w:r>
            <w:r>
              <w:rPr>
                <w:rFonts w:hint="eastAsia" w:ascii="宋体" w:hAnsi="宋体" w:eastAsia="宋体" w:cs="宋体"/>
                <w:color w:val="auto"/>
                <w:szCs w:val="21"/>
                <w:lang w:val="en-US" w:eastAsia="zh-CN" w:bidi="ar"/>
              </w:rPr>
              <w:t>THI、THI，</w:t>
            </w:r>
            <w:r>
              <w:rPr>
                <w:rFonts w:hint="eastAsia" w:ascii="宋体" w:hAnsi="宋体" w:eastAsia="宋体" w:cs="宋体"/>
                <w:color w:val="auto"/>
                <w:szCs w:val="21"/>
                <w:lang w:val="en-US" w:bidi="ar"/>
              </w:rPr>
              <w:t>提供连续、无创、精确的脑组织和局部组织氧饱和度值。</w:t>
            </w:r>
          </w:p>
        </w:tc>
        <w:tc>
          <w:tcPr>
            <w:tcW w:w="817" w:type="dxa"/>
          </w:tcPr>
          <w:p w14:paraId="5089A3CB">
            <w:pPr>
              <w:adjustRightInd w:val="0"/>
              <w:snapToGrid w:val="0"/>
              <w:rPr>
                <w:rFonts w:asciiTheme="majorEastAsia" w:hAnsiTheme="majorEastAsia" w:eastAsiaTheme="majorEastAsia"/>
                <w:b/>
                <w:sz w:val="24"/>
                <w:szCs w:val="21"/>
              </w:rPr>
            </w:pPr>
          </w:p>
        </w:tc>
      </w:tr>
      <w:tr w14:paraId="3DA41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AAFAD1D">
            <w:pPr>
              <w:adjustRightInd w:val="0"/>
              <w:snapToGrid w:val="0"/>
              <w:rPr>
                <w:rFonts w:asciiTheme="majorEastAsia" w:hAnsiTheme="majorEastAsia" w:eastAsiaTheme="majorEastAsia"/>
                <w:b/>
                <w:sz w:val="24"/>
                <w:szCs w:val="21"/>
              </w:rPr>
            </w:pPr>
          </w:p>
        </w:tc>
        <w:tc>
          <w:tcPr>
            <w:tcW w:w="935" w:type="dxa"/>
            <w:vMerge w:val="continue"/>
          </w:tcPr>
          <w:p w14:paraId="20911A5D">
            <w:pPr>
              <w:adjustRightInd w:val="0"/>
              <w:snapToGrid w:val="0"/>
              <w:rPr>
                <w:rFonts w:asciiTheme="majorEastAsia" w:hAnsiTheme="majorEastAsia" w:eastAsiaTheme="majorEastAsia"/>
                <w:b/>
                <w:sz w:val="24"/>
                <w:szCs w:val="21"/>
              </w:rPr>
            </w:pPr>
          </w:p>
        </w:tc>
        <w:tc>
          <w:tcPr>
            <w:tcW w:w="7564" w:type="dxa"/>
            <w:gridSpan w:val="2"/>
            <w:vAlign w:val="top"/>
          </w:tcPr>
          <w:p w14:paraId="79AD19AE">
            <w:pPr>
              <w:numPr>
                <w:ilvl w:val="0"/>
                <w:numId w:val="0"/>
              </w:numPr>
              <w:rPr>
                <w:rFonts w:hint="eastAsia" w:ascii="宋体" w:hAnsi="宋体" w:eastAsia="宋体" w:cs="宋体"/>
                <w:color w:val="auto"/>
                <w:szCs w:val="21"/>
                <w:lang w:val="en-US" w:bidi="ar"/>
              </w:rPr>
            </w:pPr>
            <w:r>
              <w:rPr>
                <w:rFonts w:hint="eastAsia" w:ascii="宋体" w:hAnsi="宋体" w:eastAsia="宋体" w:cs="宋体"/>
                <w:color w:val="auto"/>
                <w:szCs w:val="21"/>
                <w:lang w:val="en-US" w:bidi="ar"/>
              </w:rPr>
              <w:t>2、显示屏幕：≥12英寸，屏幕亮度可调节</w:t>
            </w:r>
          </w:p>
        </w:tc>
        <w:tc>
          <w:tcPr>
            <w:tcW w:w="817" w:type="dxa"/>
          </w:tcPr>
          <w:p w14:paraId="00BF1563">
            <w:pPr>
              <w:adjustRightInd w:val="0"/>
              <w:snapToGrid w:val="0"/>
              <w:rPr>
                <w:rFonts w:asciiTheme="majorEastAsia" w:hAnsiTheme="majorEastAsia" w:eastAsiaTheme="majorEastAsia"/>
                <w:b/>
                <w:sz w:val="24"/>
                <w:szCs w:val="21"/>
              </w:rPr>
            </w:pPr>
          </w:p>
        </w:tc>
      </w:tr>
      <w:tr w14:paraId="28D1A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BFD59BE">
            <w:pPr>
              <w:adjustRightInd w:val="0"/>
              <w:snapToGrid w:val="0"/>
              <w:rPr>
                <w:rFonts w:asciiTheme="majorEastAsia" w:hAnsiTheme="majorEastAsia" w:eastAsiaTheme="majorEastAsia"/>
                <w:b/>
                <w:sz w:val="24"/>
                <w:szCs w:val="21"/>
              </w:rPr>
            </w:pPr>
          </w:p>
        </w:tc>
        <w:tc>
          <w:tcPr>
            <w:tcW w:w="935" w:type="dxa"/>
            <w:vMerge w:val="continue"/>
          </w:tcPr>
          <w:p w14:paraId="2168B786">
            <w:pPr>
              <w:adjustRightInd w:val="0"/>
              <w:snapToGrid w:val="0"/>
              <w:rPr>
                <w:rFonts w:asciiTheme="majorEastAsia" w:hAnsiTheme="majorEastAsia" w:eastAsiaTheme="majorEastAsia"/>
                <w:b/>
                <w:sz w:val="24"/>
                <w:szCs w:val="21"/>
              </w:rPr>
            </w:pPr>
          </w:p>
        </w:tc>
        <w:tc>
          <w:tcPr>
            <w:tcW w:w="7564" w:type="dxa"/>
            <w:gridSpan w:val="2"/>
            <w:vAlign w:val="top"/>
          </w:tcPr>
          <w:p w14:paraId="49555FED">
            <w:pPr>
              <w:numPr>
                <w:ilvl w:val="0"/>
                <w:numId w:val="0"/>
              </w:numPr>
              <w:rPr>
                <w:rFonts w:hint="eastAsia" w:ascii="宋体" w:hAnsi="宋体" w:eastAsia="宋体" w:cs="宋体"/>
                <w:color w:val="auto"/>
                <w:szCs w:val="21"/>
                <w:lang w:val="en-US" w:bidi="ar"/>
              </w:rPr>
            </w:pPr>
            <w:r>
              <w:rPr>
                <w:rFonts w:hint="eastAsia" w:ascii="宋体" w:hAnsi="宋体" w:eastAsia="宋体" w:cs="宋体"/>
                <w:color w:val="auto"/>
                <w:szCs w:val="21"/>
                <w:lang w:val="en-US" w:bidi="ar"/>
              </w:rPr>
              <w:t>3、监测信号质量（SQI），具备≥4 格信号强度指示</w:t>
            </w:r>
          </w:p>
        </w:tc>
        <w:tc>
          <w:tcPr>
            <w:tcW w:w="817" w:type="dxa"/>
          </w:tcPr>
          <w:p w14:paraId="6B4DF58A">
            <w:pPr>
              <w:adjustRightInd w:val="0"/>
              <w:snapToGrid w:val="0"/>
              <w:rPr>
                <w:rFonts w:asciiTheme="majorEastAsia" w:hAnsiTheme="majorEastAsia" w:eastAsiaTheme="majorEastAsia"/>
                <w:b/>
                <w:sz w:val="24"/>
                <w:szCs w:val="21"/>
              </w:rPr>
            </w:pPr>
          </w:p>
        </w:tc>
      </w:tr>
      <w:tr w14:paraId="47CF2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DBF1952">
            <w:pPr>
              <w:adjustRightInd w:val="0"/>
              <w:snapToGrid w:val="0"/>
              <w:rPr>
                <w:rFonts w:asciiTheme="majorEastAsia" w:hAnsiTheme="majorEastAsia" w:eastAsiaTheme="majorEastAsia"/>
                <w:b/>
                <w:sz w:val="24"/>
                <w:szCs w:val="21"/>
              </w:rPr>
            </w:pPr>
          </w:p>
        </w:tc>
        <w:tc>
          <w:tcPr>
            <w:tcW w:w="935" w:type="dxa"/>
            <w:vMerge w:val="continue"/>
          </w:tcPr>
          <w:p w14:paraId="773B27EB">
            <w:pPr>
              <w:adjustRightInd w:val="0"/>
              <w:snapToGrid w:val="0"/>
              <w:rPr>
                <w:rFonts w:asciiTheme="majorEastAsia" w:hAnsiTheme="majorEastAsia" w:eastAsiaTheme="majorEastAsia"/>
                <w:b/>
                <w:sz w:val="24"/>
                <w:szCs w:val="21"/>
              </w:rPr>
            </w:pPr>
          </w:p>
        </w:tc>
        <w:tc>
          <w:tcPr>
            <w:tcW w:w="7564" w:type="dxa"/>
            <w:gridSpan w:val="2"/>
            <w:vAlign w:val="top"/>
          </w:tcPr>
          <w:p w14:paraId="33774700">
            <w:pPr>
              <w:pStyle w:val="16"/>
              <w:numPr>
                <w:ilvl w:val="-1"/>
                <w:numId w:val="0"/>
              </w:numPr>
              <w:spacing w:line="360" w:lineRule="auto"/>
              <w:ind w:left="0" w:leftChars="0" w:firstLine="0" w:firstLineChars="0"/>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4、报警音量10档可调，报警静音1-60min可调；</w:t>
            </w:r>
          </w:p>
        </w:tc>
        <w:tc>
          <w:tcPr>
            <w:tcW w:w="817" w:type="dxa"/>
          </w:tcPr>
          <w:p w14:paraId="01EBA2BF">
            <w:pPr>
              <w:adjustRightInd w:val="0"/>
              <w:snapToGrid w:val="0"/>
              <w:rPr>
                <w:rFonts w:asciiTheme="majorEastAsia" w:hAnsiTheme="majorEastAsia" w:eastAsiaTheme="majorEastAsia"/>
                <w:b/>
                <w:sz w:val="24"/>
                <w:szCs w:val="21"/>
              </w:rPr>
            </w:pPr>
          </w:p>
        </w:tc>
      </w:tr>
      <w:tr w14:paraId="3BFE0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520786C">
            <w:pPr>
              <w:adjustRightInd w:val="0"/>
              <w:snapToGrid w:val="0"/>
              <w:rPr>
                <w:rFonts w:asciiTheme="majorEastAsia" w:hAnsiTheme="majorEastAsia" w:eastAsiaTheme="majorEastAsia"/>
                <w:b/>
                <w:sz w:val="24"/>
                <w:szCs w:val="21"/>
              </w:rPr>
            </w:pPr>
          </w:p>
        </w:tc>
        <w:tc>
          <w:tcPr>
            <w:tcW w:w="935" w:type="dxa"/>
            <w:vMerge w:val="continue"/>
          </w:tcPr>
          <w:p w14:paraId="59B89CBA">
            <w:pPr>
              <w:adjustRightInd w:val="0"/>
              <w:snapToGrid w:val="0"/>
              <w:rPr>
                <w:rFonts w:asciiTheme="majorEastAsia" w:hAnsiTheme="majorEastAsia" w:eastAsiaTheme="majorEastAsia"/>
                <w:b/>
                <w:sz w:val="24"/>
                <w:szCs w:val="21"/>
              </w:rPr>
            </w:pPr>
          </w:p>
        </w:tc>
        <w:tc>
          <w:tcPr>
            <w:tcW w:w="7564" w:type="dxa"/>
            <w:gridSpan w:val="2"/>
            <w:vAlign w:val="top"/>
          </w:tcPr>
          <w:p w14:paraId="1A616F14">
            <w:pPr>
              <w:numPr>
                <w:ilvl w:val="0"/>
                <w:numId w:val="0"/>
              </w:numPr>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5、具备组织中氧合血红蛋白浓度相对初始值的变化量（ΔO2Hb）、组织中还原血红蛋白浓度相对初始值的变化量（ΔHHb）、组织中总血红蛋白浓度相对初始值的变化量（ΔtHb），测量范围均为：≥-200~200μmol/L，误差≤±0.1μmol/L；</w:t>
            </w:r>
          </w:p>
        </w:tc>
        <w:tc>
          <w:tcPr>
            <w:tcW w:w="817" w:type="dxa"/>
          </w:tcPr>
          <w:p w14:paraId="26EF0E23">
            <w:pPr>
              <w:adjustRightInd w:val="0"/>
              <w:snapToGrid w:val="0"/>
              <w:rPr>
                <w:rFonts w:asciiTheme="majorEastAsia" w:hAnsiTheme="majorEastAsia" w:eastAsiaTheme="majorEastAsia"/>
                <w:b/>
                <w:sz w:val="24"/>
                <w:szCs w:val="21"/>
              </w:rPr>
            </w:pPr>
          </w:p>
        </w:tc>
      </w:tr>
      <w:tr w14:paraId="2E69D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22CEF60">
            <w:pPr>
              <w:adjustRightInd w:val="0"/>
              <w:snapToGrid w:val="0"/>
              <w:rPr>
                <w:rFonts w:asciiTheme="majorEastAsia" w:hAnsiTheme="majorEastAsia" w:eastAsiaTheme="majorEastAsia"/>
                <w:b/>
                <w:sz w:val="24"/>
                <w:szCs w:val="21"/>
              </w:rPr>
            </w:pPr>
          </w:p>
        </w:tc>
        <w:tc>
          <w:tcPr>
            <w:tcW w:w="935" w:type="dxa"/>
            <w:vMerge w:val="continue"/>
          </w:tcPr>
          <w:p w14:paraId="40E83A46">
            <w:pPr>
              <w:adjustRightInd w:val="0"/>
              <w:snapToGrid w:val="0"/>
              <w:rPr>
                <w:rFonts w:asciiTheme="majorEastAsia" w:hAnsiTheme="majorEastAsia" w:eastAsiaTheme="majorEastAsia"/>
                <w:b/>
                <w:sz w:val="24"/>
                <w:szCs w:val="21"/>
              </w:rPr>
            </w:pPr>
          </w:p>
        </w:tc>
        <w:tc>
          <w:tcPr>
            <w:tcW w:w="7564" w:type="dxa"/>
            <w:gridSpan w:val="2"/>
            <w:vAlign w:val="top"/>
          </w:tcPr>
          <w:p w14:paraId="281067C6">
            <w:pPr>
              <w:numPr>
                <w:ilvl w:val="0"/>
                <w:numId w:val="0"/>
              </w:numPr>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6、rSO2测量范围及分辨率：1%～99%（需涵盖此范围），分辨率≤1%</w:t>
            </w:r>
          </w:p>
        </w:tc>
        <w:tc>
          <w:tcPr>
            <w:tcW w:w="817" w:type="dxa"/>
          </w:tcPr>
          <w:p w14:paraId="1869D054">
            <w:pPr>
              <w:adjustRightInd w:val="0"/>
              <w:snapToGrid w:val="0"/>
              <w:rPr>
                <w:rFonts w:asciiTheme="majorEastAsia" w:hAnsiTheme="majorEastAsia" w:eastAsiaTheme="majorEastAsia"/>
                <w:b/>
                <w:sz w:val="24"/>
                <w:szCs w:val="21"/>
              </w:rPr>
            </w:pPr>
          </w:p>
        </w:tc>
      </w:tr>
      <w:tr w14:paraId="060B9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EA5EDE5">
            <w:pPr>
              <w:adjustRightInd w:val="0"/>
              <w:snapToGrid w:val="0"/>
              <w:rPr>
                <w:rFonts w:asciiTheme="majorEastAsia" w:hAnsiTheme="majorEastAsia" w:eastAsiaTheme="majorEastAsia"/>
                <w:b/>
                <w:sz w:val="24"/>
                <w:szCs w:val="21"/>
              </w:rPr>
            </w:pPr>
          </w:p>
        </w:tc>
        <w:tc>
          <w:tcPr>
            <w:tcW w:w="935" w:type="dxa"/>
            <w:vMerge w:val="continue"/>
          </w:tcPr>
          <w:p w14:paraId="2EA42FA7">
            <w:pPr>
              <w:adjustRightInd w:val="0"/>
              <w:snapToGrid w:val="0"/>
              <w:rPr>
                <w:rFonts w:asciiTheme="majorEastAsia" w:hAnsiTheme="majorEastAsia" w:eastAsiaTheme="majorEastAsia"/>
                <w:b/>
                <w:sz w:val="24"/>
                <w:szCs w:val="21"/>
              </w:rPr>
            </w:pPr>
          </w:p>
        </w:tc>
        <w:tc>
          <w:tcPr>
            <w:tcW w:w="7564" w:type="dxa"/>
            <w:gridSpan w:val="2"/>
            <w:vAlign w:val="top"/>
          </w:tcPr>
          <w:p w14:paraId="6BC4DBC1">
            <w:pPr>
              <w:numPr>
                <w:ilvl w:val="0"/>
                <w:numId w:val="0"/>
              </w:numPr>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7、具有≥9种监测状态报警提示，至少包括：传感器连接失败、传感器探头位置出错、传感器数据不稳定、环境光过强、模块未连接、传感器未连接、电池电量低、超过上限、低于下限等</w:t>
            </w:r>
          </w:p>
        </w:tc>
        <w:tc>
          <w:tcPr>
            <w:tcW w:w="817" w:type="dxa"/>
          </w:tcPr>
          <w:p w14:paraId="7A2F5CE4">
            <w:pPr>
              <w:adjustRightInd w:val="0"/>
              <w:snapToGrid w:val="0"/>
              <w:rPr>
                <w:rFonts w:asciiTheme="majorEastAsia" w:hAnsiTheme="majorEastAsia" w:eastAsiaTheme="majorEastAsia"/>
                <w:b/>
                <w:sz w:val="24"/>
                <w:szCs w:val="21"/>
              </w:rPr>
            </w:pPr>
          </w:p>
        </w:tc>
      </w:tr>
      <w:tr w14:paraId="67DE1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5ED1CD0">
            <w:pPr>
              <w:adjustRightInd w:val="0"/>
              <w:snapToGrid w:val="0"/>
              <w:rPr>
                <w:rFonts w:asciiTheme="majorEastAsia" w:hAnsiTheme="majorEastAsia" w:eastAsiaTheme="majorEastAsia"/>
                <w:b/>
                <w:sz w:val="24"/>
                <w:szCs w:val="21"/>
              </w:rPr>
            </w:pPr>
          </w:p>
        </w:tc>
        <w:tc>
          <w:tcPr>
            <w:tcW w:w="935" w:type="dxa"/>
            <w:vMerge w:val="continue"/>
          </w:tcPr>
          <w:p w14:paraId="7477039E">
            <w:pPr>
              <w:adjustRightInd w:val="0"/>
              <w:snapToGrid w:val="0"/>
              <w:rPr>
                <w:rFonts w:asciiTheme="majorEastAsia" w:hAnsiTheme="majorEastAsia" w:eastAsiaTheme="majorEastAsia"/>
                <w:b/>
                <w:sz w:val="24"/>
                <w:szCs w:val="21"/>
              </w:rPr>
            </w:pPr>
          </w:p>
        </w:tc>
        <w:tc>
          <w:tcPr>
            <w:tcW w:w="7564" w:type="dxa"/>
            <w:gridSpan w:val="2"/>
            <w:vAlign w:val="top"/>
          </w:tcPr>
          <w:p w14:paraId="14D2BD1C">
            <w:pPr>
              <w:numPr>
                <w:ilvl w:val="0"/>
                <w:numId w:val="0"/>
              </w:numPr>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8、准确度：相对于颈内静脉与桡动脉氧饱和度值的加权值相关系数为≥0.9，标准差≤2.5%，偏差≤0.25%，提供可证明上述功能参数的厂家盖章证明资料或检测机构出具的检测报告或厂商的产品官方宣传资料，包括但不限于产品彩页或说明书或图纸说明。</w:t>
            </w:r>
          </w:p>
        </w:tc>
        <w:tc>
          <w:tcPr>
            <w:tcW w:w="817" w:type="dxa"/>
          </w:tcPr>
          <w:p w14:paraId="73ADA69F">
            <w:pPr>
              <w:adjustRightInd w:val="0"/>
              <w:snapToGrid w:val="0"/>
              <w:rPr>
                <w:rFonts w:asciiTheme="majorEastAsia" w:hAnsiTheme="majorEastAsia" w:eastAsiaTheme="majorEastAsia"/>
                <w:b/>
                <w:sz w:val="24"/>
                <w:szCs w:val="21"/>
              </w:rPr>
            </w:pPr>
          </w:p>
        </w:tc>
      </w:tr>
      <w:tr w14:paraId="471CB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F48785F">
            <w:pPr>
              <w:adjustRightInd w:val="0"/>
              <w:snapToGrid w:val="0"/>
              <w:rPr>
                <w:rFonts w:asciiTheme="majorEastAsia" w:hAnsiTheme="majorEastAsia" w:eastAsiaTheme="majorEastAsia"/>
                <w:b/>
                <w:sz w:val="24"/>
                <w:szCs w:val="21"/>
              </w:rPr>
            </w:pPr>
          </w:p>
        </w:tc>
        <w:tc>
          <w:tcPr>
            <w:tcW w:w="935" w:type="dxa"/>
            <w:vMerge w:val="continue"/>
          </w:tcPr>
          <w:p w14:paraId="2A3EB578">
            <w:pPr>
              <w:adjustRightInd w:val="0"/>
              <w:snapToGrid w:val="0"/>
              <w:rPr>
                <w:rFonts w:asciiTheme="majorEastAsia" w:hAnsiTheme="majorEastAsia" w:eastAsiaTheme="majorEastAsia"/>
                <w:b/>
                <w:sz w:val="24"/>
                <w:szCs w:val="21"/>
              </w:rPr>
            </w:pPr>
          </w:p>
        </w:tc>
        <w:tc>
          <w:tcPr>
            <w:tcW w:w="7564" w:type="dxa"/>
            <w:gridSpan w:val="2"/>
            <w:vAlign w:val="top"/>
          </w:tcPr>
          <w:p w14:paraId="42C49815">
            <w:pPr>
              <w:pStyle w:val="2"/>
              <w:numPr>
                <w:ilvl w:val="0"/>
                <w:numId w:val="0"/>
              </w:numPr>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9、具备≥10种型号的一次性/重复性传感器可选；重复性传感器均配备专用替换凝胶、替换工具、辅助固定头带。（提供包括但不限于实物照片或产品彩页或说明书等作为证明材料）</w:t>
            </w:r>
          </w:p>
        </w:tc>
        <w:tc>
          <w:tcPr>
            <w:tcW w:w="817" w:type="dxa"/>
          </w:tcPr>
          <w:p w14:paraId="0B0B2F28">
            <w:pPr>
              <w:adjustRightInd w:val="0"/>
              <w:snapToGrid w:val="0"/>
              <w:rPr>
                <w:rFonts w:asciiTheme="majorEastAsia" w:hAnsiTheme="majorEastAsia" w:eastAsiaTheme="majorEastAsia"/>
                <w:b/>
                <w:sz w:val="24"/>
                <w:szCs w:val="21"/>
              </w:rPr>
            </w:pPr>
          </w:p>
        </w:tc>
      </w:tr>
      <w:tr w14:paraId="7055A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396C83B">
            <w:pPr>
              <w:adjustRightInd w:val="0"/>
              <w:snapToGrid w:val="0"/>
              <w:rPr>
                <w:rFonts w:asciiTheme="majorEastAsia" w:hAnsiTheme="majorEastAsia" w:eastAsiaTheme="majorEastAsia"/>
                <w:b/>
                <w:sz w:val="24"/>
                <w:szCs w:val="21"/>
              </w:rPr>
            </w:pPr>
          </w:p>
        </w:tc>
        <w:tc>
          <w:tcPr>
            <w:tcW w:w="935" w:type="dxa"/>
            <w:vMerge w:val="continue"/>
          </w:tcPr>
          <w:p w14:paraId="3A8C4A70">
            <w:pPr>
              <w:adjustRightInd w:val="0"/>
              <w:snapToGrid w:val="0"/>
              <w:rPr>
                <w:rFonts w:asciiTheme="majorEastAsia" w:hAnsiTheme="majorEastAsia" w:eastAsiaTheme="majorEastAsia"/>
                <w:b/>
                <w:sz w:val="24"/>
                <w:szCs w:val="21"/>
              </w:rPr>
            </w:pPr>
          </w:p>
        </w:tc>
        <w:tc>
          <w:tcPr>
            <w:tcW w:w="7564" w:type="dxa"/>
            <w:gridSpan w:val="2"/>
            <w:vAlign w:val="top"/>
          </w:tcPr>
          <w:p w14:paraId="33107DB6">
            <w:pPr>
              <w:pStyle w:val="16"/>
              <w:keepNext w:val="0"/>
              <w:keepLines w:val="0"/>
              <w:pageBreakBefore w:val="0"/>
              <w:widowControl w:val="0"/>
              <w:numPr>
                <w:ilvl w:val="0"/>
                <w:numId w:val="0"/>
              </w:numPr>
              <w:tabs>
                <w:tab w:val="left" w:pos="759"/>
                <w:tab w:val="left" w:pos="2392"/>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10、传感器探测光源≥五波长LED、非激光光源，双路光电接收器；对不同年龄、性别、颅骨密度、厚度、肤色差，提供更准确的数值。（提供可证明上述功能参数的厂家盖章证明资料或检测机构出具的检测报告或厂商的产品官方宣传资料，包括但不限于产品彩页或说明书或图纸说明）</w:t>
            </w:r>
          </w:p>
        </w:tc>
        <w:tc>
          <w:tcPr>
            <w:tcW w:w="817" w:type="dxa"/>
          </w:tcPr>
          <w:p w14:paraId="1AB36C7C">
            <w:pPr>
              <w:adjustRightInd w:val="0"/>
              <w:snapToGrid w:val="0"/>
              <w:rPr>
                <w:rFonts w:asciiTheme="majorEastAsia" w:hAnsiTheme="majorEastAsia" w:eastAsiaTheme="majorEastAsia"/>
                <w:b/>
                <w:sz w:val="24"/>
                <w:szCs w:val="21"/>
              </w:rPr>
            </w:pPr>
            <w:r>
              <w:rPr>
                <w:rFonts w:hint="eastAsia"/>
              </w:rPr>
              <w:t>▲</w:t>
            </w:r>
          </w:p>
        </w:tc>
      </w:tr>
      <w:tr w14:paraId="01604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9CABF88">
            <w:pPr>
              <w:adjustRightInd w:val="0"/>
              <w:snapToGrid w:val="0"/>
              <w:rPr>
                <w:rFonts w:asciiTheme="majorEastAsia" w:hAnsiTheme="majorEastAsia" w:eastAsiaTheme="majorEastAsia"/>
                <w:b/>
                <w:sz w:val="24"/>
                <w:szCs w:val="21"/>
              </w:rPr>
            </w:pPr>
          </w:p>
        </w:tc>
        <w:tc>
          <w:tcPr>
            <w:tcW w:w="935" w:type="dxa"/>
            <w:vMerge w:val="continue"/>
          </w:tcPr>
          <w:p w14:paraId="122281F7">
            <w:pPr>
              <w:adjustRightInd w:val="0"/>
              <w:snapToGrid w:val="0"/>
              <w:rPr>
                <w:rFonts w:asciiTheme="majorEastAsia" w:hAnsiTheme="majorEastAsia" w:eastAsiaTheme="majorEastAsia"/>
                <w:b/>
                <w:sz w:val="24"/>
                <w:szCs w:val="21"/>
              </w:rPr>
            </w:pPr>
          </w:p>
        </w:tc>
        <w:tc>
          <w:tcPr>
            <w:tcW w:w="7564" w:type="dxa"/>
            <w:gridSpan w:val="2"/>
            <w:vAlign w:val="top"/>
          </w:tcPr>
          <w:p w14:paraId="50E08961">
            <w:pPr>
              <w:pStyle w:val="16"/>
              <w:keepNext w:val="0"/>
              <w:keepLines w:val="0"/>
              <w:pageBreakBefore w:val="0"/>
              <w:widowControl w:val="0"/>
              <w:numPr>
                <w:ilvl w:val="0"/>
                <w:numId w:val="0"/>
              </w:numPr>
              <w:tabs>
                <w:tab w:val="left" w:pos="759"/>
                <w:tab w:val="left" w:pos="2392"/>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11、传感器光源单芯片集成 ≥5种波长、2个接受器配合可形成，10条光源路径；光源芯片面积≥5mm*5mm；单颗接芯片面积≥10mm*8mm。（提供可证明上述功能参数的厂家盖章证明资料或检测机构出具的检测报告或厂商的产品官方宣传资料，包括但不限于产品彩页或说明书或图纸说明）</w:t>
            </w:r>
          </w:p>
        </w:tc>
        <w:tc>
          <w:tcPr>
            <w:tcW w:w="817" w:type="dxa"/>
          </w:tcPr>
          <w:p w14:paraId="5103299D">
            <w:pPr>
              <w:adjustRightInd w:val="0"/>
              <w:snapToGrid w:val="0"/>
              <w:rPr>
                <w:rFonts w:asciiTheme="majorEastAsia" w:hAnsiTheme="majorEastAsia" w:eastAsiaTheme="majorEastAsia"/>
                <w:b/>
                <w:sz w:val="24"/>
                <w:szCs w:val="21"/>
              </w:rPr>
            </w:pPr>
          </w:p>
        </w:tc>
      </w:tr>
      <w:tr w14:paraId="0721B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573D366">
            <w:pPr>
              <w:adjustRightInd w:val="0"/>
              <w:snapToGrid w:val="0"/>
              <w:rPr>
                <w:rFonts w:asciiTheme="majorEastAsia" w:hAnsiTheme="majorEastAsia" w:eastAsiaTheme="majorEastAsia"/>
                <w:b/>
                <w:sz w:val="24"/>
                <w:szCs w:val="21"/>
              </w:rPr>
            </w:pPr>
          </w:p>
        </w:tc>
        <w:tc>
          <w:tcPr>
            <w:tcW w:w="935" w:type="dxa"/>
            <w:vMerge w:val="continue"/>
          </w:tcPr>
          <w:p w14:paraId="2781DB35">
            <w:pPr>
              <w:adjustRightInd w:val="0"/>
              <w:snapToGrid w:val="0"/>
              <w:rPr>
                <w:rFonts w:asciiTheme="majorEastAsia" w:hAnsiTheme="majorEastAsia" w:eastAsiaTheme="majorEastAsia"/>
                <w:b/>
                <w:sz w:val="24"/>
                <w:szCs w:val="21"/>
              </w:rPr>
            </w:pPr>
          </w:p>
        </w:tc>
        <w:tc>
          <w:tcPr>
            <w:tcW w:w="7564" w:type="dxa"/>
            <w:gridSpan w:val="2"/>
            <w:vAlign w:val="top"/>
          </w:tcPr>
          <w:p w14:paraId="18C2B4BD">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12、具备事件标签功能，应用场景≥6个，每种场景≥80个固定常用事件标签，合计≥480个固定常用标签，也可手动新增事件标签。（提供所投产品说明书或技术白皮书或产品彩页或软件[操作界面]功能截图或制造商对所投设备技术参数出具的证明）</w:t>
            </w:r>
          </w:p>
        </w:tc>
        <w:tc>
          <w:tcPr>
            <w:tcW w:w="817" w:type="dxa"/>
          </w:tcPr>
          <w:p w14:paraId="4AE67BA1">
            <w:pPr>
              <w:adjustRightInd w:val="0"/>
              <w:snapToGrid w:val="0"/>
              <w:rPr>
                <w:rFonts w:asciiTheme="majorEastAsia" w:hAnsiTheme="majorEastAsia" w:eastAsiaTheme="majorEastAsia"/>
                <w:b/>
                <w:sz w:val="24"/>
                <w:szCs w:val="21"/>
              </w:rPr>
            </w:pPr>
          </w:p>
        </w:tc>
      </w:tr>
      <w:tr w14:paraId="0CD2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4638AEB">
            <w:pPr>
              <w:adjustRightInd w:val="0"/>
              <w:snapToGrid w:val="0"/>
              <w:rPr>
                <w:rFonts w:asciiTheme="majorEastAsia" w:hAnsiTheme="majorEastAsia" w:eastAsiaTheme="majorEastAsia"/>
                <w:b/>
                <w:sz w:val="24"/>
                <w:szCs w:val="21"/>
              </w:rPr>
            </w:pPr>
          </w:p>
        </w:tc>
        <w:tc>
          <w:tcPr>
            <w:tcW w:w="935" w:type="dxa"/>
            <w:vMerge w:val="continue"/>
          </w:tcPr>
          <w:p w14:paraId="69D520DA">
            <w:pPr>
              <w:adjustRightInd w:val="0"/>
              <w:snapToGrid w:val="0"/>
              <w:rPr>
                <w:rFonts w:asciiTheme="majorEastAsia" w:hAnsiTheme="majorEastAsia" w:eastAsiaTheme="majorEastAsia"/>
                <w:b/>
                <w:sz w:val="24"/>
                <w:szCs w:val="21"/>
              </w:rPr>
            </w:pPr>
          </w:p>
        </w:tc>
        <w:tc>
          <w:tcPr>
            <w:tcW w:w="7564" w:type="dxa"/>
            <w:gridSpan w:val="2"/>
            <w:vAlign w:val="top"/>
          </w:tcPr>
          <w:p w14:paraId="305A2FFA">
            <w:pPr>
              <w:pStyle w:val="16"/>
              <w:keepNext w:val="0"/>
              <w:keepLines w:val="0"/>
              <w:pageBreakBefore w:val="0"/>
              <w:widowControl w:val="0"/>
              <w:numPr>
                <w:ilvl w:val="0"/>
                <w:numId w:val="0"/>
              </w:numPr>
              <w:tabs>
                <w:tab w:val="left" w:pos="759"/>
                <w:tab w:val="left" w:pos="2392"/>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13、可在监测或未监测状态下开关任意通道；可开关任意通道的氧合、还原、总血红蛋白浓度变化量的数据波形窗口；</w:t>
            </w:r>
          </w:p>
        </w:tc>
        <w:tc>
          <w:tcPr>
            <w:tcW w:w="817" w:type="dxa"/>
          </w:tcPr>
          <w:p w14:paraId="0EEF4910">
            <w:pPr>
              <w:adjustRightInd w:val="0"/>
              <w:snapToGrid w:val="0"/>
              <w:rPr>
                <w:rFonts w:asciiTheme="majorEastAsia" w:hAnsiTheme="majorEastAsia" w:eastAsiaTheme="majorEastAsia"/>
                <w:b/>
                <w:sz w:val="24"/>
                <w:szCs w:val="21"/>
              </w:rPr>
            </w:pPr>
          </w:p>
        </w:tc>
      </w:tr>
      <w:tr w14:paraId="67339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8CFBA62">
            <w:pPr>
              <w:adjustRightInd w:val="0"/>
              <w:snapToGrid w:val="0"/>
              <w:rPr>
                <w:rFonts w:asciiTheme="majorEastAsia" w:hAnsiTheme="majorEastAsia" w:eastAsiaTheme="majorEastAsia"/>
                <w:b/>
                <w:sz w:val="24"/>
                <w:szCs w:val="21"/>
              </w:rPr>
            </w:pPr>
          </w:p>
        </w:tc>
        <w:tc>
          <w:tcPr>
            <w:tcW w:w="935" w:type="dxa"/>
            <w:vMerge w:val="continue"/>
          </w:tcPr>
          <w:p w14:paraId="242DFDEC">
            <w:pPr>
              <w:adjustRightInd w:val="0"/>
              <w:snapToGrid w:val="0"/>
              <w:rPr>
                <w:rFonts w:asciiTheme="majorEastAsia" w:hAnsiTheme="majorEastAsia" w:eastAsiaTheme="majorEastAsia"/>
                <w:b/>
                <w:sz w:val="24"/>
                <w:szCs w:val="21"/>
              </w:rPr>
            </w:pPr>
          </w:p>
        </w:tc>
        <w:tc>
          <w:tcPr>
            <w:tcW w:w="7564" w:type="dxa"/>
            <w:gridSpan w:val="2"/>
            <w:vAlign w:val="top"/>
          </w:tcPr>
          <w:p w14:paraId="137302AE">
            <w:pPr>
              <w:pStyle w:val="16"/>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14、可以在测量状态或非测量状态下快速回顾历史标记事件；</w:t>
            </w:r>
          </w:p>
        </w:tc>
        <w:tc>
          <w:tcPr>
            <w:tcW w:w="817" w:type="dxa"/>
          </w:tcPr>
          <w:p w14:paraId="3E3A8CAD">
            <w:pPr>
              <w:adjustRightInd w:val="0"/>
              <w:snapToGrid w:val="0"/>
              <w:rPr>
                <w:rFonts w:asciiTheme="majorEastAsia" w:hAnsiTheme="majorEastAsia" w:eastAsiaTheme="majorEastAsia"/>
                <w:b/>
                <w:sz w:val="24"/>
                <w:szCs w:val="21"/>
              </w:rPr>
            </w:pPr>
          </w:p>
        </w:tc>
      </w:tr>
      <w:tr w14:paraId="5080B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217B591">
            <w:pPr>
              <w:adjustRightInd w:val="0"/>
              <w:snapToGrid w:val="0"/>
              <w:rPr>
                <w:rFonts w:asciiTheme="majorEastAsia" w:hAnsiTheme="majorEastAsia" w:eastAsiaTheme="majorEastAsia"/>
                <w:b/>
                <w:sz w:val="24"/>
                <w:szCs w:val="21"/>
              </w:rPr>
            </w:pPr>
          </w:p>
        </w:tc>
        <w:tc>
          <w:tcPr>
            <w:tcW w:w="935" w:type="dxa"/>
            <w:vMerge w:val="continue"/>
          </w:tcPr>
          <w:p w14:paraId="229D5F7B">
            <w:pPr>
              <w:adjustRightInd w:val="0"/>
              <w:snapToGrid w:val="0"/>
              <w:rPr>
                <w:rFonts w:asciiTheme="majorEastAsia" w:hAnsiTheme="majorEastAsia" w:eastAsiaTheme="majorEastAsia"/>
                <w:b/>
                <w:sz w:val="24"/>
                <w:szCs w:val="21"/>
              </w:rPr>
            </w:pPr>
          </w:p>
        </w:tc>
        <w:tc>
          <w:tcPr>
            <w:tcW w:w="7564" w:type="dxa"/>
            <w:gridSpan w:val="2"/>
            <w:vAlign w:val="top"/>
          </w:tcPr>
          <w:p w14:paraId="0A64C96E">
            <w:pPr>
              <w:pStyle w:val="16"/>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15、具备界面合并功能，切换大字体显示时，可显示所有参数波形。（提供所投产品说明书或技术白皮书或产品彩页或软件[操作界面]功能截图或制造商对所投设备技术参数出具的证明）</w:t>
            </w:r>
          </w:p>
        </w:tc>
        <w:tc>
          <w:tcPr>
            <w:tcW w:w="817" w:type="dxa"/>
          </w:tcPr>
          <w:p w14:paraId="579028F9">
            <w:pPr>
              <w:adjustRightInd w:val="0"/>
              <w:snapToGrid w:val="0"/>
            </w:pPr>
          </w:p>
        </w:tc>
      </w:tr>
      <w:tr w14:paraId="4092B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43F1F89">
            <w:pPr>
              <w:adjustRightInd w:val="0"/>
              <w:snapToGrid w:val="0"/>
              <w:rPr>
                <w:rFonts w:asciiTheme="majorEastAsia" w:hAnsiTheme="majorEastAsia" w:eastAsiaTheme="majorEastAsia"/>
                <w:b/>
                <w:sz w:val="24"/>
                <w:szCs w:val="21"/>
              </w:rPr>
            </w:pPr>
          </w:p>
        </w:tc>
        <w:tc>
          <w:tcPr>
            <w:tcW w:w="935" w:type="dxa"/>
            <w:vMerge w:val="continue"/>
          </w:tcPr>
          <w:p w14:paraId="34A9D2C4">
            <w:pPr>
              <w:adjustRightInd w:val="0"/>
              <w:snapToGrid w:val="0"/>
              <w:rPr>
                <w:rFonts w:asciiTheme="majorEastAsia" w:hAnsiTheme="majorEastAsia" w:eastAsiaTheme="majorEastAsia"/>
                <w:b/>
                <w:sz w:val="24"/>
                <w:szCs w:val="21"/>
              </w:rPr>
            </w:pPr>
          </w:p>
        </w:tc>
        <w:tc>
          <w:tcPr>
            <w:tcW w:w="7564" w:type="dxa"/>
            <w:gridSpan w:val="2"/>
            <w:vAlign w:val="top"/>
          </w:tcPr>
          <w:p w14:paraId="720776C0">
            <w:pPr>
              <w:pStyle w:val="16"/>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16、具备不同通道的数据波形在同一个数轴内显示。（提供所投产品说明书或技术白皮书或产品彩页或软件[操作界面]功能截图或制造商对所投设备技术参数出具的证明）</w:t>
            </w:r>
          </w:p>
        </w:tc>
        <w:tc>
          <w:tcPr>
            <w:tcW w:w="817" w:type="dxa"/>
          </w:tcPr>
          <w:p w14:paraId="2363A3E1">
            <w:pPr>
              <w:adjustRightInd w:val="0"/>
              <w:snapToGrid w:val="0"/>
            </w:pPr>
          </w:p>
        </w:tc>
      </w:tr>
      <w:tr w14:paraId="39EA7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39D19F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40059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40AFC0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64738D6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hint="eastAsia" w:asciiTheme="majorEastAsia" w:hAnsiTheme="majorEastAsia" w:eastAsiaTheme="majorEastAsia"/>
                <w:b/>
                <w:bCs w:val="0"/>
                <w:sz w:val="24"/>
                <w:szCs w:val="21"/>
                <w:u w:val="single"/>
                <w:lang w:val="en-US" w:eastAsia="zh-CN"/>
              </w:rPr>
              <w:t xml:space="preserve">    </w:t>
            </w:r>
            <w:r>
              <w:rPr>
                <w:rFonts w:hint="eastAsia" w:asciiTheme="majorEastAsia" w:hAnsiTheme="majorEastAsia" w:eastAsiaTheme="majorEastAsia"/>
                <w:b/>
                <w:sz w:val="24"/>
                <w:szCs w:val="21"/>
              </w:rPr>
              <w:t>日历日内</w:t>
            </w:r>
            <w:r>
              <w:rPr>
                <w:rFonts w:hint="eastAsia"/>
                <w:b/>
                <w:bCs/>
                <w:color w:val="FF0000"/>
                <w:sz w:val="22"/>
                <w:szCs w:val="28"/>
                <w:lang w:val="en-US" w:eastAsia="zh-CN"/>
              </w:rPr>
              <w:t>（填写的数值</w:t>
            </w:r>
            <w:r>
              <w:rPr>
                <w:rFonts w:hint="eastAsia"/>
                <w:b/>
                <w:bCs w:val="0"/>
                <w:color w:val="FF0000"/>
                <w:sz w:val="22"/>
                <w:szCs w:val="28"/>
                <w:lang w:val="en-US" w:eastAsia="zh-CN"/>
              </w:rPr>
              <w:t>≤</w:t>
            </w:r>
            <w:r>
              <w:rPr>
                <w:rFonts w:hint="eastAsia"/>
                <w:b/>
                <w:bCs/>
                <w:color w:val="FF0000"/>
                <w:sz w:val="22"/>
                <w:szCs w:val="28"/>
                <w:lang w:val="en-US" w:eastAsia="zh-CN"/>
              </w:rPr>
              <w:t>30 日历日内）</w:t>
            </w:r>
            <w:r>
              <w:rPr>
                <w:rFonts w:hint="eastAsia" w:asciiTheme="majorEastAsia" w:hAnsiTheme="majorEastAsia" w:eastAsiaTheme="majorEastAsia"/>
                <w:b/>
                <w:sz w:val="24"/>
                <w:szCs w:val="21"/>
              </w:rPr>
              <w:t>。</w:t>
            </w:r>
          </w:p>
        </w:tc>
      </w:tr>
      <w:tr w14:paraId="1BA9D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255085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032E20B8">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77421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D0D2AF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5D35E29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580D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EAB6D8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1326E362">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合同总价≥3万付款方式：</w:t>
            </w:r>
          </w:p>
          <w:p w14:paraId="1B463E5D">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合同签订后三个工作日内，中标人将采购合同总价5%的履约保证金汇入采购人指定账户。货到清点、安装调试验收合格正常使用后，出具全额发票，采购人凭中标人提供的完整资料，自发票到达采购人财务之日起10个工作日内，支付100%合同货款到中标人指定账户。</w:t>
            </w:r>
          </w:p>
          <w:p w14:paraId="38961986">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中标人向采购人支付合同总价5%的履约保证金，用于补偿采购人因中标人不履行/不妥善履行合同约定义务而蒙受的损失，如中标人不履行/不妥善履行合同约定义务的，采购人有权直接从履约保证金中扣除相应违约金/损失赔偿款项。如果在合同签订后至中标人履行完毕合同约定义务事项期间未发生中标人不履行或不妥善履行合同约定义务的情况，在中标人履行完毕合同约定义务事项后，中标人向采购人提供完整资料到达采购人财务之日起10个工作日内，采购人将履约保证金无息返还给中标人。</w:t>
            </w:r>
          </w:p>
          <w:p w14:paraId="5BABBE44">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合同总价＜3万付款方式：</w:t>
            </w:r>
          </w:p>
          <w:p w14:paraId="5194E47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货到清点、安装调试验收合格正常使用后，出具全额发票，采购人凭中标人提供的完整资料，自发票到达采购人财务之日起10个工作日内，支付100%合同货款到中标人指定账户。</w:t>
            </w:r>
          </w:p>
        </w:tc>
      </w:tr>
      <w:tr w14:paraId="0A08E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800133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25EE0FF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38E7D25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307D62B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5541042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3A487DA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2FD3A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3C56E2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181E920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67D4C63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68C45A1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4FC0C36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31141B5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6B6A57F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69BD536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1F358AE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641FB79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75C53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6718512">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2C0B01F2">
            <w:pPr>
              <w:adjustRightInd w:val="0"/>
              <w:snapToGrid w:val="0"/>
              <w:rPr>
                <w:rFonts w:asciiTheme="majorEastAsia" w:hAnsiTheme="majorEastAsia" w:eastAsiaTheme="majorEastAsia"/>
                <w:sz w:val="24"/>
                <w:szCs w:val="21"/>
              </w:rPr>
            </w:pPr>
          </w:p>
        </w:tc>
        <w:tc>
          <w:tcPr>
            <w:tcW w:w="8261" w:type="dxa"/>
            <w:gridSpan w:val="2"/>
          </w:tcPr>
          <w:p w14:paraId="3D5664CD">
            <w:pPr>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
                <w:bCs w:val="0"/>
                <w:color w:val="FF0000"/>
                <w:szCs w:val="21"/>
                <w:u w:val="single"/>
              </w:rPr>
              <w:t xml:space="preserve">    </w:t>
            </w:r>
            <w:r>
              <w:rPr>
                <w:rFonts w:hint="eastAsia" w:asciiTheme="minorEastAsia" w:hAnsiTheme="minorEastAsia" w:eastAsiaTheme="minorEastAsia"/>
                <w:b/>
                <w:bCs w:val="0"/>
                <w:color w:val="FF0000"/>
                <w:szCs w:val="21"/>
              </w:rPr>
              <w:t>年</w:t>
            </w:r>
            <w:r>
              <w:rPr>
                <w:rFonts w:hint="eastAsia"/>
                <w:b/>
                <w:bCs/>
                <w:color w:val="FF0000"/>
                <w:lang w:val="en-US" w:eastAsia="zh-CN"/>
              </w:rPr>
              <w:t>（填写的数值</w:t>
            </w:r>
            <w:r>
              <w:rPr>
                <w:rFonts w:hint="eastAsia"/>
                <w:b/>
                <w:bCs/>
                <w:color w:val="FF0000"/>
                <w:sz w:val="22"/>
                <w:szCs w:val="28"/>
                <w:lang w:val="en-US" w:eastAsia="zh-CN"/>
              </w:rPr>
              <w:t>≥</w:t>
            </w:r>
            <w:r>
              <w:rPr>
                <w:rFonts w:hint="eastAsia"/>
                <w:b/>
                <w:bCs/>
                <w:color w:val="FF0000"/>
                <w:lang w:val="en-US" w:eastAsia="zh-CN"/>
              </w:rPr>
              <w:t>3年）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3665D5AE">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7BC3397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0B7F9DF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39DBAE3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3BB7A1F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0ECD51B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128B9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967A46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081B189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39F24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05B991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250D3E7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0822CBD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6D57E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1DB4BE0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39EAACE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7AF88AC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2BF2266E">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03B90DE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3D240276">
      <w:pPr>
        <w:ind w:firstLine="150" w:firstLineChars="100"/>
        <w:rPr>
          <w:rFonts w:cs="方正小标宋简体" w:asciiTheme="majorEastAsia" w:hAnsiTheme="majorEastAsia" w:eastAsiaTheme="majorEastAsia"/>
          <w:sz w:val="15"/>
          <w:szCs w:val="15"/>
        </w:rPr>
      </w:pPr>
    </w:p>
    <w:p w14:paraId="67AE9B78">
      <w:pPr>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308F3C30">
      <w:pPr>
        <w:pStyle w:val="3"/>
        <w:spacing w:line="240" w:lineRule="auto"/>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326EB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0204BF0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7760" w:type="dxa"/>
            <w:vAlign w:val="center"/>
          </w:tcPr>
          <w:p w14:paraId="0B203A5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■有配套耗材（是否专机专用：■是 □否）（具体列明）：_</w:t>
            </w:r>
            <w:r>
              <w:rPr>
                <w:rFonts w:hint="eastAsia" w:asciiTheme="majorEastAsia" w:hAnsiTheme="majorEastAsia" w:eastAsiaTheme="majorEastAsia"/>
                <w:b/>
                <w:sz w:val="24"/>
                <w:szCs w:val="21"/>
                <w:u w:val="single"/>
              </w:rPr>
              <w:t>_一次性使用血氧传感器__</w:t>
            </w:r>
          </w:p>
          <w:p w14:paraId="3F647D4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0D27297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□无配套耗材 </w:t>
            </w:r>
          </w:p>
        </w:tc>
      </w:tr>
      <w:tr w14:paraId="567AB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5BDC328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7760" w:type="dxa"/>
            <w:vAlign w:val="center"/>
          </w:tcPr>
          <w:p w14:paraId="298BC1A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7190341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442B918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■无配套试剂 </w:t>
            </w:r>
          </w:p>
        </w:tc>
      </w:tr>
      <w:tr w14:paraId="10DF7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3CF15DD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7760" w:type="dxa"/>
            <w:vAlign w:val="center"/>
          </w:tcPr>
          <w:p w14:paraId="12AA07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1FF83A4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1A80E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6844EB9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7760" w:type="dxa"/>
            <w:vAlign w:val="center"/>
          </w:tcPr>
          <w:p w14:paraId="370E82E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42C1A91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4EC3B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5E0DC14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7760" w:type="dxa"/>
            <w:vAlign w:val="center"/>
          </w:tcPr>
          <w:p w14:paraId="50BC71B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6863912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6F876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60" w:type="dxa"/>
            <w:vAlign w:val="center"/>
          </w:tcPr>
          <w:p w14:paraId="456DC20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7760" w:type="dxa"/>
            <w:vAlign w:val="center"/>
          </w:tcPr>
          <w:p w14:paraId="1EBA637D">
            <w:pPr>
              <w:adjustRightInd w:val="0"/>
              <w:snapToGrid w:val="0"/>
              <w:rPr>
                <w:rFonts w:ascii="宋体" w:hAnsi="宋体" w:cs="宋体"/>
                <w:bCs/>
                <w:color w:val="000000"/>
                <w:szCs w:val="21"/>
              </w:rPr>
            </w:pPr>
            <w:r>
              <w:rPr>
                <w:rFonts w:hint="eastAsia" w:ascii="宋体" w:hAnsi="宋体" w:cs="宋体"/>
                <w:bCs/>
                <w:color w:val="000000"/>
                <w:szCs w:val="21"/>
              </w:rPr>
              <w:t>10年</w:t>
            </w:r>
          </w:p>
        </w:tc>
      </w:tr>
      <w:tr w14:paraId="39F85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37C9EDB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7760" w:type="dxa"/>
            <w:vAlign w:val="center"/>
          </w:tcPr>
          <w:p w14:paraId="58B20A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■有（具体列明）：□一类  ■二类   □三类   □至少为   类</w:t>
            </w:r>
          </w:p>
          <w:p w14:paraId="41537690">
            <w:pPr>
              <w:adjustRightInd w:val="0"/>
              <w:snapToGrid w:val="0"/>
              <w:rPr>
                <w:rFonts w:ascii="宋体" w:hAnsi="宋体" w:cs="宋体"/>
                <w:bCs/>
                <w:color w:val="000000"/>
                <w:szCs w:val="21"/>
              </w:rPr>
            </w:pPr>
            <w:r>
              <w:rPr>
                <w:rFonts w:hint="eastAsia" w:asciiTheme="majorEastAsia" w:hAnsiTheme="majorEastAsia" w:eastAsiaTheme="majorEastAsia"/>
                <w:b/>
                <w:sz w:val="24"/>
                <w:szCs w:val="21"/>
              </w:rPr>
              <w:t xml:space="preserve">□无  </w:t>
            </w:r>
          </w:p>
        </w:tc>
      </w:tr>
      <w:tr w14:paraId="69436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06BEF82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7760" w:type="dxa"/>
            <w:vAlign w:val="center"/>
          </w:tcPr>
          <w:p w14:paraId="6741FAE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无</w:t>
            </w:r>
          </w:p>
        </w:tc>
      </w:tr>
    </w:tbl>
    <w:p w14:paraId="59A758A6">
      <w:pPr>
        <w:ind w:left="400"/>
        <w:jc w:val="center"/>
        <w:rPr>
          <w:rFonts w:hint="eastAsia" w:cs="方正小标宋简体" w:asciiTheme="majorEastAsia" w:hAnsiTheme="majorEastAsia" w:eastAsiaTheme="majorEastAsia"/>
          <w:b/>
          <w:sz w:val="36"/>
          <w:szCs w:val="36"/>
        </w:rPr>
      </w:pPr>
    </w:p>
    <w:p w14:paraId="0400CD32">
      <w:pPr>
        <w:ind w:left="400"/>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0"/>
        <w:tblW w:w="0" w:type="auto"/>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5"/>
        <w:gridCol w:w="2247"/>
        <w:gridCol w:w="2005"/>
        <w:gridCol w:w="1843"/>
        <w:gridCol w:w="1417"/>
        <w:gridCol w:w="1788"/>
      </w:tblGrid>
      <w:tr w14:paraId="3D930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5" w:type="dxa"/>
            <w:vAlign w:val="center"/>
          </w:tcPr>
          <w:p w14:paraId="2DCCB86E">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21CC0F7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2C79B786">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5482561D">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272E667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788" w:type="dxa"/>
            <w:vAlign w:val="center"/>
          </w:tcPr>
          <w:p w14:paraId="3A1E759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614EC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5" w:type="dxa"/>
          </w:tcPr>
          <w:p w14:paraId="4DA712B6">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247" w:type="dxa"/>
          </w:tcPr>
          <w:p w14:paraId="1D85A05E">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一次性使用血氧传感器</w:t>
            </w:r>
          </w:p>
        </w:tc>
        <w:tc>
          <w:tcPr>
            <w:tcW w:w="2005" w:type="dxa"/>
          </w:tcPr>
          <w:p w14:paraId="2A65FE3B">
            <w:pPr>
              <w:widowControl/>
              <w:adjustRightInd w:val="0"/>
              <w:snapToGrid w:val="0"/>
              <w:rPr>
                <w:rFonts w:cs="方正小标宋简体" w:asciiTheme="majorEastAsia" w:hAnsiTheme="majorEastAsia" w:eastAsiaTheme="majorEastAsia"/>
                <w:sz w:val="24"/>
              </w:rPr>
            </w:pPr>
          </w:p>
        </w:tc>
        <w:tc>
          <w:tcPr>
            <w:tcW w:w="1843" w:type="dxa"/>
          </w:tcPr>
          <w:p w14:paraId="25D6ED3C">
            <w:pPr>
              <w:widowControl/>
              <w:adjustRightInd w:val="0"/>
              <w:snapToGrid w:val="0"/>
              <w:rPr>
                <w:rFonts w:cs="方正小标宋简体" w:asciiTheme="majorEastAsia" w:hAnsiTheme="majorEastAsia" w:eastAsiaTheme="majorEastAsia"/>
                <w:sz w:val="24"/>
              </w:rPr>
            </w:pPr>
          </w:p>
        </w:tc>
        <w:tc>
          <w:tcPr>
            <w:tcW w:w="1417" w:type="dxa"/>
          </w:tcPr>
          <w:p w14:paraId="4157DB6E">
            <w:pPr>
              <w:widowControl/>
              <w:adjustRightInd w:val="0"/>
              <w:snapToGrid w:val="0"/>
              <w:rPr>
                <w:rFonts w:cs="方正小标宋简体" w:asciiTheme="majorEastAsia" w:hAnsiTheme="majorEastAsia" w:eastAsiaTheme="majorEastAsia"/>
                <w:sz w:val="24"/>
              </w:rPr>
            </w:pPr>
          </w:p>
        </w:tc>
        <w:tc>
          <w:tcPr>
            <w:tcW w:w="1788" w:type="dxa"/>
          </w:tcPr>
          <w:p w14:paraId="6289F37C">
            <w:pPr>
              <w:widowControl/>
              <w:adjustRightInd w:val="0"/>
              <w:snapToGrid w:val="0"/>
              <w:rPr>
                <w:rFonts w:cs="方正小标宋简体" w:asciiTheme="majorEastAsia" w:hAnsiTheme="majorEastAsia" w:eastAsiaTheme="majorEastAsia"/>
                <w:sz w:val="24"/>
              </w:rPr>
            </w:pPr>
          </w:p>
        </w:tc>
      </w:tr>
    </w:tbl>
    <w:p w14:paraId="25E09D67">
      <w:pPr>
        <w:adjustRightInd w:val="0"/>
        <w:snapToGrid w:val="0"/>
        <w:jc w:val="center"/>
        <w:rPr>
          <w:rFonts w:asciiTheme="majorEastAsia" w:hAnsiTheme="majorEastAsia" w:eastAsiaTheme="majorEastAsia"/>
          <w:b/>
          <w:sz w:val="24"/>
          <w:szCs w:val="21"/>
        </w:rPr>
      </w:pPr>
    </w:p>
    <w:tbl>
      <w:tblPr>
        <w:tblStyle w:val="10"/>
        <w:tblW w:w="0" w:type="auto"/>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4109"/>
        <w:gridCol w:w="2605"/>
        <w:gridCol w:w="2605"/>
      </w:tblGrid>
      <w:tr w14:paraId="305B9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91" w:type="dxa"/>
            <w:vAlign w:val="center"/>
          </w:tcPr>
          <w:p w14:paraId="35034359">
            <w:pPr>
              <w:adjustRightInd w:val="0"/>
              <w:snapToGrid w:val="0"/>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593B7962">
            <w:pPr>
              <w:adjustRightInd w:val="0"/>
              <w:snapToGrid w:val="0"/>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59AC8C73">
            <w:pPr>
              <w:adjustRightInd w:val="0"/>
              <w:snapToGrid w:val="0"/>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4B950E8A">
            <w:pPr>
              <w:adjustRightInd w:val="0"/>
              <w:snapToGrid w:val="0"/>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160EB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91" w:type="dxa"/>
            <w:vAlign w:val="center"/>
          </w:tcPr>
          <w:p w14:paraId="453591B9">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332451F4">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1368DF20">
            <w:pPr>
              <w:widowControl/>
              <w:jc w:val="center"/>
              <w:rPr>
                <w:rFonts w:cs="方正小标宋简体" w:asciiTheme="majorEastAsia" w:hAnsiTheme="majorEastAsia" w:eastAsiaTheme="majorEastAsia"/>
                <w:sz w:val="24"/>
              </w:rPr>
            </w:pPr>
          </w:p>
        </w:tc>
        <w:tc>
          <w:tcPr>
            <w:tcW w:w="2605" w:type="dxa"/>
            <w:vAlign w:val="center"/>
          </w:tcPr>
          <w:p w14:paraId="39448E2A">
            <w:pPr>
              <w:widowControl/>
              <w:jc w:val="center"/>
              <w:rPr>
                <w:rFonts w:cs="方正小标宋简体" w:asciiTheme="majorEastAsia" w:hAnsiTheme="majorEastAsia" w:eastAsiaTheme="majorEastAsia"/>
                <w:sz w:val="24"/>
              </w:rPr>
            </w:pPr>
          </w:p>
        </w:tc>
      </w:tr>
    </w:tbl>
    <w:p w14:paraId="7032FFD0">
      <w:pPr>
        <w:rPr>
          <w:rFonts w:cs="方正小标宋简体" w:asciiTheme="majorEastAsia" w:hAnsiTheme="majorEastAsia" w:eastAsiaTheme="majorEastAsia"/>
          <w:sz w:val="10"/>
          <w:szCs w:val="10"/>
        </w:rPr>
      </w:pPr>
    </w:p>
    <w:tbl>
      <w:tblPr>
        <w:tblStyle w:val="9"/>
        <w:tblW w:w="10398" w:type="dxa"/>
        <w:tblInd w:w="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09"/>
        <w:gridCol w:w="3133"/>
        <w:gridCol w:w="1731"/>
        <w:gridCol w:w="1743"/>
        <w:gridCol w:w="2682"/>
      </w:tblGrid>
      <w:tr w14:paraId="6AD9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9" w:hRule="atLeast"/>
        </w:trPr>
        <w:tc>
          <w:tcPr>
            <w:tcW w:w="1109" w:type="dxa"/>
            <w:shd w:val="clear" w:color="auto" w:fill="auto"/>
            <w:noWrap/>
            <w:vAlign w:val="center"/>
          </w:tcPr>
          <w:p w14:paraId="3B1F5379">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55962DC1">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3133" w:type="dxa"/>
            <w:shd w:val="clear" w:color="auto" w:fill="auto"/>
            <w:vAlign w:val="center"/>
          </w:tcPr>
          <w:p w14:paraId="7E8D4C2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专机专用耗材(供参考)</w:t>
            </w:r>
          </w:p>
        </w:tc>
        <w:tc>
          <w:tcPr>
            <w:tcW w:w="1731" w:type="dxa"/>
            <w:shd w:val="clear" w:color="auto" w:fill="auto"/>
            <w:vAlign w:val="center"/>
          </w:tcPr>
          <w:p w14:paraId="5F66C50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建议规格</w:t>
            </w:r>
          </w:p>
        </w:tc>
        <w:tc>
          <w:tcPr>
            <w:tcW w:w="1743" w:type="dxa"/>
            <w:shd w:val="clear" w:color="auto" w:fill="auto"/>
            <w:vAlign w:val="center"/>
          </w:tcPr>
          <w:p w14:paraId="1A1FB460">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682" w:type="dxa"/>
            <w:shd w:val="clear" w:color="auto" w:fill="auto"/>
            <w:vAlign w:val="center"/>
          </w:tcPr>
          <w:p w14:paraId="15F69FE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p>
        </w:tc>
      </w:tr>
      <w:tr w14:paraId="3E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1109" w:type="dxa"/>
            <w:shd w:val="clear" w:color="auto" w:fill="auto"/>
            <w:vAlign w:val="center"/>
          </w:tcPr>
          <w:p w14:paraId="36AF6885">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3133" w:type="dxa"/>
            <w:shd w:val="clear" w:color="auto" w:fill="auto"/>
            <w:vAlign w:val="center"/>
          </w:tcPr>
          <w:p w14:paraId="1391861F">
            <w:pPr>
              <w:adjustRightInd w:val="0"/>
              <w:snapToGrid w:val="0"/>
              <w:jc w:val="center"/>
              <w:rPr>
                <w:rFonts w:hint="eastAsia" w:asciiTheme="majorEastAsia" w:hAnsiTheme="majorEastAsia" w:eastAsiaTheme="majorEastAsia"/>
                <w:b w:val="0"/>
                <w:bCs/>
                <w:sz w:val="24"/>
                <w:szCs w:val="21"/>
                <w:lang w:val="en-US" w:eastAsia="zh-CN"/>
              </w:rPr>
            </w:pPr>
            <w:r>
              <w:rPr>
                <w:rFonts w:hint="eastAsia" w:cs="方正小标宋简体" w:asciiTheme="majorEastAsia" w:hAnsiTheme="majorEastAsia" w:eastAsiaTheme="majorEastAsia"/>
                <w:sz w:val="24"/>
              </w:rPr>
              <w:t>一次性使用血氧传感器</w:t>
            </w:r>
          </w:p>
        </w:tc>
        <w:tc>
          <w:tcPr>
            <w:tcW w:w="1731" w:type="dxa"/>
            <w:shd w:val="clear" w:color="auto" w:fill="auto"/>
            <w:vAlign w:val="center"/>
          </w:tcPr>
          <w:p w14:paraId="544D85E8">
            <w:pPr>
              <w:adjustRightInd w:val="0"/>
              <w:snapToGrid w:val="0"/>
              <w:jc w:val="center"/>
              <w:rPr>
                <w:rFonts w:hint="default" w:asciiTheme="majorEastAsia" w:hAnsiTheme="majorEastAsia" w:eastAsiaTheme="majorEastAsia"/>
                <w:b/>
                <w:sz w:val="24"/>
                <w:szCs w:val="21"/>
                <w:lang w:val="en-US" w:eastAsia="zh-CN"/>
              </w:rPr>
            </w:pPr>
          </w:p>
        </w:tc>
        <w:tc>
          <w:tcPr>
            <w:tcW w:w="1743" w:type="dxa"/>
            <w:shd w:val="clear" w:color="auto" w:fill="auto"/>
            <w:vAlign w:val="center"/>
          </w:tcPr>
          <w:p w14:paraId="3BC87BDF">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50</w:t>
            </w:r>
          </w:p>
        </w:tc>
        <w:tc>
          <w:tcPr>
            <w:tcW w:w="2682" w:type="dxa"/>
            <w:shd w:val="clear" w:color="auto" w:fill="auto"/>
            <w:vAlign w:val="center"/>
          </w:tcPr>
          <w:p w14:paraId="73C9C4A3">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680</w:t>
            </w:r>
          </w:p>
        </w:tc>
      </w:tr>
    </w:tbl>
    <w:p w14:paraId="0457DA0B">
      <w:pPr>
        <w:rPr>
          <w:rFonts w:cs="方正小标宋简体" w:asciiTheme="majorEastAsia" w:hAnsiTheme="majorEastAsia" w:eastAsiaTheme="majorEastAsia"/>
          <w:sz w:val="10"/>
          <w:szCs w:val="10"/>
        </w:rPr>
      </w:pPr>
      <w:bookmarkStart w:id="1" w:name="_GoBack"/>
      <w:bookmarkEnd w:id="1"/>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45C4C680">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28FFFE6F">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c4ODVmMDE3N2ZhYWZhYjEyOGNkOTJiYTJmZGFhMzYifQ=="/>
  </w:docVars>
  <w:rsids>
    <w:rsidRoot w:val="00F81403"/>
    <w:rsid w:val="00005907"/>
    <w:rsid w:val="00007F09"/>
    <w:rsid w:val="00014A66"/>
    <w:rsid w:val="000170C1"/>
    <w:rsid w:val="00021B63"/>
    <w:rsid w:val="00022431"/>
    <w:rsid w:val="00024E35"/>
    <w:rsid w:val="00027536"/>
    <w:rsid w:val="00027A10"/>
    <w:rsid w:val="0003257D"/>
    <w:rsid w:val="00047765"/>
    <w:rsid w:val="00056650"/>
    <w:rsid w:val="00057048"/>
    <w:rsid w:val="000910F0"/>
    <w:rsid w:val="00091320"/>
    <w:rsid w:val="00094BE5"/>
    <w:rsid w:val="000B173B"/>
    <w:rsid w:val="000C2EB1"/>
    <w:rsid w:val="000D169C"/>
    <w:rsid w:val="000D332B"/>
    <w:rsid w:val="000D486B"/>
    <w:rsid w:val="000D528A"/>
    <w:rsid w:val="000E2EEF"/>
    <w:rsid w:val="000E6D84"/>
    <w:rsid w:val="00100E5F"/>
    <w:rsid w:val="00114A9B"/>
    <w:rsid w:val="00117159"/>
    <w:rsid w:val="00117B29"/>
    <w:rsid w:val="00122AB5"/>
    <w:rsid w:val="001278E1"/>
    <w:rsid w:val="00141F0D"/>
    <w:rsid w:val="00147AA8"/>
    <w:rsid w:val="00147DE0"/>
    <w:rsid w:val="00162C8C"/>
    <w:rsid w:val="00164210"/>
    <w:rsid w:val="0017347E"/>
    <w:rsid w:val="00173505"/>
    <w:rsid w:val="001755A1"/>
    <w:rsid w:val="0018628F"/>
    <w:rsid w:val="001B112F"/>
    <w:rsid w:val="001B29FF"/>
    <w:rsid w:val="001F45BE"/>
    <w:rsid w:val="001F5D4E"/>
    <w:rsid w:val="00201CE8"/>
    <w:rsid w:val="00207531"/>
    <w:rsid w:val="00213A4E"/>
    <w:rsid w:val="00214240"/>
    <w:rsid w:val="0022066A"/>
    <w:rsid w:val="00223188"/>
    <w:rsid w:val="002243DF"/>
    <w:rsid w:val="00230011"/>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37FFA"/>
    <w:rsid w:val="00352B55"/>
    <w:rsid w:val="00354F4C"/>
    <w:rsid w:val="00357D59"/>
    <w:rsid w:val="00376AC2"/>
    <w:rsid w:val="003942D3"/>
    <w:rsid w:val="0039648A"/>
    <w:rsid w:val="003D442D"/>
    <w:rsid w:val="003D7EF0"/>
    <w:rsid w:val="003F3AC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11DC2"/>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5543B"/>
    <w:rsid w:val="006574FB"/>
    <w:rsid w:val="00662021"/>
    <w:rsid w:val="00662B11"/>
    <w:rsid w:val="006C7CF0"/>
    <w:rsid w:val="006D3D0D"/>
    <w:rsid w:val="006D571D"/>
    <w:rsid w:val="007024B9"/>
    <w:rsid w:val="00702623"/>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47171"/>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3293"/>
    <w:rsid w:val="00947CF3"/>
    <w:rsid w:val="00953822"/>
    <w:rsid w:val="00972C2D"/>
    <w:rsid w:val="009764EB"/>
    <w:rsid w:val="009908D7"/>
    <w:rsid w:val="00991D87"/>
    <w:rsid w:val="00991F74"/>
    <w:rsid w:val="00996AC8"/>
    <w:rsid w:val="009978E3"/>
    <w:rsid w:val="009A130E"/>
    <w:rsid w:val="009A1DE2"/>
    <w:rsid w:val="009B5AA8"/>
    <w:rsid w:val="009C66B2"/>
    <w:rsid w:val="009E6FD2"/>
    <w:rsid w:val="009F5BF6"/>
    <w:rsid w:val="00A043A8"/>
    <w:rsid w:val="00A062E7"/>
    <w:rsid w:val="00A0782D"/>
    <w:rsid w:val="00A17D1D"/>
    <w:rsid w:val="00A256C6"/>
    <w:rsid w:val="00A303A3"/>
    <w:rsid w:val="00A537B8"/>
    <w:rsid w:val="00A619BE"/>
    <w:rsid w:val="00A903C7"/>
    <w:rsid w:val="00A94748"/>
    <w:rsid w:val="00AA4B4A"/>
    <w:rsid w:val="00AA6962"/>
    <w:rsid w:val="00AB2610"/>
    <w:rsid w:val="00AF5FA9"/>
    <w:rsid w:val="00AF7A87"/>
    <w:rsid w:val="00B01564"/>
    <w:rsid w:val="00B06C01"/>
    <w:rsid w:val="00B21F51"/>
    <w:rsid w:val="00B22795"/>
    <w:rsid w:val="00B25EF8"/>
    <w:rsid w:val="00B63890"/>
    <w:rsid w:val="00B64F74"/>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3724D"/>
    <w:rsid w:val="00D5343F"/>
    <w:rsid w:val="00D54D59"/>
    <w:rsid w:val="00D646FA"/>
    <w:rsid w:val="00D647C2"/>
    <w:rsid w:val="00D976F6"/>
    <w:rsid w:val="00DA6EC9"/>
    <w:rsid w:val="00DB1E59"/>
    <w:rsid w:val="00DB4D7A"/>
    <w:rsid w:val="00DB528F"/>
    <w:rsid w:val="00DC4CC7"/>
    <w:rsid w:val="00DC7DA0"/>
    <w:rsid w:val="00DF5E92"/>
    <w:rsid w:val="00E052D9"/>
    <w:rsid w:val="00E1520C"/>
    <w:rsid w:val="00E35AFC"/>
    <w:rsid w:val="00E93F8F"/>
    <w:rsid w:val="00ED7224"/>
    <w:rsid w:val="00EF0BF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4B23BD4"/>
    <w:rsid w:val="0611217C"/>
    <w:rsid w:val="07AE3385"/>
    <w:rsid w:val="0C03681F"/>
    <w:rsid w:val="0F8E7447"/>
    <w:rsid w:val="119B6051"/>
    <w:rsid w:val="12597320"/>
    <w:rsid w:val="12A25084"/>
    <w:rsid w:val="142B2292"/>
    <w:rsid w:val="15FB47D0"/>
    <w:rsid w:val="19A66D0D"/>
    <w:rsid w:val="1A385FE8"/>
    <w:rsid w:val="1E12700E"/>
    <w:rsid w:val="201936D5"/>
    <w:rsid w:val="20F56A7C"/>
    <w:rsid w:val="21971856"/>
    <w:rsid w:val="22E10C1D"/>
    <w:rsid w:val="2B252436"/>
    <w:rsid w:val="359B56E2"/>
    <w:rsid w:val="366D6BB6"/>
    <w:rsid w:val="3BEC17C2"/>
    <w:rsid w:val="3C6212F5"/>
    <w:rsid w:val="3E9C42F0"/>
    <w:rsid w:val="3EB2662C"/>
    <w:rsid w:val="43244531"/>
    <w:rsid w:val="445F60B6"/>
    <w:rsid w:val="4CFC171F"/>
    <w:rsid w:val="4E280CF3"/>
    <w:rsid w:val="566D4594"/>
    <w:rsid w:val="58242AE0"/>
    <w:rsid w:val="58AB396B"/>
    <w:rsid w:val="5BDE3A84"/>
    <w:rsid w:val="5C483C8E"/>
    <w:rsid w:val="663B31C1"/>
    <w:rsid w:val="66AC0259"/>
    <w:rsid w:val="6AFD60D5"/>
    <w:rsid w:val="6F633413"/>
    <w:rsid w:val="6F9E571F"/>
    <w:rsid w:val="72CC6A0B"/>
    <w:rsid w:val="72F43D98"/>
    <w:rsid w:val="73374A1C"/>
    <w:rsid w:val="738F7392"/>
    <w:rsid w:val="75C54845"/>
    <w:rsid w:val="762C283F"/>
    <w:rsid w:val="767D5D1E"/>
    <w:rsid w:val="76E03ABB"/>
    <w:rsid w:val="77F8254C"/>
    <w:rsid w:val="78950314"/>
    <w:rsid w:val="790C477D"/>
    <w:rsid w:val="7A6F030F"/>
    <w:rsid w:val="7A8916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字符"/>
    <w:basedOn w:val="11"/>
    <w:link w:val="7"/>
    <w:qFormat/>
    <w:uiPriority w:val="99"/>
    <w:rPr>
      <w:sz w:val="18"/>
      <w:szCs w:val="18"/>
    </w:rPr>
  </w:style>
  <w:style w:type="character" w:customStyle="1" w:styleId="15">
    <w:name w:val="页脚 字符"/>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字符"/>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字符"/>
    <w:basedOn w:val="11"/>
    <w:link w:val="5"/>
    <w:semiHidden/>
    <w:qFormat/>
    <w:uiPriority w:val="99"/>
    <w:rPr>
      <w:rFonts w:ascii="Times New Roman" w:hAnsi="Times New Roman" w:eastAsia="宋体" w:cs="Times New Roman"/>
      <w:kern w:val="2"/>
      <w:sz w:val="18"/>
      <w:szCs w:val="18"/>
    </w:rPr>
  </w:style>
  <w:style w:type="character" w:customStyle="1" w:styleId="20">
    <w:name w:val="批注文字 字符"/>
    <w:basedOn w:val="11"/>
    <w:link w:val="2"/>
    <w:qFormat/>
    <w:uiPriority w:val="99"/>
    <w:rPr>
      <w:rFonts w:ascii="Times New Roman" w:hAnsi="Times New Roman" w:eastAsia="宋体" w:cs="Times New Roman"/>
      <w:kern w:val="2"/>
      <w:sz w:val="21"/>
      <w:szCs w:val="24"/>
    </w:rPr>
  </w:style>
  <w:style w:type="character" w:customStyle="1" w:styleId="21">
    <w:name w:val="批注主题 字符"/>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字符"/>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093E0-5BC2-43D6-BB85-6CFC2D9BB4A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5723</Words>
  <Characters>5970</Characters>
  <Lines>42</Lines>
  <Paragraphs>12</Paragraphs>
  <TotalTime>0</TotalTime>
  <ScaleCrop>false</ScaleCrop>
  <LinksUpToDate>false</LinksUpToDate>
  <CharactersWithSpaces>6063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2025-06-20T03:39:00Z</dcterms:created>
  <dc:creator>陈蕾</dc:creator>
  <cp:lastModifiedBy>5J1</cp:lastModifiedBy>
  <cp:lastPrinted>2025-08-11T03:43:00Z</cp:lastPrinted>
  <dcterms:modified xsi:type="dcterms:W3CDTF">2026-04-14T08:06:23Z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67AB6FC28C774A6D815665A119D7E498_13</vt:lpwstr>
  </property>
  <property fmtid="{D5CDD505-2E9C-101B-9397-08002B2CF9AE}" pid="4" name="KSOTemplateDocerSaveRecord">
    <vt:lpwstr>eyJoZGlkIjoiZDI0NjZlNzU2NTJmNmJhY2FhMzg3MGIyZDZiY2MwYWQiLCJ1c2VySWQiOiI0MDk2MjcxNDUifQ==</vt:lpwstr>
  </property>
</Properties>
</file>