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096C9">
      <w:pPr>
        <w:spacing w:line="360" w:lineRule="auto"/>
        <w:jc w:val="center"/>
        <w:outlineLvl w:val="0"/>
        <w:rPr>
          <w:rFonts w:ascii="宋体" w:hAnsi="宋体"/>
          <w:b/>
          <w:sz w:val="36"/>
          <w:szCs w:val="36"/>
        </w:rPr>
      </w:pPr>
    </w:p>
    <w:p w14:paraId="04842A35">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A3138BF">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B3B580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0A3117F">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4AC851E">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27CDC9A">
      <w:pPr>
        <w:spacing w:before="100" w:beforeAutospacing="1" w:line="276" w:lineRule="auto"/>
        <w:ind w:firstLine="723" w:firstLineChars="300"/>
        <w:rPr>
          <w:rFonts w:cs="方正小标宋简体" w:asciiTheme="majorEastAsia" w:hAnsiTheme="majorEastAsia" w:eastAsiaTheme="majorEastAsia"/>
          <w:sz w:val="32"/>
          <w:szCs w:val="32"/>
        </w:rPr>
      </w:pPr>
      <w:r>
        <w:rPr>
          <w:rFonts w:hint="eastAsia" w:asciiTheme="majorEastAsia" w:hAnsiTheme="majorEastAsia" w:eastAsiaTheme="majorEastAsia"/>
          <w:b/>
          <w:color w:val="000000"/>
          <w:sz w:val="24"/>
          <w:szCs w:val="21"/>
        </w:rPr>
        <w:t>申请科室：社管中心</w:t>
      </w:r>
      <w:r>
        <w:rPr>
          <w:rFonts w:hint="eastAsia" w:asciiTheme="majorEastAsia" w:hAnsiTheme="majorEastAsia" w:eastAsiaTheme="majorEastAsia"/>
          <w:b/>
          <w:color w:val="000000"/>
          <w:sz w:val="24"/>
          <w:szCs w:val="21"/>
          <w:lang w:val="en-US" w:eastAsia="zh-CN"/>
        </w:rPr>
        <w:t>-口岸社康</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338"/>
        <w:gridCol w:w="850"/>
        <w:gridCol w:w="371"/>
        <w:gridCol w:w="338"/>
        <w:gridCol w:w="709"/>
        <w:gridCol w:w="87"/>
        <w:gridCol w:w="1133"/>
        <w:gridCol w:w="55"/>
        <w:gridCol w:w="1276"/>
        <w:gridCol w:w="86"/>
        <w:gridCol w:w="1513"/>
      </w:tblGrid>
      <w:tr w14:paraId="222D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272B357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vAlign w:val="center"/>
          </w:tcPr>
          <w:p w14:paraId="516F6BB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vAlign w:val="center"/>
          </w:tcPr>
          <w:p w14:paraId="5776A34A">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vAlign w:val="center"/>
          </w:tcPr>
          <w:p w14:paraId="3AC79175">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417" w:type="dxa"/>
            <w:gridSpan w:val="3"/>
            <w:vAlign w:val="center"/>
          </w:tcPr>
          <w:p w14:paraId="1827ED5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513" w:type="dxa"/>
            <w:vAlign w:val="center"/>
          </w:tcPr>
          <w:p w14:paraId="45FB0C7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EC6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758B3B8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中医定向透药治疗仪</w:t>
            </w:r>
          </w:p>
        </w:tc>
        <w:tc>
          <w:tcPr>
            <w:tcW w:w="1559" w:type="dxa"/>
            <w:gridSpan w:val="3"/>
            <w:vAlign w:val="center"/>
          </w:tcPr>
          <w:p w14:paraId="58DBB83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1134" w:type="dxa"/>
            <w:gridSpan w:val="3"/>
            <w:vAlign w:val="center"/>
          </w:tcPr>
          <w:p w14:paraId="6C46B19F">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1</w:t>
            </w:r>
          </w:p>
        </w:tc>
        <w:tc>
          <w:tcPr>
            <w:tcW w:w="1133" w:type="dxa"/>
            <w:vAlign w:val="center"/>
          </w:tcPr>
          <w:p w14:paraId="21CFC103">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417" w:type="dxa"/>
            <w:gridSpan w:val="3"/>
            <w:vAlign w:val="center"/>
          </w:tcPr>
          <w:p w14:paraId="6C6817C2">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1513" w:type="dxa"/>
            <w:vAlign w:val="center"/>
          </w:tcPr>
          <w:p w14:paraId="222FE72F">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r>
      <w:tr w14:paraId="660B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853" w:type="dxa"/>
            <w:gridSpan w:val="2"/>
            <w:vAlign w:val="center"/>
          </w:tcPr>
          <w:p w14:paraId="55D7368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8173" w:type="dxa"/>
            <w:gridSpan w:val="12"/>
            <w:vAlign w:val="center"/>
          </w:tcPr>
          <w:p w14:paraId="74EC0CC7">
            <w:pPr>
              <w:spacing w:line="276" w:lineRule="auto"/>
              <w:jc w:val="left"/>
              <w:rPr>
                <w:rFonts w:asciiTheme="majorEastAsia" w:hAnsiTheme="majorEastAsia" w:eastAsiaTheme="majorEastAsia"/>
                <w:b/>
                <w:sz w:val="24"/>
                <w:szCs w:val="21"/>
              </w:rPr>
            </w:pPr>
            <w:r>
              <w:rPr>
                <w:rFonts w:hint="eastAsia" w:asciiTheme="majorEastAsia" w:hAnsiTheme="majorEastAsia" w:eastAsiaTheme="majorEastAsia"/>
                <w:kern w:val="24"/>
                <w:sz w:val="24"/>
              </w:rPr>
              <w:t>中医定向药透通过热效应从皮肤给药，常用于治疗外伤、肿痛等症状，具有活血化瘀作用，</w:t>
            </w:r>
            <w:r>
              <w:rPr>
                <w:rFonts w:hint="eastAsia" w:ascii="宋体" w:hAnsi="宋体" w:cs="宋体"/>
                <w:color w:val="000000"/>
                <w:szCs w:val="21"/>
              </w:rPr>
              <w:t>按照按照深卫计规【2018】1号文件规定，深圳市社康开业需配置2-3种以上的中医诊疗理疗设备，特申请。</w:t>
            </w:r>
          </w:p>
        </w:tc>
      </w:tr>
      <w:tr w14:paraId="685E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026" w:type="dxa"/>
            <w:gridSpan w:val="14"/>
            <w:vAlign w:val="center"/>
          </w:tcPr>
          <w:p w14:paraId="4D0EB48C">
            <w:pPr>
              <w:spacing w:line="276" w:lineRule="auto"/>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BF71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vAlign w:val="center"/>
          </w:tcPr>
          <w:p w14:paraId="051FB19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77" w:type="dxa"/>
            <w:gridSpan w:val="3"/>
            <w:vAlign w:val="center"/>
          </w:tcPr>
          <w:p w14:paraId="393AABD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5CB985E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gridSpan w:val="2"/>
            <w:vAlign w:val="center"/>
          </w:tcPr>
          <w:p w14:paraId="741C1A1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vAlign w:val="center"/>
          </w:tcPr>
          <w:p w14:paraId="520E4666">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3"/>
            <w:vAlign w:val="center"/>
          </w:tcPr>
          <w:p w14:paraId="18C9E0AB">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vAlign w:val="center"/>
          </w:tcPr>
          <w:p w14:paraId="21A7B04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599" w:type="dxa"/>
            <w:gridSpan w:val="2"/>
            <w:vAlign w:val="center"/>
          </w:tcPr>
          <w:p w14:paraId="29DCDD9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r>
      <w:tr w14:paraId="1424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vAlign w:val="center"/>
          </w:tcPr>
          <w:p w14:paraId="679CA99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977" w:type="dxa"/>
            <w:gridSpan w:val="3"/>
            <w:vAlign w:val="center"/>
          </w:tcPr>
          <w:p w14:paraId="46ECC7D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中医定向透药治疗仪</w:t>
            </w:r>
          </w:p>
        </w:tc>
        <w:tc>
          <w:tcPr>
            <w:tcW w:w="850" w:type="dxa"/>
            <w:vAlign w:val="center"/>
          </w:tcPr>
          <w:p w14:paraId="5CA8377B">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15182AA2">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1</w:t>
            </w:r>
          </w:p>
        </w:tc>
        <w:tc>
          <w:tcPr>
            <w:tcW w:w="709" w:type="dxa"/>
            <w:vAlign w:val="center"/>
          </w:tcPr>
          <w:p w14:paraId="0918903D">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5" w:type="dxa"/>
            <w:gridSpan w:val="3"/>
            <w:vAlign w:val="center"/>
          </w:tcPr>
          <w:p w14:paraId="53031CB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1276" w:type="dxa"/>
            <w:vAlign w:val="center"/>
          </w:tcPr>
          <w:p w14:paraId="7175A0BF">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1</w:t>
            </w:r>
          </w:p>
        </w:tc>
        <w:tc>
          <w:tcPr>
            <w:tcW w:w="1599" w:type="dxa"/>
            <w:gridSpan w:val="2"/>
            <w:vAlign w:val="center"/>
          </w:tcPr>
          <w:p w14:paraId="4C7A72A9">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r w14:paraId="7922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tcPr>
          <w:p w14:paraId="6A527D3D">
            <w:pPr>
              <w:spacing w:line="276" w:lineRule="auto"/>
              <w:rPr>
                <w:rFonts w:ascii="宋体" w:hAnsi="宋体"/>
                <w:b/>
                <w:sz w:val="24"/>
                <w:szCs w:val="21"/>
              </w:rPr>
            </w:pPr>
            <w:r>
              <w:rPr>
                <w:rFonts w:hint="eastAsia" w:ascii="宋体" w:hAnsi="宋体"/>
                <w:b/>
                <w:sz w:val="24"/>
                <w:szCs w:val="21"/>
              </w:rPr>
              <w:t>1.1</w:t>
            </w:r>
          </w:p>
        </w:tc>
        <w:tc>
          <w:tcPr>
            <w:tcW w:w="2977" w:type="dxa"/>
            <w:gridSpan w:val="3"/>
            <w:vAlign w:val="center"/>
          </w:tcPr>
          <w:p w14:paraId="13528CA4">
            <w:pPr>
              <w:spacing w:line="340" w:lineRule="exact"/>
              <w:jc w:val="center"/>
              <w:rPr>
                <w:rFonts w:ascii="微软雅黑" w:hAnsi="微软雅黑"/>
                <w:szCs w:val="21"/>
              </w:rPr>
            </w:pPr>
            <w:r>
              <w:rPr>
                <w:rFonts w:hint="eastAsia" w:ascii="微软雅黑" w:hAnsi="微软雅黑"/>
                <w:szCs w:val="21"/>
              </w:rPr>
              <w:t>主    机</w:t>
            </w:r>
          </w:p>
        </w:tc>
        <w:tc>
          <w:tcPr>
            <w:tcW w:w="850" w:type="dxa"/>
            <w:vAlign w:val="center"/>
          </w:tcPr>
          <w:p w14:paraId="113E4807">
            <w:pPr>
              <w:spacing w:line="340" w:lineRule="exact"/>
              <w:jc w:val="center"/>
              <w:rPr>
                <w:rFonts w:ascii="微软雅黑" w:hAnsi="微软雅黑"/>
                <w:szCs w:val="21"/>
              </w:rPr>
            </w:pPr>
            <w:r>
              <w:rPr>
                <w:rFonts w:hint="eastAsia" w:asciiTheme="majorEastAsia" w:hAnsiTheme="majorEastAsia" w:eastAsiaTheme="majorEastAsia"/>
                <w:b/>
                <w:sz w:val="24"/>
                <w:szCs w:val="21"/>
              </w:rPr>
              <w:t>国产</w:t>
            </w:r>
          </w:p>
        </w:tc>
        <w:tc>
          <w:tcPr>
            <w:tcW w:w="709" w:type="dxa"/>
            <w:gridSpan w:val="2"/>
            <w:vAlign w:val="center"/>
          </w:tcPr>
          <w:p w14:paraId="18F33DF5">
            <w:pPr>
              <w:spacing w:line="340" w:lineRule="exact"/>
              <w:jc w:val="center"/>
              <w:rPr>
                <w:rFonts w:hint="eastAsia" w:ascii="微软雅黑" w:hAnsi="微软雅黑" w:eastAsia="宋体"/>
                <w:szCs w:val="21"/>
                <w:lang w:eastAsia="zh-CN"/>
              </w:rPr>
            </w:pPr>
            <w:r>
              <w:rPr>
                <w:rFonts w:hint="eastAsia" w:ascii="微软雅黑" w:hAnsi="微软雅黑"/>
                <w:szCs w:val="21"/>
                <w:lang w:val="en-US" w:eastAsia="zh-CN"/>
              </w:rPr>
              <w:t>1</w:t>
            </w:r>
          </w:p>
        </w:tc>
        <w:tc>
          <w:tcPr>
            <w:tcW w:w="709" w:type="dxa"/>
            <w:vAlign w:val="center"/>
          </w:tcPr>
          <w:p w14:paraId="3B4776D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5" w:type="dxa"/>
            <w:gridSpan w:val="3"/>
            <w:vAlign w:val="center"/>
          </w:tcPr>
          <w:p w14:paraId="24BAF165">
            <w:pPr>
              <w:spacing w:line="276" w:lineRule="auto"/>
              <w:rPr>
                <w:rFonts w:asciiTheme="majorEastAsia" w:hAnsiTheme="majorEastAsia" w:eastAsiaTheme="majorEastAsia"/>
                <w:b/>
                <w:sz w:val="24"/>
                <w:szCs w:val="21"/>
              </w:rPr>
            </w:pPr>
          </w:p>
        </w:tc>
        <w:tc>
          <w:tcPr>
            <w:tcW w:w="1276" w:type="dxa"/>
            <w:vAlign w:val="center"/>
          </w:tcPr>
          <w:p w14:paraId="23D26AA7">
            <w:pPr>
              <w:spacing w:line="276" w:lineRule="auto"/>
              <w:jc w:val="center"/>
              <w:rPr>
                <w:rFonts w:asciiTheme="majorEastAsia" w:hAnsiTheme="majorEastAsia" w:eastAsiaTheme="majorEastAsia"/>
                <w:b/>
                <w:sz w:val="24"/>
                <w:szCs w:val="21"/>
              </w:rPr>
            </w:pPr>
          </w:p>
        </w:tc>
        <w:tc>
          <w:tcPr>
            <w:tcW w:w="1599" w:type="dxa"/>
            <w:gridSpan w:val="2"/>
            <w:vAlign w:val="center"/>
          </w:tcPr>
          <w:p w14:paraId="10FCA1F8">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据实填报</w:t>
            </w:r>
          </w:p>
        </w:tc>
      </w:tr>
      <w:tr w14:paraId="5C3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tcPr>
          <w:p w14:paraId="25AD07A1">
            <w:pPr>
              <w:spacing w:line="276" w:lineRule="auto"/>
              <w:rPr>
                <w:rFonts w:ascii="宋体" w:hAnsi="宋体"/>
                <w:b/>
                <w:sz w:val="24"/>
                <w:szCs w:val="21"/>
              </w:rPr>
            </w:pPr>
            <w:r>
              <w:rPr>
                <w:rFonts w:hint="eastAsia" w:ascii="宋体" w:hAnsi="宋体"/>
                <w:b/>
                <w:sz w:val="24"/>
                <w:szCs w:val="21"/>
              </w:rPr>
              <w:t>1.2</w:t>
            </w:r>
          </w:p>
        </w:tc>
        <w:tc>
          <w:tcPr>
            <w:tcW w:w="2977" w:type="dxa"/>
            <w:gridSpan w:val="3"/>
            <w:vAlign w:val="center"/>
          </w:tcPr>
          <w:p w14:paraId="1D5D8BC0">
            <w:pPr>
              <w:spacing w:line="340" w:lineRule="exact"/>
              <w:jc w:val="center"/>
              <w:rPr>
                <w:rFonts w:ascii="微软雅黑" w:hAnsi="微软雅黑"/>
                <w:szCs w:val="21"/>
              </w:rPr>
            </w:pPr>
            <w:r>
              <w:rPr>
                <w:rFonts w:hint="eastAsia" w:ascii="微软雅黑" w:hAnsi="微软雅黑"/>
                <w:szCs w:val="21"/>
              </w:rPr>
              <w:t>电极导线（通用型）</w:t>
            </w:r>
          </w:p>
        </w:tc>
        <w:tc>
          <w:tcPr>
            <w:tcW w:w="850" w:type="dxa"/>
            <w:vAlign w:val="center"/>
          </w:tcPr>
          <w:p w14:paraId="639F3684">
            <w:pPr>
              <w:spacing w:line="340" w:lineRule="exact"/>
              <w:jc w:val="center"/>
              <w:rPr>
                <w:rFonts w:ascii="微软雅黑" w:hAnsi="微软雅黑"/>
                <w:szCs w:val="21"/>
              </w:rPr>
            </w:pPr>
            <w:r>
              <w:rPr>
                <w:rFonts w:hint="eastAsia" w:asciiTheme="majorEastAsia" w:hAnsiTheme="majorEastAsia" w:eastAsiaTheme="majorEastAsia"/>
                <w:b/>
                <w:sz w:val="24"/>
                <w:szCs w:val="21"/>
              </w:rPr>
              <w:t>国产</w:t>
            </w:r>
          </w:p>
        </w:tc>
        <w:tc>
          <w:tcPr>
            <w:tcW w:w="709" w:type="dxa"/>
            <w:gridSpan w:val="2"/>
            <w:vAlign w:val="center"/>
          </w:tcPr>
          <w:p w14:paraId="5C119A0C">
            <w:pPr>
              <w:spacing w:line="340" w:lineRule="exact"/>
              <w:jc w:val="center"/>
              <w:rPr>
                <w:rFonts w:hint="eastAsia" w:ascii="微软雅黑" w:hAnsi="微软雅黑" w:eastAsia="宋体"/>
                <w:szCs w:val="21"/>
                <w:lang w:eastAsia="zh-CN"/>
              </w:rPr>
            </w:pPr>
            <w:r>
              <w:rPr>
                <w:rFonts w:hint="eastAsia" w:ascii="微软雅黑" w:hAnsi="微软雅黑"/>
                <w:szCs w:val="21"/>
                <w:lang w:val="en-US" w:eastAsia="zh-CN"/>
              </w:rPr>
              <w:t>4</w:t>
            </w:r>
          </w:p>
        </w:tc>
        <w:tc>
          <w:tcPr>
            <w:tcW w:w="709" w:type="dxa"/>
            <w:vAlign w:val="center"/>
          </w:tcPr>
          <w:p w14:paraId="69CF0476">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根</w:t>
            </w:r>
          </w:p>
        </w:tc>
        <w:tc>
          <w:tcPr>
            <w:tcW w:w="1275" w:type="dxa"/>
            <w:gridSpan w:val="3"/>
            <w:vAlign w:val="center"/>
          </w:tcPr>
          <w:p w14:paraId="1E73E62E">
            <w:pPr>
              <w:spacing w:line="276" w:lineRule="auto"/>
              <w:rPr>
                <w:rFonts w:asciiTheme="majorEastAsia" w:hAnsiTheme="majorEastAsia" w:eastAsiaTheme="majorEastAsia"/>
                <w:b/>
                <w:sz w:val="24"/>
                <w:szCs w:val="21"/>
              </w:rPr>
            </w:pPr>
          </w:p>
        </w:tc>
        <w:tc>
          <w:tcPr>
            <w:tcW w:w="1276" w:type="dxa"/>
            <w:vAlign w:val="center"/>
          </w:tcPr>
          <w:p w14:paraId="1C026945">
            <w:pPr>
              <w:spacing w:line="276" w:lineRule="auto"/>
              <w:jc w:val="center"/>
              <w:rPr>
                <w:rFonts w:asciiTheme="majorEastAsia" w:hAnsiTheme="majorEastAsia" w:eastAsiaTheme="majorEastAsia"/>
                <w:b/>
                <w:sz w:val="24"/>
                <w:szCs w:val="21"/>
              </w:rPr>
            </w:pPr>
          </w:p>
        </w:tc>
        <w:tc>
          <w:tcPr>
            <w:tcW w:w="1599" w:type="dxa"/>
            <w:gridSpan w:val="2"/>
            <w:vAlign w:val="center"/>
          </w:tcPr>
          <w:p w14:paraId="3CDCCFA2">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r>
      <w:tr w14:paraId="2366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tcPr>
          <w:p w14:paraId="758B4D97">
            <w:pPr>
              <w:spacing w:line="276" w:lineRule="auto"/>
              <w:rPr>
                <w:rFonts w:ascii="宋体" w:hAnsi="宋体"/>
                <w:b/>
                <w:sz w:val="24"/>
                <w:szCs w:val="21"/>
              </w:rPr>
            </w:pPr>
            <w:r>
              <w:rPr>
                <w:rFonts w:hint="eastAsia" w:ascii="宋体" w:hAnsi="宋体"/>
                <w:b/>
                <w:sz w:val="24"/>
                <w:szCs w:val="21"/>
              </w:rPr>
              <w:t>1.3</w:t>
            </w:r>
          </w:p>
        </w:tc>
        <w:tc>
          <w:tcPr>
            <w:tcW w:w="2977" w:type="dxa"/>
            <w:gridSpan w:val="3"/>
            <w:vAlign w:val="center"/>
          </w:tcPr>
          <w:p w14:paraId="4E939541">
            <w:pPr>
              <w:spacing w:line="340" w:lineRule="exact"/>
              <w:jc w:val="center"/>
              <w:rPr>
                <w:rFonts w:ascii="微软雅黑" w:hAnsi="微软雅黑"/>
                <w:szCs w:val="21"/>
              </w:rPr>
            </w:pPr>
            <w:r>
              <w:rPr>
                <w:rFonts w:hint="eastAsia" w:ascii="微软雅黑" w:hAnsi="微软雅黑"/>
                <w:szCs w:val="21"/>
              </w:rPr>
              <w:t>理疗电极片（通用型）</w:t>
            </w:r>
          </w:p>
        </w:tc>
        <w:tc>
          <w:tcPr>
            <w:tcW w:w="850" w:type="dxa"/>
            <w:vAlign w:val="center"/>
          </w:tcPr>
          <w:p w14:paraId="12C56FBA">
            <w:pPr>
              <w:spacing w:line="340" w:lineRule="exact"/>
              <w:jc w:val="center"/>
              <w:rPr>
                <w:rFonts w:ascii="微软雅黑" w:hAnsi="微软雅黑"/>
                <w:szCs w:val="21"/>
              </w:rPr>
            </w:pPr>
            <w:r>
              <w:rPr>
                <w:rFonts w:hint="eastAsia" w:asciiTheme="majorEastAsia" w:hAnsiTheme="majorEastAsia" w:eastAsiaTheme="majorEastAsia"/>
                <w:b/>
                <w:sz w:val="24"/>
                <w:szCs w:val="21"/>
              </w:rPr>
              <w:t>国产</w:t>
            </w:r>
          </w:p>
        </w:tc>
        <w:tc>
          <w:tcPr>
            <w:tcW w:w="709" w:type="dxa"/>
            <w:gridSpan w:val="2"/>
            <w:vAlign w:val="center"/>
          </w:tcPr>
          <w:p w14:paraId="0C087F66">
            <w:pPr>
              <w:spacing w:line="340" w:lineRule="exact"/>
              <w:jc w:val="center"/>
              <w:rPr>
                <w:rFonts w:hint="eastAsia" w:ascii="微软雅黑" w:hAnsi="微软雅黑" w:eastAsia="宋体"/>
                <w:szCs w:val="21"/>
                <w:lang w:eastAsia="zh-CN"/>
              </w:rPr>
            </w:pPr>
            <w:r>
              <w:rPr>
                <w:rFonts w:hint="eastAsia" w:ascii="微软雅黑" w:hAnsi="微软雅黑"/>
                <w:szCs w:val="21"/>
                <w:lang w:val="en-US" w:eastAsia="zh-CN"/>
              </w:rPr>
              <w:t>4</w:t>
            </w:r>
          </w:p>
        </w:tc>
        <w:tc>
          <w:tcPr>
            <w:tcW w:w="709" w:type="dxa"/>
            <w:vAlign w:val="center"/>
          </w:tcPr>
          <w:p w14:paraId="18C412B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袋</w:t>
            </w:r>
          </w:p>
        </w:tc>
        <w:tc>
          <w:tcPr>
            <w:tcW w:w="1275" w:type="dxa"/>
            <w:gridSpan w:val="3"/>
            <w:vAlign w:val="center"/>
          </w:tcPr>
          <w:p w14:paraId="0810B736">
            <w:pPr>
              <w:spacing w:line="276" w:lineRule="auto"/>
              <w:rPr>
                <w:rFonts w:asciiTheme="majorEastAsia" w:hAnsiTheme="majorEastAsia" w:eastAsiaTheme="majorEastAsia"/>
                <w:b/>
                <w:sz w:val="24"/>
                <w:szCs w:val="21"/>
              </w:rPr>
            </w:pPr>
          </w:p>
        </w:tc>
        <w:tc>
          <w:tcPr>
            <w:tcW w:w="1276" w:type="dxa"/>
            <w:vAlign w:val="center"/>
          </w:tcPr>
          <w:p w14:paraId="21FFC11A">
            <w:pPr>
              <w:spacing w:line="276" w:lineRule="auto"/>
              <w:jc w:val="center"/>
              <w:rPr>
                <w:rFonts w:asciiTheme="majorEastAsia" w:hAnsiTheme="majorEastAsia" w:eastAsiaTheme="majorEastAsia"/>
                <w:b/>
                <w:sz w:val="24"/>
                <w:szCs w:val="21"/>
              </w:rPr>
            </w:pPr>
          </w:p>
        </w:tc>
        <w:tc>
          <w:tcPr>
            <w:tcW w:w="1599" w:type="dxa"/>
            <w:gridSpan w:val="2"/>
            <w:vAlign w:val="center"/>
          </w:tcPr>
          <w:p w14:paraId="1E077750">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r>
      <w:tr w14:paraId="4D39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tcPr>
          <w:p w14:paraId="5BC8270E">
            <w:pPr>
              <w:spacing w:line="276" w:lineRule="auto"/>
              <w:rPr>
                <w:rFonts w:ascii="宋体" w:hAnsi="宋体"/>
                <w:b/>
                <w:sz w:val="24"/>
                <w:szCs w:val="21"/>
              </w:rPr>
            </w:pPr>
            <w:r>
              <w:rPr>
                <w:rFonts w:hint="eastAsia" w:ascii="宋体" w:hAnsi="宋体"/>
                <w:b/>
                <w:sz w:val="24"/>
                <w:szCs w:val="21"/>
              </w:rPr>
              <w:t>1.4</w:t>
            </w:r>
          </w:p>
        </w:tc>
        <w:tc>
          <w:tcPr>
            <w:tcW w:w="2977" w:type="dxa"/>
            <w:gridSpan w:val="3"/>
            <w:vAlign w:val="center"/>
          </w:tcPr>
          <w:p w14:paraId="5B9BC658">
            <w:pPr>
              <w:spacing w:line="340" w:lineRule="exact"/>
              <w:jc w:val="center"/>
              <w:rPr>
                <w:rFonts w:ascii="微软雅黑" w:hAnsi="微软雅黑"/>
                <w:szCs w:val="21"/>
              </w:rPr>
            </w:pPr>
            <w:r>
              <w:rPr>
                <w:rFonts w:hint="eastAsia" w:ascii="微软雅黑" w:hAnsi="微软雅黑"/>
                <w:szCs w:val="21"/>
              </w:rPr>
              <w:t>磁热电极导线（加热型）</w:t>
            </w:r>
          </w:p>
        </w:tc>
        <w:tc>
          <w:tcPr>
            <w:tcW w:w="850" w:type="dxa"/>
            <w:vAlign w:val="center"/>
          </w:tcPr>
          <w:p w14:paraId="16EF7D36">
            <w:pPr>
              <w:spacing w:line="340" w:lineRule="exact"/>
              <w:jc w:val="center"/>
              <w:rPr>
                <w:rFonts w:ascii="微软雅黑" w:hAnsi="微软雅黑"/>
                <w:szCs w:val="21"/>
              </w:rPr>
            </w:pPr>
            <w:r>
              <w:rPr>
                <w:rFonts w:hint="eastAsia" w:asciiTheme="majorEastAsia" w:hAnsiTheme="majorEastAsia" w:eastAsiaTheme="majorEastAsia"/>
                <w:b/>
                <w:sz w:val="24"/>
                <w:szCs w:val="21"/>
              </w:rPr>
              <w:t>国产</w:t>
            </w:r>
          </w:p>
        </w:tc>
        <w:tc>
          <w:tcPr>
            <w:tcW w:w="709" w:type="dxa"/>
            <w:gridSpan w:val="2"/>
          </w:tcPr>
          <w:p w14:paraId="3600CC8E">
            <w:pPr>
              <w:spacing w:line="276" w:lineRule="auto"/>
              <w:jc w:val="center"/>
              <w:rPr>
                <w:rFonts w:hint="eastAsia" w:ascii="宋体" w:hAnsi="宋体" w:eastAsia="宋体"/>
                <w:b/>
                <w:sz w:val="24"/>
                <w:szCs w:val="21"/>
                <w:lang w:eastAsia="zh-CN"/>
              </w:rPr>
            </w:pPr>
            <w:r>
              <w:rPr>
                <w:rFonts w:hint="eastAsia" w:ascii="微软雅黑" w:hAnsi="微软雅黑"/>
                <w:szCs w:val="21"/>
                <w:lang w:val="en-US" w:eastAsia="zh-CN"/>
              </w:rPr>
              <w:t>4</w:t>
            </w:r>
          </w:p>
        </w:tc>
        <w:tc>
          <w:tcPr>
            <w:tcW w:w="709" w:type="dxa"/>
            <w:vAlign w:val="center"/>
          </w:tcPr>
          <w:p w14:paraId="4C909A8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根</w:t>
            </w:r>
          </w:p>
        </w:tc>
        <w:tc>
          <w:tcPr>
            <w:tcW w:w="1275" w:type="dxa"/>
            <w:gridSpan w:val="3"/>
            <w:vAlign w:val="center"/>
          </w:tcPr>
          <w:p w14:paraId="67981465">
            <w:pPr>
              <w:spacing w:line="276" w:lineRule="auto"/>
              <w:rPr>
                <w:rFonts w:asciiTheme="majorEastAsia" w:hAnsiTheme="majorEastAsia" w:eastAsiaTheme="majorEastAsia"/>
                <w:b/>
                <w:sz w:val="24"/>
                <w:szCs w:val="21"/>
              </w:rPr>
            </w:pPr>
          </w:p>
        </w:tc>
        <w:tc>
          <w:tcPr>
            <w:tcW w:w="1276" w:type="dxa"/>
            <w:vAlign w:val="center"/>
          </w:tcPr>
          <w:p w14:paraId="6068E398">
            <w:pPr>
              <w:spacing w:line="276" w:lineRule="auto"/>
              <w:jc w:val="center"/>
              <w:rPr>
                <w:rFonts w:asciiTheme="majorEastAsia" w:hAnsiTheme="majorEastAsia" w:eastAsiaTheme="majorEastAsia"/>
                <w:b/>
                <w:sz w:val="24"/>
                <w:szCs w:val="21"/>
              </w:rPr>
            </w:pPr>
          </w:p>
        </w:tc>
        <w:tc>
          <w:tcPr>
            <w:tcW w:w="1599" w:type="dxa"/>
            <w:gridSpan w:val="2"/>
            <w:vAlign w:val="center"/>
          </w:tcPr>
          <w:p w14:paraId="682D2599">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r>
      <w:tr w14:paraId="2424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31" w:type="dxa"/>
          </w:tcPr>
          <w:p w14:paraId="53AA9A15">
            <w:pPr>
              <w:spacing w:line="276" w:lineRule="auto"/>
              <w:rPr>
                <w:rFonts w:ascii="宋体" w:hAnsi="宋体"/>
                <w:b/>
                <w:sz w:val="24"/>
                <w:szCs w:val="21"/>
              </w:rPr>
            </w:pPr>
            <w:r>
              <w:rPr>
                <w:rFonts w:hint="eastAsia" w:ascii="宋体" w:hAnsi="宋体"/>
                <w:b/>
                <w:sz w:val="24"/>
                <w:szCs w:val="21"/>
              </w:rPr>
              <w:t>1.5</w:t>
            </w:r>
          </w:p>
        </w:tc>
        <w:tc>
          <w:tcPr>
            <w:tcW w:w="2977" w:type="dxa"/>
            <w:gridSpan w:val="3"/>
            <w:vAlign w:val="center"/>
          </w:tcPr>
          <w:p w14:paraId="3A6006BB">
            <w:pPr>
              <w:spacing w:line="340" w:lineRule="exact"/>
              <w:jc w:val="center"/>
              <w:rPr>
                <w:rFonts w:ascii="微软雅黑" w:hAnsi="微软雅黑"/>
                <w:szCs w:val="21"/>
              </w:rPr>
            </w:pPr>
            <w:r>
              <w:rPr>
                <w:rFonts w:hint="eastAsia" w:ascii="微软雅黑" w:hAnsi="微软雅黑"/>
                <w:szCs w:val="21"/>
              </w:rPr>
              <w:t>理疗电极片（加热型）</w:t>
            </w:r>
          </w:p>
        </w:tc>
        <w:tc>
          <w:tcPr>
            <w:tcW w:w="850" w:type="dxa"/>
            <w:vAlign w:val="center"/>
          </w:tcPr>
          <w:p w14:paraId="04D978DE">
            <w:pPr>
              <w:spacing w:line="340" w:lineRule="exact"/>
              <w:jc w:val="center"/>
              <w:rPr>
                <w:rFonts w:ascii="微软雅黑" w:hAnsi="微软雅黑"/>
                <w:szCs w:val="21"/>
              </w:rPr>
            </w:pPr>
            <w:r>
              <w:rPr>
                <w:rFonts w:hint="eastAsia" w:asciiTheme="majorEastAsia" w:hAnsiTheme="majorEastAsia" w:eastAsiaTheme="majorEastAsia"/>
                <w:b/>
                <w:sz w:val="24"/>
                <w:szCs w:val="21"/>
              </w:rPr>
              <w:t>国产</w:t>
            </w:r>
          </w:p>
        </w:tc>
        <w:tc>
          <w:tcPr>
            <w:tcW w:w="709" w:type="dxa"/>
            <w:gridSpan w:val="2"/>
            <w:vAlign w:val="center"/>
          </w:tcPr>
          <w:p w14:paraId="642123ED">
            <w:pPr>
              <w:spacing w:line="340" w:lineRule="exact"/>
              <w:jc w:val="center"/>
              <w:rPr>
                <w:rFonts w:hint="eastAsia" w:ascii="微软雅黑" w:hAnsi="微软雅黑" w:eastAsia="宋体"/>
                <w:szCs w:val="21"/>
                <w:lang w:eastAsia="zh-CN"/>
              </w:rPr>
            </w:pPr>
            <w:r>
              <w:rPr>
                <w:rFonts w:hint="eastAsia" w:ascii="微软雅黑" w:hAnsi="微软雅黑"/>
                <w:szCs w:val="21"/>
                <w:lang w:val="en-US" w:eastAsia="zh-CN"/>
              </w:rPr>
              <w:t>4</w:t>
            </w:r>
          </w:p>
        </w:tc>
        <w:tc>
          <w:tcPr>
            <w:tcW w:w="709" w:type="dxa"/>
            <w:vAlign w:val="center"/>
          </w:tcPr>
          <w:p w14:paraId="18D3A56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袋</w:t>
            </w:r>
          </w:p>
        </w:tc>
        <w:tc>
          <w:tcPr>
            <w:tcW w:w="1275" w:type="dxa"/>
            <w:gridSpan w:val="3"/>
            <w:vAlign w:val="center"/>
          </w:tcPr>
          <w:p w14:paraId="1D6F9AE1">
            <w:pPr>
              <w:spacing w:line="276" w:lineRule="auto"/>
              <w:rPr>
                <w:rFonts w:asciiTheme="majorEastAsia" w:hAnsiTheme="majorEastAsia" w:eastAsiaTheme="majorEastAsia"/>
                <w:b/>
                <w:sz w:val="24"/>
                <w:szCs w:val="21"/>
              </w:rPr>
            </w:pPr>
          </w:p>
        </w:tc>
        <w:tc>
          <w:tcPr>
            <w:tcW w:w="1276" w:type="dxa"/>
            <w:vAlign w:val="center"/>
          </w:tcPr>
          <w:p w14:paraId="5DBA588F">
            <w:pPr>
              <w:spacing w:line="276" w:lineRule="auto"/>
              <w:jc w:val="center"/>
              <w:rPr>
                <w:rFonts w:asciiTheme="majorEastAsia" w:hAnsiTheme="majorEastAsia" w:eastAsiaTheme="majorEastAsia"/>
                <w:b/>
                <w:sz w:val="24"/>
                <w:szCs w:val="21"/>
              </w:rPr>
            </w:pPr>
          </w:p>
        </w:tc>
        <w:tc>
          <w:tcPr>
            <w:tcW w:w="1599" w:type="dxa"/>
            <w:gridSpan w:val="2"/>
            <w:vAlign w:val="center"/>
          </w:tcPr>
          <w:p w14:paraId="16B09BD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r>
    </w:tbl>
    <w:p w14:paraId="541FF5BB">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8F1C0AD">
      <w:pPr>
        <w:pStyle w:val="17"/>
        <w:spacing w:line="276" w:lineRule="auto"/>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1061F1B">
      <w:pPr>
        <w:pStyle w:val="17"/>
        <w:adjustRightInd w:val="0"/>
        <w:snapToGrid w:val="0"/>
        <w:spacing w:line="520" w:lineRule="atLeast"/>
        <w:ind w:firstLine="480"/>
        <w:rPr>
          <w:rFonts w:cs="宋体" w:asciiTheme="majorEastAsia" w:hAnsiTheme="majorEastAsia" w:eastAsiaTheme="majorEastAsia"/>
          <w:sz w:val="24"/>
        </w:rPr>
      </w:pPr>
      <w:r>
        <w:rPr>
          <w:rFonts w:hint="eastAsia" w:cs="宋体" w:asciiTheme="majorEastAsia" w:hAnsiTheme="majorEastAsia" w:eastAsiaTheme="majorEastAsia"/>
          <w:sz w:val="24"/>
        </w:rPr>
        <w:t>（1）若投标人为所投产品的生产企业，必须提供《医疗器械生产企业许可证》，且生产范围包含该产品；若投标人为所投产品的代理商或授权供应商，必须提供《医疗器械经营企业许可证》，且经营范围包含该产品。</w:t>
      </w:r>
    </w:p>
    <w:p w14:paraId="38627B42">
      <w:pPr>
        <w:pStyle w:val="17"/>
        <w:adjustRightInd w:val="0"/>
        <w:snapToGrid w:val="0"/>
        <w:spacing w:line="520" w:lineRule="atLeast"/>
        <w:ind w:firstLine="480"/>
        <w:rPr>
          <w:rFonts w:cs="宋体" w:asciiTheme="majorEastAsia" w:hAnsiTheme="majorEastAsia" w:eastAsiaTheme="majorEastAsia"/>
          <w:sz w:val="24"/>
        </w:rPr>
      </w:pPr>
      <w:r>
        <w:rPr>
          <w:rFonts w:hint="eastAsia" w:cs="宋体" w:asciiTheme="majorEastAsia" w:hAnsiTheme="majorEastAsia" w:eastAsiaTheme="majorEastAsia"/>
          <w:sz w:val="24"/>
        </w:rPr>
        <w:t>（2）投标人必须提供所投产品的《医疗器械注册（备案）证》的扫描件，原件备查（开标时，该证应在有效期内；若不在有效期内，则需提供该证和所投产品在该证有效期内生产的药监局出具的证明文件）</w:t>
      </w:r>
    </w:p>
    <w:p w14:paraId="2ED5F07C">
      <w:pPr>
        <w:pStyle w:val="17"/>
        <w:adjustRightInd w:val="0"/>
        <w:snapToGrid w:val="0"/>
        <w:spacing w:line="520" w:lineRule="atLeast"/>
        <w:ind w:firstLine="480"/>
        <w:rPr>
          <w:rFonts w:cs="宋体" w:asciiTheme="majorEastAsia" w:hAnsiTheme="majorEastAsia" w:eastAsiaTheme="majorEastAsia"/>
          <w:sz w:val="24"/>
        </w:rPr>
      </w:pPr>
    </w:p>
    <w:p w14:paraId="7CBB46B8">
      <w:pPr>
        <w:numPr>
          <w:ilvl w:val="0"/>
          <w:numId w:val="1"/>
        </w:numPr>
        <w:spacing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66B9B42">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highlight w:val="yellow"/>
        </w:rPr>
        <w:t>（核心技术要求（以</w:t>
      </w:r>
      <w:r>
        <w:rPr>
          <w:rFonts w:hint="eastAsia" w:cs="宋体" w:asciiTheme="majorEastAsia" w:hAnsiTheme="majorEastAsia" w:eastAsiaTheme="majorEastAsia"/>
          <w:sz w:val="20"/>
          <w:szCs w:val="20"/>
          <w:highlight w:val="yellow"/>
        </w:rPr>
        <w:t>★</w:t>
      </w:r>
      <w:r>
        <w:rPr>
          <w:rFonts w:hint="eastAsia" w:cs="宋体" w:asciiTheme="majorEastAsia" w:hAnsiTheme="majorEastAsia" w:eastAsiaTheme="majorEastAsia"/>
          <w:sz w:val="20"/>
          <w:highlight w:val="yellow"/>
        </w:rPr>
        <w:t>号标注）为技术条款实质性要求不允许负偏离;否则将被否决。其数量≤5条，且必须有不少于3个品牌满足，并在第四部分作出承诺。）</w:t>
      </w:r>
    </w:p>
    <w:p w14:paraId="6D1B7A08">
      <w:pPr>
        <w:ind w:firstLine="360" w:firstLineChars="100"/>
        <w:rPr>
          <w:rFonts w:cs="方正小标宋简体" w:asciiTheme="majorEastAsia" w:hAnsiTheme="majorEastAsia" w:eastAsiaTheme="majorEastAsia"/>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号条款为重要技术参数，需议价现场与供应商逐一确定是否满足。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44"/>
        <w:gridCol w:w="7455"/>
        <w:gridCol w:w="817"/>
      </w:tblGrid>
      <w:tr w14:paraId="4072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1" w:hRule="atLeast"/>
          <w:jc w:val="center"/>
        </w:trPr>
        <w:tc>
          <w:tcPr>
            <w:tcW w:w="9209" w:type="dxa"/>
            <w:gridSpan w:val="3"/>
            <w:vAlign w:val="center"/>
          </w:tcPr>
          <w:p w14:paraId="0A302419">
            <w:pPr>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B69B4E8">
            <w:pPr>
              <w:jc w:val="center"/>
              <w:rPr>
                <w:rFonts w:asciiTheme="majorEastAsia" w:hAnsiTheme="majorEastAsia" w:eastAsiaTheme="majorEastAsia"/>
                <w:b/>
                <w:sz w:val="24"/>
                <w:szCs w:val="21"/>
              </w:rPr>
            </w:pPr>
          </w:p>
        </w:tc>
      </w:tr>
      <w:tr w14:paraId="7493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710" w:type="dxa"/>
            <w:vAlign w:val="center"/>
          </w:tcPr>
          <w:p w14:paraId="52A1B7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1044" w:type="dxa"/>
            <w:vAlign w:val="center"/>
          </w:tcPr>
          <w:p w14:paraId="1CAA3B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455" w:type="dxa"/>
            <w:vAlign w:val="center"/>
          </w:tcPr>
          <w:p w14:paraId="349493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76600E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AE3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restart"/>
          </w:tcPr>
          <w:p w14:paraId="5C0D4D39">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1044" w:type="dxa"/>
            <w:vMerge w:val="restart"/>
          </w:tcPr>
          <w:p w14:paraId="67DD0B66">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中医定向透药治疗仪</w:t>
            </w:r>
          </w:p>
        </w:tc>
        <w:tc>
          <w:tcPr>
            <w:tcW w:w="7455" w:type="dxa"/>
            <w:shd w:val="clear" w:color="auto" w:fill="auto"/>
            <w:vAlign w:val="top"/>
          </w:tcPr>
          <w:p w14:paraId="5CFC1130">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1.治疗电流：独创的非对称超导低中频编码电流，该电流具有多元编码和动态调制的双重功效；（提供产品技术白皮书或说明书证明）</w:t>
            </w:r>
          </w:p>
        </w:tc>
        <w:tc>
          <w:tcPr>
            <w:tcW w:w="817" w:type="dxa"/>
            <w:shd w:val="clear" w:color="auto" w:fill="auto"/>
            <w:vAlign w:val="top"/>
          </w:tcPr>
          <w:p w14:paraId="70F34B34">
            <w:pPr>
              <w:spacing w:line="276" w:lineRule="auto"/>
              <w:rPr>
                <w:rFonts w:cs="Times New Roman" w:asciiTheme="majorEastAsia" w:hAnsiTheme="majorEastAsia" w:eastAsiaTheme="majorEastAsia"/>
                <w:b/>
                <w:kern w:val="2"/>
                <w:sz w:val="24"/>
                <w:szCs w:val="21"/>
                <w:lang w:val="en-US" w:eastAsia="zh-CN" w:bidi="ar-SA"/>
              </w:rPr>
            </w:pPr>
            <w:r>
              <w:rPr>
                <w:rFonts w:hint="eastAsia" w:ascii="微软雅黑" w:hAnsi="微软雅黑"/>
                <w:b/>
                <w:sz w:val="24"/>
              </w:rPr>
              <w:t>▲</w:t>
            </w:r>
          </w:p>
        </w:tc>
      </w:tr>
      <w:tr w14:paraId="797E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10" w:type="dxa"/>
            <w:vMerge w:val="continue"/>
          </w:tcPr>
          <w:p w14:paraId="7DC5C538">
            <w:pPr>
              <w:spacing w:line="276" w:lineRule="auto"/>
              <w:rPr>
                <w:rFonts w:asciiTheme="majorEastAsia" w:hAnsiTheme="majorEastAsia" w:eastAsiaTheme="majorEastAsia"/>
                <w:b/>
                <w:sz w:val="24"/>
                <w:szCs w:val="21"/>
              </w:rPr>
            </w:pPr>
          </w:p>
        </w:tc>
        <w:tc>
          <w:tcPr>
            <w:tcW w:w="1044" w:type="dxa"/>
            <w:vMerge w:val="continue"/>
          </w:tcPr>
          <w:p w14:paraId="09F8E48C">
            <w:pPr>
              <w:spacing w:line="276" w:lineRule="auto"/>
              <w:rPr>
                <w:rFonts w:asciiTheme="majorEastAsia" w:hAnsiTheme="majorEastAsia" w:eastAsiaTheme="majorEastAsia"/>
                <w:b/>
                <w:sz w:val="24"/>
                <w:szCs w:val="21"/>
              </w:rPr>
            </w:pPr>
          </w:p>
        </w:tc>
        <w:tc>
          <w:tcPr>
            <w:tcW w:w="7455" w:type="dxa"/>
            <w:shd w:val="clear" w:color="auto" w:fill="auto"/>
            <w:vAlign w:val="top"/>
          </w:tcPr>
          <w:p w14:paraId="01434C8B">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2.控制方式：标准按键控制，各项物理参数液晶屏显示；（提供产品技术白皮书或说明书证明）</w:t>
            </w:r>
          </w:p>
        </w:tc>
        <w:tc>
          <w:tcPr>
            <w:tcW w:w="817" w:type="dxa"/>
            <w:shd w:val="clear" w:color="auto" w:fill="auto"/>
            <w:vAlign w:val="top"/>
          </w:tcPr>
          <w:p w14:paraId="6518CA88">
            <w:pPr>
              <w:spacing w:line="276" w:lineRule="auto"/>
              <w:rPr>
                <w:rFonts w:cs="Times New Roman" w:asciiTheme="majorEastAsia" w:hAnsiTheme="majorEastAsia" w:eastAsiaTheme="majorEastAsia"/>
                <w:b/>
                <w:kern w:val="2"/>
                <w:sz w:val="24"/>
                <w:szCs w:val="21"/>
                <w:lang w:val="en-US" w:eastAsia="zh-CN" w:bidi="ar-SA"/>
              </w:rPr>
            </w:pPr>
            <w:r>
              <w:rPr>
                <w:rFonts w:hint="eastAsia" w:ascii="微软雅黑" w:hAnsi="微软雅黑"/>
                <w:b/>
                <w:sz w:val="24"/>
              </w:rPr>
              <w:t>▲</w:t>
            </w:r>
          </w:p>
        </w:tc>
      </w:tr>
      <w:tr w14:paraId="03288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710" w:type="dxa"/>
            <w:vMerge w:val="continue"/>
          </w:tcPr>
          <w:p w14:paraId="03A29428">
            <w:pPr>
              <w:spacing w:line="276" w:lineRule="auto"/>
              <w:rPr>
                <w:rFonts w:asciiTheme="majorEastAsia" w:hAnsiTheme="majorEastAsia" w:eastAsiaTheme="majorEastAsia"/>
                <w:b/>
                <w:sz w:val="24"/>
                <w:szCs w:val="21"/>
              </w:rPr>
            </w:pPr>
          </w:p>
        </w:tc>
        <w:tc>
          <w:tcPr>
            <w:tcW w:w="1044" w:type="dxa"/>
            <w:vMerge w:val="continue"/>
          </w:tcPr>
          <w:p w14:paraId="7458D95C">
            <w:pPr>
              <w:spacing w:line="276" w:lineRule="auto"/>
              <w:rPr>
                <w:rFonts w:asciiTheme="majorEastAsia" w:hAnsiTheme="majorEastAsia" w:eastAsiaTheme="majorEastAsia"/>
                <w:b/>
                <w:sz w:val="24"/>
                <w:szCs w:val="21"/>
              </w:rPr>
            </w:pPr>
          </w:p>
        </w:tc>
        <w:tc>
          <w:tcPr>
            <w:tcW w:w="7455" w:type="dxa"/>
            <w:shd w:val="clear" w:color="auto" w:fill="auto"/>
            <w:vAlign w:val="top"/>
          </w:tcPr>
          <w:p w14:paraId="412C00CC">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3.治疗模式≥6种，包括但不限于：定向药物导入治疗、按摩电疗、定向药物导入＋按摩电疗＋热疗＋磁疗、按摩电疗＋热疗＋磁疗、热封包中药渗透治疗、药物导入治疗＋“热封包”中药渗透治疗</w:t>
            </w:r>
          </w:p>
        </w:tc>
        <w:tc>
          <w:tcPr>
            <w:tcW w:w="817" w:type="dxa"/>
            <w:shd w:val="clear" w:color="auto" w:fill="auto"/>
            <w:vAlign w:val="top"/>
          </w:tcPr>
          <w:p w14:paraId="5CA83CC9">
            <w:pPr>
              <w:spacing w:line="276" w:lineRule="auto"/>
              <w:rPr>
                <w:rFonts w:cs="Times New Roman" w:asciiTheme="majorEastAsia" w:hAnsiTheme="majorEastAsia" w:eastAsiaTheme="majorEastAsia"/>
                <w:b/>
                <w:kern w:val="2"/>
                <w:sz w:val="24"/>
                <w:szCs w:val="21"/>
                <w:lang w:val="en-US" w:eastAsia="zh-CN" w:bidi="ar-SA"/>
              </w:rPr>
            </w:pPr>
          </w:p>
        </w:tc>
      </w:tr>
      <w:tr w14:paraId="164B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6751FC40">
            <w:pPr>
              <w:spacing w:line="276" w:lineRule="auto"/>
              <w:rPr>
                <w:rFonts w:asciiTheme="majorEastAsia" w:hAnsiTheme="majorEastAsia" w:eastAsiaTheme="majorEastAsia"/>
                <w:b/>
                <w:sz w:val="24"/>
                <w:szCs w:val="21"/>
              </w:rPr>
            </w:pPr>
          </w:p>
        </w:tc>
        <w:tc>
          <w:tcPr>
            <w:tcW w:w="1044" w:type="dxa"/>
            <w:vMerge w:val="continue"/>
          </w:tcPr>
          <w:p w14:paraId="270C5325">
            <w:pPr>
              <w:spacing w:line="276" w:lineRule="auto"/>
              <w:rPr>
                <w:rFonts w:asciiTheme="majorEastAsia" w:hAnsiTheme="majorEastAsia" w:eastAsiaTheme="majorEastAsia"/>
                <w:b/>
                <w:sz w:val="24"/>
                <w:szCs w:val="21"/>
              </w:rPr>
            </w:pPr>
          </w:p>
        </w:tc>
        <w:tc>
          <w:tcPr>
            <w:tcW w:w="7455" w:type="dxa"/>
            <w:shd w:val="clear" w:color="auto" w:fill="auto"/>
            <w:vAlign w:val="top"/>
          </w:tcPr>
          <w:p w14:paraId="6B683963">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4.输出波形：具备按摩时的对称波，药物导入时的非对称波</w:t>
            </w:r>
          </w:p>
        </w:tc>
        <w:tc>
          <w:tcPr>
            <w:tcW w:w="817" w:type="dxa"/>
            <w:shd w:val="clear" w:color="auto" w:fill="auto"/>
            <w:vAlign w:val="top"/>
          </w:tcPr>
          <w:p w14:paraId="4156C424">
            <w:pPr>
              <w:spacing w:line="276" w:lineRule="auto"/>
              <w:rPr>
                <w:rFonts w:cs="Times New Roman" w:asciiTheme="majorEastAsia" w:hAnsiTheme="majorEastAsia" w:eastAsiaTheme="majorEastAsia"/>
                <w:b/>
                <w:kern w:val="2"/>
                <w:sz w:val="24"/>
                <w:szCs w:val="21"/>
                <w:lang w:val="en-US" w:eastAsia="zh-CN" w:bidi="ar-SA"/>
              </w:rPr>
            </w:pPr>
          </w:p>
        </w:tc>
      </w:tr>
      <w:tr w14:paraId="31D4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0597115A">
            <w:pPr>
              <w:spacing w:line="276" w:lineRule="auto"/>
              <w:rPr>
                <w:rFonts w:asciiTheme="majorEastAsia" w:hAnsiTheme="majorEastAsia" w:eastAsiaTheme="majorEastAsia"/>
                <w:b/>
                <w:sz w:val="24"/>
                <w:szCs w:val="21"/>
              </w:rPr>
            </w:pPr>
          </w:p>
        </w:tc>
        <w:tc>
          <w:tcPr>
            <w:tcW w:w="1044" w:type="dxa"/>
            <w:vMerge w:val="continue"/>
          </w:tcPr>
          <w:p w14:paraId="46654A4C">
            <w:pPr>
              <w:spacing w:line="276" w:lineRule="auto"/>
              <w:rPr>
                <w:rFonts w:asciiTheme="majorEastAsia" w:hAnsiTheme="majorEastAsia" w:eastAsiaTheme="majorEastAsia"/>
                <w:b/>
                <w:sz w:val="24"/>
                <w:szCs w:val="21"/>
              </w:rPr>
            </w:pPr>
          </w:p>
        </w:tc>
        <w:tc>
          <w:tcPr>
            <w:tcW w:w="7455" w:type="dxa"/>
            <w:shd w:val="clear" w:color="auto" w:fill="auto"/>
            <w:vAlign w:val="top"/>
          </w:tcPr>
          <w:p w14:paraId="0790953B">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5.工作频率：中频频率：2000Hz±15%，低频调制频率：75 Hz±15%</w:t>
            </w:r>
          </w:p>
        </w:tc>
        <w:tc>
          <w:tcPr>
            <w:tcW w:w="817" w:type="dxa"/>
            <w:shd w:val="clear" w:color="auto" w:fill="auto"/>
            <w:vAlign w:val="top"/>
          </w:tcPr>
          <w:p w14:paraId="68CA6ACC">
            <w:pPr>
              <w:spacing w:line="276" w:lineRule="auto"/>
              <w:rPr>
                <w:rFonts w:cs="Times New Roman" w:asciiTheme="majorEastAsia" w:hAnsiTheme="majorEastAsia" w:eastAsiaTheme="majorEastAsia"/>
                <w:b/>
                <w:kern w:val="2"/>
                <w:sz w:val="24"/>
                <w:szCs w:val="21"/>
                <w:lang w:val="en-US" w:eastAsia="zh-CN" w:bidi="ar-SA"/>
              </w:rPr>
            </w:pPr>
          </w:p>
        </w:tc>
      </w:tr>
      <w:tr w14:paraId="3EF2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7AF2AC2B">
            <w:pPr>
              <w:spacing w:line="276" w:lineRule="auto"/>
              <w:rPr>
                <w:rFonts w:asciiTheme="majorEastAsia" w:hAnsiTheme="majorEastAsia" w:eastAsiaTheme="majorEastAsia"/>
                <w:b/>
                <w:sz w:val="24"/>
                <w:szCs w:val="21"/>
              </w:rPr>
            </w:pPr>
          </w:p>
        </w:tc>
        <w:tc>
          <w:tcPr>
            <w:tcW w:w="1044" w:type="dxa"/>
            <w:vMerge w:val="continue"/>
          </w:tcPr>
          <w:p w14:paraId="3DCDBF94">
            <w:pPr>
              <w:spacing w:line="276" w:lineRule="auto"/>
              <w:rPr>
                <w:rFonts w:asciiTheme="majorEastAsia" w:hAnsiTheme="majorEastAsia" w:eastAsiaTheme="majorEastAsia"/>
                <w:b/>
                <w:sz w:val="24"/>
                <w:szCs w:val="21"/>
              </w:rPr>
            </w:pPr>
          </w:p>
        </w:tc>
        <w:tc>
          <w:tcPr>
            <w:tcW w:w="7455" w:type="dxa"/>
            <w:shd w:val="clear" w:color="auto" w:fill="auto"/>
            <w:vAlign w:val="top"/>
          </w:tcPr>
          <w:p w14:paraId="5A7C3CE4">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6.脉冲宽度：0.180ms±20%</w:t>
            </w:r>
          </w:p>
        </w:tc>
        <w:tc>
          <w:tcPr>
            <w:tcW w:w="817" w:type="dxa"/>
            <w:shd w:val="clear" w:color="auto" w:fill="auto"/>
            <w:vAlign w:val="top"/>
          </w:tcPr>
          <w:p w14:paraId="537582B4">
            <w:pPr>
              <w:spacing w:line="276" w:lineRule="auto"/>
              <w:rPr>
                <w:rFonts w:cs="Times New Roman" w:asciiTheme="majorEastAsia" w:hAnsiTheme="majorEastAsia" w:eastAsiaTheme="majorEastAsia"/>
                <w:b/>
                <w:kern w:val="2"/>
                <w:sz w:val="24"/>
                <w:szCs w:val="21"/>
                <w:lang w:val="en-US" w:eastAsia="zh-CN" w:bidi="ar-SA"/>
              </w:rPr>
            </w:pPr>
          </w:p>
        </w:tc>
      </w:tr>
      <w:tr w14:paraId="04DF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jc w:val="center"/>
        </w:trPr>
        <w:tc>
          <w:tcPr>
            <w:tcW w:w="710" w:type="dxa"/>
            <w:vMerge w:val="continue"/>
          </w:tcPr>
          <w:p w14:paraId="22292F05">
            <w:pPr>
              <w:spacing w:line="276" w:lineRule="auto"/>
              <w:rPr>
                <w:rFonts w:asciiTheme="majorEastAsia" w:hAnsiTheme="majorEastAsia" w:eastAsiaTheme="majorEastAsia"/>
                <w:b/>
                <w:sz w:val="24"/>
                <w:szCs w:val="21"/>
              </w:rPr>
            </w:pPr>
          </w:p>
        </w:tc>
        <w:tc>
          <w:tcPr>
            <w:tcW w:w="1044" w:type="dxa"/>
            <w:vMerge w:val="continue"/>
          </w:tcPr>
          <w:p w14:paraId="03348276">
            <w:pPr>
              <w:spacing w:line="276" w:lineRule="auto"/>
              <w:rPr>
                <w:rFonts w:asciiTheme="majorEastAsia" w:hAnsiTheme="majorEastAsia" w:eastAsiaTheme="majorEastAsia"/>
                <w:b/>
                <w:sz w:val="24"/>
                <w:szCs w:val="21"/>
              </w:rPr>
            </w:pPr>
          </w:p>
        </w:tc>
        <w:tc>
          <w:tcPr>
            <w:tcW w:w="7455" w:type="dxa"/>
            <w:shd w:val="clear" w:color="auto" w:fill="auto"/>
            <w:vAlign w:val="top"/>
          </w:tcPr>
          <w:p w14:paraId="4B45A3AC">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7.调制方式：占空比动态可调</w:t>
            </w:r>
          </w:p>
        </w:tc>
        <w:tc>
          <w:tcPr>
            <w:tcW w:w="817" w:type="dxa"/>
            <w:shd w:val="clear" w:color="auto" w:fill="auto"/>
            <w:vAlign w:val="top"/>
          </w:tcPr>
          <w:p w14:paraId="02DE3307">
            <w:pPr>
              <w:spacing w:line="276" w:lineRule="auto"/>
              <w:rPr>
                <w:rFonts w:cs="Times New Roman" w:asciiTheme="majorEastAsia" w:hAnsiTheme="majorEastAsia" w:eastAsiaTheme="majorEastAsia"/>
                <w:b/>
                <w:kern w:val="2"/>
                <w:sz w:val="24"/>
                <w:szCs w:val="21"/>
                <w:lang w:val="en-US" w:eastAsia="zh-CN" w:bidi="ar-SA"/>
              </w:rPr>
            </w:pPr>
          </w:p>
        </w:tc>
      </w:tr>
      <w:tr w14:paraId="61C4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4E9D7351">
            <w:pPr>
              <w:spacing w:line="276" w:lineRule="auto"/>
              <w:rPr>
                <w:rFonts w:asciiTheme="majorEastAsia" w:hAnsiTheme="majorEastAsia" w:eastAsiaTheme="majorEastAsia"/>
                <w:b/>
                <w:sz w:val="24"/>
                <w:szCs w:val="21"/>
              </w:rPr>
            </w:pPr>
          </w:p>
        </w:tc>
        <w:tc>
          <w:tcPr>
            <w:tcW w:w="1044" w:type="dxa"/>
            <w:vMerge w:val="continue"/>
          </w:tcPr>
          <w:p w14:paraId="4B292553">
            <w:pPr>
              <w:spacing w:line="276" w:lineRule="auto"/>
              <w:rPr>
                <w:rFonts w:asciiTheme="majorEastAsia" w:hAnsiTheme="majorEastAsia" w:eastAsiaTheme="majorEastAsia"/>
                <w:b/>
                <w:sz w:val="24"/>
                <w:szCs w:val="21"/>
              </w:rPr>
            </w:pPr>
          </w:p>
        </w:tc>
        <w:tc>
          <w:tcPr>
            <w:tcW w:w="7455" w:type="dxa"/>
            <w:shd w:val="clear" w:color="auto" w:fill="auto"/>
            <w:vAlign w:val="top"/>
          </w:tcPr>
          <w:p w14:paraId="2CF12252">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8.输出通道：≥4通道</w:t>
            </w:r>
          </w:p>
        </w:tc>
        <w:tc>
          <w:tcPr>
            <w:tcW w:w="817" w:type="dxa"/>
            <w:shd w:val="clear" w:color="auto" w:fill="auto"/>
            <w:vAlign w:val="top"/>
          </w:tcPr>
          <w:p w14:paraId="6D1B34FD">
            <w:pPr>
              <w:spacing w:line="276" w:lineRule="auto"/>
              <w:rPr>
                <w:rFonts w:cs="Times New Roman" w:asciiTheme="majorEastAsia" w:hAnsiTheme="majorEastAsia" w:eastAsiaTheme="majorEastAsia"/>
                <w:b/>
                <w:kern w:val="2"/>
                <w:sz w:val="24"/>
                <w:szCs w:val="21"/>
                <w:lang w:val="en-US" w:eastAsia="zh-CN" w:bidi="ar-SA"/>
              </w:rPr>
            </w:pPr>
          </w:p>
        </w:tc>
      </w:tr>
      <w:tr w14:paraId="4161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5DDA1145">
            <w:pPr>
              <w:spacing w:line="276" w:lineRule="auto"/>
              <w:rPr>
                <w:rFonts w:asciiTheme="majorEastAsia" w:hAnsiTheme="majorEastAsia" w:eastAsiaTheme="majorEastAsia"/>
                <w:b/>
                <w:sz w:val="24"/>
                <w:szCs w:val="21"/>
              </w:rPr>
            </w:pPr>
          </w:p>
        </w:tc>
        <w:tc>
          <w:tcPr>
            <w:tcW w:w="1044" w:type="dxa"/>
            <w:vMerge w:val="continue"/>
          </w:tcPr>
          <w:p w14:paraId="18D74C5E">
            <w:pPr>
              <w:spacing w:line="276" w:lineRule="auto"/>
              <w:rPr>
                <w:rFonts w:asciiTheme="majorEastAsia" w:hAnsiTheme="majorEastAsia" w:eastAsiaTheme="majorEastAsia"/>
                <w:b/>
                <w:sz w:val="24"/>
                <w:szCs w:val="21"/>
              </w:rPr>
            </w:pPr>
          </w:p>
        </w:tc>
        <w:tc>
          <w:tcPr>
            <w:tcW w:w="7455" w:type="dxa"/>
            <w:shd w:val="clear" w:color="auto" w:fill="auto"/>
            <w:vAlign w:val="top"/>
          </w:tcPr>
          <w:p w14:paraId="06CB795F">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9.输出强度</w:t>
            </w:r>
            <w:r>
              <w:rPr>
                <w:rFonts w:hint="eastAsia" w:cs="Times New Roman"/>
                <w:kern w:val="2"/>
                <w:sz w:val="21"/>
                <w:szCs w:val="24"/>
                <w:lang w:val="en-US" w:eastAsia="zh-CN" w:bidi="ar-SA"/>
              </w:rPr>
              <w:t>：</w:t>
            </w:r>
            <w:r>
              <w:rPr>
                <w:rFonts w:hint="eastAsia" w:ascii="Times New Roman" w:hAnsi="Times New Roman" w:eastAsia="宋体" w:cs="Times New Roman"/>
                <w:kern w:val="2"/>
                <w:sz w:val="21"/>
                <w:szCs w:val="24"/>
                <w:lang w:val="en-US" w:eastAsia="zh-CN" w:bidi="ar-SA"/>
              </w:rPr>
              <w:t>符合国标500Ω负载</w:t>
            </w:r>
          </w:p>
        </w:tc>
        <w:tc>
          <w:tcPr>
            <w:tcW w:w="817" w:type="dxa"/>
            <w:shd w:val="clear" w:color="auto" w:fill="auto"/>
            <w:vAlign w:val="top"/>
          </w:tcPr>
          <w:p w14:paraId="0FE6368F">
            <w:pPr>
              <w:spacing w:line="276" w:lineRule="auto"/>
              <w:rPr>
                <w:rFonts w:cs="Times New Roman" w:asciiTheme="majorEastAsia" w:hAnsiTheme="majorEastAsia" w:eastAsiaTheme="majorEastAsia"/>
                <w:b/>
                <w:kern w:val="2"/>
                <w:sz w:val="24"/>
                <w:szCs w:val="21"/>
                <w:lang w:val="en-US" w:eastAsia="zh-CN" w:bidi="ar-SA"/>
              </w:rPr>
            </w:pPr>
          </w:p>
        </w:tc>
      </w:tr>
      <w:tr w14:paraId="426D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6B4CE50E">
            <w:pPr>
              <w:spacing w:line="276" w:lineRule="auto"/>
              <w:rPr>
                <w:rFonts w:asciiTheme="majorEastAsia" w:hAnsiTheme="majorEastAsia" w:eastAsiaTheme="majorEastAsia"/>
                <w:b/>
                <w:sz w:val="24"/>
                <w:szCs w:val="21"/>
              </w:rPr>
            </w:pPr>
          </w:p>
        </w:tc>
        <w:tc>
          <w:tcPr>
            <w:tcW w:w="1044" w:type="dxa"/>
            <w:vMerge w:val="continue"/>
          </w:tcPr>
          <w:p w14:paraId="0ED2E921">
            <w:pPr>
              <w:spacing w:line="276" w:lineRule="auto"/>
              <w:rPr>
                <w:rFonts w:asciiTheme="majorEastAsia" w:hAnsiTheme="majorEastAsia" w:eastAsiaTheme="majorEastAsia"/>
                <w:b/>
                <w:sz w:val="24"/>
                <w:szCs w:val="21"/>
              </w:rPr>
            </w:pPr>
          </w:p>
        </w:tc>
        <w:tc>
          <w:tcPr>
            <w:tcW w:w="7455" w:type="dxa"/>
            <w:shd w:val="clear" w:color="auto" w:fill="auto"/>
            <w:vAlign w:val="top"/>
          </w:tcPr>
          <w:p w14:paraId="2CFF4CA8">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10.中频输出电流：0~70mA（需涵盖此范围）</w:t>
            </w:r>
          </w:p>
        </w:tc>
        <w:tc>
          <w:tcPr>
            <w:tcW w:w="817" w:type="dxa"/>
            <w:shd w:val="clear" w:color="auto" w:fill="auto"/>
            <w:vAlign w:val="top"/>
          </w:tcPr>
          <w:p w14:paraId="6AD33ADA">
            <w:pPr>
              <w:spacing w:line="276" w:lineRule="auto"/>
              <w:rPr>
                <w:rFonts w:cs="Times New Roman" w:asciiTheme="majorEastAsia" w:hAnsiTheme="majorEastAsia" w:eastAsiaTheme="majorEastAsia"/>
                <w:b/>
                <w:kern w:val="2"/>
                <w:sz w:val="24"/>
                <w:szCs w:val="21"/>
                <w:lang w:val="en-US" w:eastAsia="zh-CN" w:bidi="ar-SA"/>
              </w:rPr>
            </w:pPr>
          </w:p>
        </w:tc>
      </w:tr>
      <w:tr w14:paraId="75AC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jc w:val="center"/>
        </w:trPr>
        <w:tc>
          <w:tcPr>
            <w:tcW w:w="710" w:type="dxa"/>
            <w:vMerge w:val="continue"/>
          </w:tcPr>
          <w:p w14:paraId="73EFA244">
            <w:pPr>
              <w:spacing w:line="276" w:lineRule="auto"/>
              <w:rPr>
                <w:rFonts w:asciiTheme="majorEastAsia" w:hAnsiTheme="majorEastAsia" w:eastAsiaTheme="majorEastAsia"/>
                <w:b/>
                <w:sz w:val="24"/>
                <w:szCs w:val="21"/>
              </w:rPr>
            </w:pPr>
          </w:p>
        </w:tc>
        <w:tc>
          <w:tcPr>
            <w:tcW w:w="1044" w:type="dxa"/>
            <w:vMerge w:val="continue"/>
          </w:tcPr>
          <w:p w14:paraId="5586BDDF">
            <w:pPr>
              <w:spacing w:line="276" w:lineRule="auto"/>
              <w:rPr>
                <w:rFonts w:asciiTheme="majorEastAsia" w:hAnsiTheme="majorEastAsia" w:eastAsiaTheme="majorEastAsia"/>
                <w:b/>
                <w:sz w:val="24"/>
                <w:szCs w:val="21"/>
              </w:rPr>
            </w:pPr>
          </w:p>
        </w:tc>
        <w:tc>
          <w:tcPr>
            <w:tcW w:w="7455" w:type="dxa"/>
            <w:shd w:val="clear" w:color="auto" w:fill="auto"/>
            <w:vAlign w:val="top"/>
          </w:tcPr>
          <w:p w14:paraId="235964D0">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11.输出强度调节：可分100级步进调节</w:t>
            </w:r>
          </w:p>
        </w:tc>
        <w:tc>
          <w:tcPr>
            <w:tcW w:w="817" w:type="dxa"/>
            <w:shd w:val="clear" w:color="auto" w:fill="auto"/>
            <w:vAlign w:val="top"/>
          </w:tcPr>
          <w:p w14:paraId="5E566B21">
            <w:pPr>
              <w:spacing w:line="276" w:lineRule="auto"/>
              <w:rPr>
                <w:rFonts w:cs="Times New Roman" w:asciiTheme="majorEastAsia" w:hAnsiTheme="majorEastAsia" w:eastAsiaTheme="majorEastAsia"/>
                <w:b/>
                <w:kern w:val="2"/>
                <w:sz w:val="24"/>
                <w:szCs w:val="21"/>
                <w:lang w:val="en-US" w:eastAsia="zh-CN" w:bidi="ar-SA"/>
              </w:rPr>
            </w:pPr>
          </w:p>
        </w:tc>
      </w:tr>
      <w:tr w14:paraId="6B4C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39CEB664">
            <w:pPr>
              <w:spacing w:line="276" w:lineRule="auto"/>
              <w:rPr>
                <w:rFonts w:asciiTheme="majorEastAsia" w:hAnsiTheme="majorEastAsia" w:eastAsiaTheme="majorEastAsia"/>
                <w:b/>
                <w:sz w:val="24"/>
                <w:szCs w:val="21"/>
              </w:rPr>
            </w:pPr>
          </w:p>
        </w:tc>
        <w:tc>
          <w:tcPr>
            <w:tcW w:w="1044" w:type="dxa"/>
            <w:vMerge w:val="continue"/>
          </w:tcPr>
          <w:p w14:paraId="5BCD1AB6">
            <w:pPr>
              <w:spacing w:line="276" w:lineRule="auto"/>
              <w:rPr>
                <w:rFonts w:asciiTheme="majorEastAsia" w:hAnsiTheme="majorEastAsia" w:eastAsiaTheme="majorEastAsia"/>
                <w:b/>
                <w:sz w:val="24"/>
                <w:szCs w:val="21"/>
              </w:rPr>
            </w:pPr>
          </w:p>
        </w:tc>
        <w:tc>
          <w:tcPr>
            <w:tcW w:w="7455" w:type="dxa"/>
            <w:shd w:val="clear" w:color="auto" w:fill="auto"/>
            <w:vAlign w:val="top"/>
          </w:tcPr>
          <w:p w14:paraId="2274B703">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12.最大脉冲电流：≤100mA</w:t>
            </w:r>
          </w:p>
        </w:tc>
        <w:tc>
          <w:tcPr>
            <w:tcW w:w="817" w:type="dxa"/>
            <w:shd w:val="clear" w:color="auto" w:fill="auto"/>
            <w:vAlign w:val="top"/>
          </w:tcPr>
          <w:p w14:paraId="29A7F57C">
            <w:pPr>
              <w:spacing w:line="276" w:lineRule="auto"/>
              <w:rPr>
                <w:rFonts w:cs="Times New Roman" w:asciiTheme="majorEastAsia" w:hAnsiTheme="majorEastAsia" w:eastAsiaTheme="majorEastAsia"/>
                <w:b/>
                <w:kern w:val="2"/>
                <w:sz w:val="24"/>
                <w:szCs w:val="21"/>
                <w:lang w:val="en-US" w:eastAsia="zh-CN" w:bidi="ar-SA"/>
              </w:rPr>
            </w:pPr>
          </w:p>
        </w:tc>
      </w:tr>
      <w:tr w14:paraId="55BF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jc w:val="center"/>
        </w:trPr>
        <w:tc>
          <w:tcPr>
            <w:tcW w:w="710" w:type="dxa"/>
            <w:vMerge w:val="continue"/>
          </w:tcPr>
          <w:p w14:paraId="16447E69">
            <w:pPr>
              <w:spacing w:line="276" w:lineRule="auto"/>
              <w:rPr>
                <w:rFonts w:asciiTheme="majorEastAsia" w:hAnsiTheme="majorEastAsia" w:eastAsiaTheme="majorEastAsia"/>
                <w:b/>
                <w:sz w:val="24"/>
                <w:szCs w:val="21"/>
              </w:rPr>
            </w:pPr>
          </w:p>
        </w:tc>
        <w:tc>
          <w:tcPr>
            <w:tcW w:w="1044" w:type="dxa"/>
            <w:vMerge w:val="continue"/>
          </w:tcPr>
          <w:p w14:paraId="2E6B9228">
            <w:pPr>
              <w:spacing w:line="276" w:lineRule="auto"/>
              <w:rPr>
                <w:rFonts w:asciiTheme="majorEastAsia" w:hAnsiTheme="majorEastAsia" w:eastAsiaTheme="majorEastAsia"/>
                <w:b/>
                <w:sz w:val="24"/>
                <w:szCs w:val="21"/>
              </w:rPr>
            </w:pPr>
          </w:p>
        </w:tc>
        <w:tc>
          <w:tcPr>
            <w:tcW w:w="7455" w:type="dxa"/>
            <w:shd w:val="clear" w:color="auto" w:fill="auto"/>
            <w:vAlign w:val="top"/>
          </w:tcPr>
          <w:p w14:paraId="4FAC23E5">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13.治疗仪具有电极脱落、输出闭锁、输出电极允许短路、双重绝缘隔离等多项安全保护功能。</w:t>
            </w:r>
          </w:p>
        </w:tc>
        <w:tc>
          <w:tcPr>
            <w:tcW w:w="817" w:type="dxa"/>
            <w:shd w:val="clear" w:color="auto" w:fill="auto"/>
            <w:vAlign w:val="top"/>
          </w:tcPr>
          <w:p w14:paraId="6C5F17D3">
            <w:pPr>
              <w:spacing w:line="276" w:lineRule="auto"/>
              <w:rPr>
                <w:rFonts w:cs="Times New Roman" w:asciiTheme="majorEastAsia" w:hAnsiTheme="majorEastAsia" w:eastAsiaTheme="majorEastAsia"/>
                <w:b/>
                <w:kern w:val="2"/>
                <w:sz w:val="24"/>
                <w:szCs w:val="21"/>
                <w:lang w:val="en-US" w:eastAsia="zh-CN" w:bidi="ar-SA"/>
              </w:rPr>
            </w:pPr>
          </w:p>
        </w:tc>
      </w:tr>
      <w:tr w14:paraId="672B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710" w:type="dxa"/>
            <w:vMerge w:val="continue"/>
          </w:tcPr>
          <w:p w14:paraId="45FB36A2">
            <w:pPr>
              <w:spacing w:line="276" w:lineRule="auto"/>
              <w:rPr>
                <w:rFonts w:asciiTheme="majorEastAsia" w:hAnsiTheme="majorEastAsia" w:eastAsiaTheme="majorEastAsia"/>
                <w:b/>
                <w:sz w:val="24"/>
                <w:szCs w:val="21"/>
              </w:rPr>
            </w:pPr>
          </w:p>
        </w:tc>
        <w:tc>
          <w:tcPr>
            <w:tcW w:w="1044" w:type="dxa"/>
            <w:vMerge w:val="continue"/>
          </w:tcPr>
          <w:p w14:paraId="3D6BCCA3">
            <w:pPr>
              <w:spacing w:line="276" w:lineRule="auto"/>
              <w:rPr>
                <w:rFonts w:asciiTheme="majorEastAsia" w:hAnsiTheme="majorEastAsia" w:eastAsiaTheme="majorEastAsia"/>
                <w:b/>
                <w:sz w:val="24"/>
                <w:szCs w:val="21"/>
              </w:rPr>
            </w:pPr>
          </w:p>
        </w:tc>
        <w:tc>
          <w:tcPr>
            <w:tcW w:w="7455" w:type="dxa"/>
            <w:shd w:val="clear" w:color="auto" w:fill="auto"/>
            <w:vAlign w:val="top"/>
          </w:tcPr>
          <w:p w14:paraId="7AE1EB64">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14.输出电流自动稳定在所调定的值上</w:t>
            </w:r>
          </w:p>
        </w:tc>
        <w:tc>
          <w:tcPr>
            <w:tcW w:w="817" w:type="dxa"/>
            <w:shd w:val="clear" w:color="auto" w:fill="auto"/>
            <w:vAlign w:val="top"/>
          </w:tcPr>
          <w:p w14:paraId="11D76AF4">
            <w:pPr>
              <w:spacing w:line="276" w:lineRule="auto"/>
              <w:rPr>
                <w:rFonts w:cs="Times New Roman" w:asciiTheme="majorEastAsia" w:hAnsiTheme="majorEastAsia" w:eastAsiaTheme="majorEastAsia"/>
                <w:b/>
                <w:kern w:val="2"/>
                <w:sz w:val="24"/>
                <w:szCs w:val="21"/>
                <w:lang w:val="en-US" w:eastAsia="zh-CN" w:bidi="ar-SA"/>
              </w:rPr>
            </w:pPr>
          </w:p>
        </w:tc>
      </w:tr>
      <w:tr w14:paraId="122E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35FB3EC1">
            <w:pPr>
              <w:spacing w:line="276" w:lineRule="auto"/>
              <w:rPr>
                <w:rFonts w:asciiTheme="majorEastAsia" w:hAnsiTheme="majorEastAsia" w:eastAsiaTheme="majorEastAsia"/>
                <w:b/>
                <w:sz w:val="24"/>
                <w:szCs w:val="21"/>
              </w:rPr>
            </w:pPr>
          </w:p>
        </w:tc>
        <w:tc>
          <w:tcPr>
            <w:tcW w:w="1044" w:type="dxa"/>
            <w:vMerge w:val="continue"/>
          </w:tcPr>
          <w:p w14:paraId="2A5AEE05">
            <w:pPr>
              <w:spacing w:line="276" w:lineRule="auto"/>
              <w:rPr>
                <w:rFonts w:asciiTheme="majorEastAsia" w:hAnsiTheme="majorEastAsia" w:eastAsiaTheme="majorEastAsia"/>
                <w:b/>
                <w:sz w:val="24"/>
                <w:szCs w:val="21"/>
              </w:rPr>
            </w:pPr>
          </w:p>
        </w:tc>
        <w:tc>
          <w:tcPr>
            <w:tcW w:w="7455" w:type="dxa"/>
            <w:shd w:val="clear" w:color="auto" w:fill="auto"/>
            <w:vAlign w:val="top"/>
          </w:tcPr>
          <w:p w14:paraId="56520374">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15.定时时间：默认设定25分钟，可自由设定1~60分钟</w:t>
            </w:r>
          </w:p>
        </w:tc>
        <w:tc>
          <w:tcPr>
            <w:tcW w:w="817" w:type="dxa"/>
            <w:shd w:val="clear" w:color="auto" w:fill="auto"/>
            <w:vAlign w:val="top"/>
          </w:tcPr>
          <w:p w14:paraId="1169BFF0">
            <w:pPr>
              <w:spacing w:line="276" w:lineRule="auto"/>
              <w:rPr>
                <w:rFonts w:cs="Times New Roman" w:asciiTheme="majorEastAsia" w:hAnsiTheme="majorEastAsia" w:eastAsiaTheme="majorEastAsia"/>
                <w:b/>
                <w:kern w:val="2"/>
                <w:sz w:val="24"/>
                <w:szCs w:val="21"/>
                <w:lang w:val="en-US" w:eastAsia="zh-CN" w:bidi="ar-SA"/>
              </w:rPr>
            </w:pPr>
          </w:p>
        </w:tc>
      </w:tr>
      <w:tr w14:paraId="2C8B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3CF86C6D">
            <w:pPr>
              <w:spacing w:line="276" w:lineRule="auto"/>
              <w:rPr>
                <w:rFonts w:asciiTheme="majorEastAsia" w:hAnsiTheme="majorEastAsia" w:eastAsiaTheme="majorEastAsia"/>
                <w:b/>
                <w:sz w:val="24"/>
                <w:szCs w:val="21"/>
              </w:rPr>
            </w:pPr>
          </w:p>
        </w:tc>
        <w:tc>
          <w:tcPr>
            <w:tcW w:w="1044" w:type="dxa"/>
            <w:vMerge w:val="continue"/>
          </w:tcPr>
          <w:p w14:paraId="539B903B">
            <w:pPr>
              <w:spacing w:line="276" w:lineRule="auto"/>
              <w:rPr>
                <w:rFonts w:asciiTheme="majorEastAsia" w:hAnsiTheme="majorEastAsia" w:eastAsiaTheme="majorEastAsia"/>
                <w:b/>
                <w:sz w:val="24"/>
                <w:szCs w:val="21"/>
              </w:rPr>
            </w:pPr>
          </w:p>
        </w:tc>
        <w:tc>
          <w:tcPr>
            <w:tcW w:w="7455" w:type="dxa"/>
            <w:shd w:val="clear" w:color="auto" w:fill="auto"/>
            <w:vAlign w:val="top"/>
          </w:tcPr>
          <w:p w14:paraId="6DBBF3ED">
            <w:pPr>
              <w:pStyle w:val="17"/>
              <w:numPr>
                <w:ilvl w:val="0"/>
                <w:numId w:val="0"/>
              </w:numPr>
              <w:spacing w:afterLines="50" w:line="340" w:lineRule="exact"/>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16.热疗温度：温度可控制在25℃-50℃之间（需要涵盖此范围）</w:t>
            </w:r>
          </w:p>
        </w:tc>
        <w:tc>
          <w:tcPr>
            <w:tcW w:w="817" w:type="dxa"/>
            <w:shd w:val="clear" w:color="auto" w:fill="auto"/>
            <w:vAlign w:val="top"/>
          </w:tcPr>
          <w:p w14:paraId="0112E890">
            <w:pPr>
              <w:spacing w:line="276" w:lineRule="auto"/>
              <w:rPr>
                <w:rFonts w:cs="Times New Roman" w:asciiTheme="majorEastAsia" w:hAnsiTheme="majorEastAsia" w:eastAsiaTheme="majorEastAsia"/>
                <w:b/>
                <w:kern w:val="2"/>
                <w:sz w:val="24"/>
                <w:szCs w:val="21"/>
                <w:lang w:val="en-US" w:eastAsia="zh-CN" w:bidi="ar-SA"/>
              </w:rPr>
            </w:pPr>
          </w:p>
        </w:tc>
      </w:tr>
      <w:tr w14:paraId="2157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2079EC8E">
            <w:pPr>
              <w:spacing w:line="276" w:lineRule="auto"/>
              <w:rPr>
                <w:rFonts w:asciiTheme="majorEastAsia" w:hAnsiTheme="majorEastAsia" w:eastAsiaTheme="majorEastAsia"/>
                <w:b/>
                <w:sz w:val="24"/>
                <w:szCs w:val="21"/>
              </w:rPr>
            </w:pPr>
          </w:p>
        </w:tc>
        <w:tc>
          <w:tcPr>
            <w:tcW w:w="1044" w:type="dxa"/>
            <w:vMerge w:val="continue"/>
          </w:tcPr>
          <w:p w14:paraId="52C36051">
            <w:pPr>
              <w:spacing w:line="276" w:lineRule="auto"/>
              <w:rPr>
                <w:rFonts w:asciiTheme="majorEastAsia" w:hAnsiTheme="majorEastAsia" w:eastAsiaTheme="majorEastAsia"/>
                <w:b/>
                <w:sz w:val="24"/>
                <w:szCs w:val="21"/>
              </w:rPr>
            </w:pPr>
          </w:p>
        </w:tc>
        <w:tc>
          <w:tcPr>
            <w:tcW w:w="7455" w:type="dxa"/>
            <w:shd w:val="clear" w:color="auto" w:fill="auto"/>
            <w:vAlign w:val="top"/>
          </w:tcPr>
          <w:p w14:paraId="1611A1AE">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17. 热疗电源：0～5共6级步进调节，可根据季节设定治疗温度（提供产品技术白皮书或说明书证明）</w:t>
            </w:r>
          </w:p>
        </w:tc>
        <w:tc>
          <w:tcPr>
            <w:tcW w:w="817" w:type="dxa"/>
            <w:shd w:val="clear" w:color="auto" w:fill="auto"/>
            <w:vAlign w:val="top"/>
          </w:tcPr>
          <w:p w14:paraId="6B3C5CA2">
            <w:pPr>
              <w:spacing w:line="276" w:lineRule="auto"/>
              <w:rPr>
                <w:rFonts w:cs="Times New Roman" w:asciiTheme="majorEastAsia" w:hAnsiTheme="majorEastAsia" w:eastAsiaTheme="majorEastAsia"/>
                <w:b/>
                <w:kern w:val="2"/>
                <w:sz w:val="24"/>
                <w:szCs w:val="21"/>
                <w:lang w:val="en-US" w:eastAsia="zh-CN" w:bidi="ar-SA"/>
              </w:rPr>
            </w:pPr>
            <w:r>
              <w:rPr>
                <w:rFonts w:hint="eastAsia" w:ascii="微软雅黑" w:hAnsi="微软雅黑"/>
                <w:b/>
                <w:sz w:val="24"/>
              </w:rPr>
              <w:t>▲</w:t>
            </w:r>
          </w:p>
        </w:tc>
      </w:tr>
      <w:tr w14:paraId="0D024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0DBF7533">
            <w:pPr>
              <w:spacing w:line="276" w:lineRule="auto"/>
              <w:rPr>
                <w:rFonts w:asciiTheme="majorEastAsia" w:hAnsiTheme="majorEastAsia" w:eastAsiaTheme="majorEastAsia"/>
                <w:b/>
                <w:sz w:val="24"/>
                <w:szCs w:val="21"/>
              </w:rPr>
            </w:pPr>
          </w:p>
        </w:tc>
        <w:tc>
          <w:tcPr>
            <w:tcW w:w="1044" w:type="dxa"/>
            <w:vMerge w:val="continue"/>
          </w:tcPr>
          <w:p w14:paraId="444913E4">
            <w:pPr>
              <w:spacing w:line="276" w:lineRule="auto"/>
              <w:rPr>
                <w:rFonts w:asciiTheme="majorEastAsia" w:hAnsiTheme="majorEastAsia" w:eastAsiaTheme="majorEastAsia"/>
                <w:b/>
                <w:sz w:val="24"/>
                <w:szCs w:val="21"/>
              </w:rPr>
            </w:pPr>
          </w:p>
        </w:tc>
        <w:tc>
          <w:tcPr>
            <w:tcW w:w="7455" w:type="dxa"/>
            <w:shd w:val="clear" w:color="auto" w:fill="auto"/>
            <w:vAlign w:val="top"/>
          </w:tcPr>
          <w:p w14:paraId="00F6F5B6">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18.处方功能：内置≥4个治疗处方，可根据患者治疗需要灵活选择</w:t>
            </w:r>
          </w:p>
        </w:tc>
        <w:tc>
          <w:tcPr>
            <w:tcW w:w="817" w:type="dxa"/>
            <w:shd w:val="clear" w:color="auto" w:fill="auto"/>
            <w:vAlign w:val="top"/>
          </w:tcPr>
          <w:p w14:paraId="087389D6">
            <w:pPr>
              <w:spacing w:line="276" w:lineRule="auto"/>
              <w:rPr>
                <w:rFonts w:cs="Times New Roman" w:asciiTheme="majorEastAsia" w:hAnsiTheme="majorEastAsia" w:eastAsiaTheme="majorEastAsia"/>
                <w:b/>
                <w:kern w:val="2"/>
                <w:sz w:val="24"/>
                <w:szCs w:val="21"/>
                <w:lang w:val="en-US" w:eastAsia="zh-CN" w:bidi="ar-SA"/>
              </w:rPr>
            </w:pPr>
          </w:p>
        </w:tc>
      </w:tr>
      <w:tr w14:paraId="40FD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7D806730">
            <w:pPr>
              <w:spacing w:line="276" w:lineRule="auto"/>
              <w:rPr>
                <w:rFonts w:asciiTheme="majorEastAsia" w:hAnsiTheme="majorEastAsia" w:eastAsiaTheme="majorEastAsia"/>
                <w:b/>
                <w:sz w:val="24"/>
                <w:szCs w:val="21"/>
              </w:rPr>
            </w:pPr>
          </w:p>
        </w:tc>
        <w:tc>
          <w:tcPr>
            <w:tcW w:w="1044" w:type="dxa"/>
            <w:vMerge w:val="continue"/>
          </w:tcPr>
          <w:p w14:paraId="403739B5">
            <w:pPr>
              <w:spacing w:line="276" w:lineRule="auto"/>
              <w:rPr>
                <w:rFonts w:asciiTheme="majorEastAsia" w:hAnsiTheme="majorEastAsia" w:eastAsiaTheme="majorEastAsia"/>
                <w:b/>
                <w:sz w:val="24"/>
                <w:szCs w:val="21"/>
              </w:rPr>
            </w:pPr>
          </w:p>
        </w:tc>
        <w:tc>
          <w:tcPr>
            <w:tcW w:w="7455" w:type="dxa"/>
            <w:shd w:val="clear" w:color="auto" w:fill="auto"/>
            <w:vAlign w:val="top"/>
          </w:tcPr>
          <w:p w14:paraId="38EE570B">
            <w:pPr>
              <w:spacing w:line="276" w:lineRule="auto"/>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19.磁疗功能：动态磁场，具有磁疗功效</w:t>
            </w:r>
          </w:p>
        </w:tc>
        <w:tc>
          <w:tcPr>
            <w:tcW w:w="817" w:type="dxa"/>
            <w:shd w:val="clear" w:color="auto" w:fill="auto"/>
            <w:vAlign w:val="top"/>
          </w:tcPr>
          <w:p w14:paraId="0DE94637">
            <w:pPr>
              <w:spacing w:line="276" w:lineRule="auto"/>
              <w:rPr>
                <w:rFonts w:cs="Times New Roman" w:asciiTheme="majorEastAsia" w:hAnsiTheme="majorEastAsia" w:eastAsiaTheme="majorEastAsia"/>
                <w:b/>
                <w:kern w:val="2"/>
                <w:sz w:val="24"/>
                <w:szCs w:val="21"/>
                <w:lang w:val="en-US" w:eastAsia="zh-CN" w:bidi="ar-SA"/>
              </w:rPr>
            </w:pPr>
          </w:p>
        </w:tc>
      </w:tr>
      <w:tr w14:paraId="4B6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2F9549B0">
            <w:pPr>
              <w:spacing w:line="276" w:lineRule="auto"/>
              <w:rPr>
                <w:rFonts w:asciiTheme="majorEastAsia" w:hAnsiTheme="majorEastAsia" w:eastAsiaTheme="majorEastAsia"/>
                <w:b/>
                <w:sz w:val="24"/>
                <w:szCs w:val="21"/>
              </w:rPr>
            </w:pPr>
          </w:p>
        </w:tc>
        <w:tc>
          <w:tcPr>
            <w:tcW w:w="1044" w:type="dxa"/>
            <w:vMerge w:val="continue"/>
          </w:tcPr>
          <w:p w14:paraId="78A2A42E">
            <w:pPr>
              <w:spacing w:line="276" w:lineRule="auto"/>
              <w:rPr>
                <w:rFonts w:asciiTheme="majorEastAsia" w:hAnsiTheme="majorEastAsia" w:eastAsiaTheme="majorEastAsia"/>
                <w:b/>
                <w:sz w:val="24"/>
                <w:szCs w:val="21"/>
              </w:rPr>
            </w:pPr>
          </w:p>
        </w:tc>
        <w:tc>
          <w:tcPr>
            <w:tcW w:w="7455" w:type="dxa"/>
            <w:shd w:val="clear" w:color="auto" w:fill="auto"/>
            <w:vAlign w:val="top"/>
          </w:tcPr>
          <w:p w14:paraId="0E212A32">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20功耗：≤130VA</w:t>
            </w:r>
          </w:p>
        </w:tc>
        <w:tc>
          <w:tcPr>
            <w:tcW w:w="817" w:type="dxa"/>
            <w:shd w:val="clear" w:color="auto" w:fill="auto"/>
            <w:vAlign w:val="top"/>
          </w:tcPr>
          <w:p w14:paraId="0289B78E">
            <w:pPr>
              <w:spacing w:line="276" w:lineRule="auto"/>
              <w:rPr>
                <w:rFonts w:cs="Times New Roman" w:asciiTheme="majorEastAsia" w:hAnsiTheme="majorEastAsia" w:eastAsiaTheme="majorEastAsia"/>
                <w:b/>
                <w:kern w:val="2"/>
                <w:sz w:val="24"/>
                <w:szCs w:val="21"/>
                <w:lang w:val="en-US" w:eastAsia="zh-CN" w:bidi="ar-SA"/>
              </w:rPr>
            </w:pPr>
          </w:p>
        </w:tc>
      </w:tr>
      <w:tr w14:paraId="486D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313207E3">
            <w:pPr>
              <w:spacing w:line="276" w:lineRule="auto"/>
              <w:rPr>
                <w:rFonts w:asciiTheme="majorEastAsia" w:hAnsiTheme="majorEastAsia" w:eastAsiaTheme="majorEastAsia"/>
                <w:b/>
                <w:sz w:val="24"/>
                <w:szCs w:val="21"/>
              </w:rPr>
            </w:pPr>
          </w:p>
        </w:tc>
        <w:tc>
          <w:tcPr>
            <w:tcW w:w="1044" w:type="dxa"/>
            <w:vMerge w:val="continue"/>
          </w:tcPr>
          <w:p w14:paraId="1A84D286">
            <w:pPr>
              <w:spacing w:line="276" w:lineRule="auto"/>
              <w:rPr>
                <w:rFonts w:asciiTheme="majorEastAsia" w:hAnsiTheme="majorEastAsia" w:eastAsiaTheme="majorEastAsia"/>
                <w:b/>
                <w:sz w:val="24"/>
                <w:szCs w:val="21"/>
              </w:rPr>
            </w:pPr>
          </w:p>
        </w:tc>
        <w:tc>
          <w:tcPr>
            <w:tcW w:w="7455" w:type="dxa"/>
            <w:shd w:val="clear" w:color="auto" w:fill="auto"/>
            <w:vAlign w:val="top"/>
          </w:tcPr>
          <w:p w14:paraId="6706F744">
            <w:pPr>
              <w:pStyle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21.连续输出时间：≥4小时</w:t>
            </w:r>
          </w:p>
        </w:tc>
        <w:tc>
          <w:tcPr>
            <w:tcW w:w="817" w:type="dxa"/>
            <w:shd w:val="clear" w:color="auto" w:fill="auto"/>
            <w:vAlign w:val="top"/>
          </w:tcPr>
          <w:p w14:paraId="2C905E43">
            <w:pPr>
              <w:spacing w:line="276" w:lineRule="auto"/>
              <w:rPr>
                <w:rFonts w:cs="Times New Roman" w:asciiTheme="majorEastAsia" w:hAnsiTheme="majorEastAsia" w:eastAsiaTheme="majorEastAsia"/>
                <w:b/>
                <w:kern w:val="2"/>
                <w:sz w:val="24"/>
                <w:szCs w:val="21"/>
                <w:lang w:val="en-US" w:eastAsia="zh-CN" w:bidi="ar-SA"/>
              </w:rPr>
            </w:pPr>
          </w:p>
        </w:tc>
      </w:tr>
      <w:tr w14:paraId="1A93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0" w:type="dxa"/>
            <w:vMerge w:val="continue"/>
          </w:tcPr>
          <w:p w14:paraId="40A9A2EE">
            <w:pPr>
              <w:spacing w:line="276" w:lineRule="auto"/>
              <w:rPr>
                <w:rFonts w:asciiTheme="majorEastAsia" w:hAnsiTheme="majorEastAsia" w:eastAsiaTheme="majorEastAsia"/>
                <w:b/>
                <w:sz w:val="24"/>
                <w:szCs w:val="21"/>
              </w:rPr>
            </w:pPr>
          </w:p>
        </w:tc>
        <w:tc>
          <w:tcPr>
            <w:tcW w:w="1044" w:type="dxa"/>
            <w:vMerge w:val="continue"/>
          </w:tcPr>
          <w:p w14:paraId="437F73C6">
            <w:pPr>
              <w:spacing w:line="276" w:lineRule="auto"/>
              <w:rPr>
                <w:rFonts w:asciiTheme="majorEastAsia" w:hAnsiTheme="majorEastAsia" w:eastAsiaTheme="majorEastAsia"/>
                <w:b/>
                <w:sz w:val="24"/>
                <w:szCs w:val="21"/>
              </w:rPr>
            </w:pPr>
          </w:p>
        </w:tc>
        <w:tc>
          <w:tcPr>
            <w:tcW w:w="7455" w:type="dxa"/>
            <w:shd w:val="clear" w:color="auto" w:fill="auto"/>
            <w:vAlign w:val="top"/>
          </w:tcPr>
          <w:p w14:paraId="57A727B5">
            <w:pPr>
              <w:pStyle w:val="17"/>
              <w:spacing w:afterLines="50" w:line="340" w:lineRule="exact"/>
              <w:ind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22. 设备适配两种耗材（提供产品技术白皮书或说明书证明）：</w:t>
            </w:r>
          </w:p>
          <w:p w14:paraId="33257E92">
            <w:pPr>
              <w:pStyle w:val="17"/>
              <w:numPr>
                <w:ilvl w:val="0"/>
                <w:numId w:val="0"/>
              </w:numPr>
              <w:spacing w:afterLines="50" w:line="340" w:lineRule="exact"/>
              <w:ind w:left="34" w:leftChars="0" w:firstLine="210" w:firstLineChars="100"/>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w:t>
            </w:r>
            <w:r>
              <w:rPr>
                <w:rFonts w:hint="eastAsia" w:ascii="Times New Roman" w:hAnsi="Times New Roman" w:eastAsia="宋体" w:cs="Times New Roman"/>
                <w:kern w:val="2"/>
                <w:sz w:val="21"/>
                <w:szCs w:val="24"/>
                <w:lang w:val="en-US" w:eastAsia="zh-CN" w:bidi="ar-SA"/>
              </w:rPr>
              <w:t>专用理疗电极片，中医定向透药 + 贴敷治疗</w:t>
            </w:r>
          </w:p>
          <w:p w14:paraId="55E58098">
            <w:pPr>
              <w:spacing w:line="276" w:lineRule="auto"/>
              <w:ind w:firstLine="210" w:firstLineChars="10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b)冷敷穴位贴，该帖浸有中药秘方提炼的中药药水，通过特有的非对称编码电流和热磁传导功能将药物离子直达病灶；</w:t>
            </w:r>
          </w:p>
        </w:tc>
        <w:tc>
          <w:tcPr>
            <w:tcW w:w="817" w:type="dxa"/>
            <w:shd w:val="clear" w:color="auto" w:fill="auto"/>
            <w:vAlign w:val="top"/>
          </w:tcPr>
          <w:p w14:paraId="22CCED02">
            <w:pPr>
              <w:spacing w:line="276" w:lineRule="auto"/>
              <w:rPr>
                <w:rFonts w:cs="Times New Roman" w:asciiTheme="majorEastAsia" w:hAnsiTheme="majorEastAsia" w:eastAsiaTheme="majorEastAsia"/>
                <w:b/>
                <w:kern w:val="2"/>
                <w:sz w:val="24"/>
                <w:szCs w:val="21"/>
                <w:lang w:val="en-US" w:eastAsia="zh-CN" w:bidi="ar-SA"/>
              </w:rPr>
            </w:pPr>
            <w:r>
              <w:rPr>
                <w:rFonts w:hint="eastAsia" w:ascii="微软雅黑" w:hAnsi="微软雅黑"/>
                <w:b/>
                <w:sz w:val="24"/>
              </w:rPr>
              <w:t>▲</w:t>
            </w:r>
          </w:p>
        </w:tc>
      </w:tr>
      <w:tr w14:paraId="5C79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026" w:type="dxa"/>
            <w:gridSpan w:val="4"/>
          </w:tcPr>
          <w:p w14:paraId="7D6CFCB8">
            <w:pPr>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3BB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754" w:type="dxa"/>
            <w:gridSpan w:val="2"/>
          </w:tcPr>
          <w:p w14:paraId="268F1BA3">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72" w:type="dxa"/>
            <w:gridSpan w:val="2"/>
          </w:tcPr>
          <w:p w14:paraId="22EC1D08">
            <w:pPr>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合同签订后并接甲方通知____天后</w:t>
            </w:r>
            <w:r>
              <w:rPr>
                <w:rFonts w:hint="eastAsia" w:asciiTheme="majorEastAsia" w:hAnsiTheme="majorEastAsia" w:eastAsiaTheme="majorEastAsia"/>
                <w:b/>
                <w:color w:val="FF0000"/>
                <w:sz w:val="24"/>
                <w:szCs w:val="21"/>
                <w:lang w:eastAsia="zh-CN"/>
              </w:rPr>
              <w:t>（</w:t>
            </w:r>
            <w:r>
              <w:rPr>
                <w:rFonts w:hint="eastAsia"/>
                <w:b/>
                <w:bCs/>
                <w:color w:val="FF0000"/>
                <w:sz w:val="22"/>
                <w:szCs w:val="28"/>
                <w:lang w:val="en-US" w:eastAsia="zh-CN"/>
              </w:rPr>
              <w:t>填写的数值</w:t>
            </w:r>
            <w:r>
              <w:rPr>
                <w:rFonts w:hint="eastAsia"/>
                <w:b/>
                <w:bCs w:val="0"/>
                <w:color w:val="FF0000"/>
                <w:sz w:val="22"/>
                <w:szCs w:val="28"/>
                <w:lang w:val="en-US" w:eastAsia="zh-CN"/>
              </w:rPr>
              <w:t>≤</w:t>
            </w:r>
            <w:r>
              <w:rPr>
                <w:rFonts w:hint="eastAsia"/>
                <w:b/>
                <w:bCs/>
                <w:color w:val="FF0000"/>
                <w:sz w:val="22"/>
                <w:szCs w:val="28"/>
                <w:lang w:val="en-US" w:eastAsia="zh-CN"/>
              </w:rPr>
              <w:t>30 天）</w:t>
            </w:r>
            <w:r>
              <w:rPr>
                <w:rFonts w:hint="eastAsia" w:asciiTheme="majorEastAsia" w:hAnsiTheme="majorEastAsia" w:eastAsiaTheme="majorEastAsia"/>
                <w:b/>
                <w:sz w:val="24"/>
                <w:szCs w:val="21"/>
              </w:rPr>
              <w:t>。</w:t>
            </w:r>
          </w:p>
        </w:tc>
      </w:tr>
      <w:tr w14:paraId="3F00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54" w:type="dxa"/>
            <w:gridSpan w:val="2"/>
          </w:tcPr>
          <w:p w14:paraId="2E3A16BF">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72" w:type="dxa"/>
            <w:gridSpan w:val="2"/>
          </w:tcPr>
          <w:p w14:paraId="1EC8191C">
            <w:pPr>
              <w:spacing w:line="276" w:lineRule="auto"/>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FB6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54" w:type="dxa"/>
            <w:gridSpan w:val="2"/>
          </w:tcPr>
          <w:p w14:paraId="1590A05F">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72" w:type="dxa"/>
            <w:gridSpan w:val="2"/>
          </w:tcPr>
          <w:p w14:paraId="174A2AEF">
            <w:pPr>
              <w:spacing w:line="276" w:lineRule="auto"/>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55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754" w:type="dxa"/>
            <w:gridSpan w:val="2"/>
          </w:tcPr>
          <w:p w14:paraId="039425B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72" w:type="dxa"/>
            <w:gridSpan w:val="2"/>
          </w:tcPr>
          <w:p w14:paraId="582D031F">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b/>
                <w:bCs/>
                <w:szCs w:val="21"/>
              </w:rPr>
              <w:t>3万元以下：</w:t>
            </w:r>
          </w:p>
          <w:p w14:paraId="07B0CA46">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提供的完整资料向福田区相关部门申请支付100%合同货款到中标人指定账户。</w:t>
            </w:r>
          </w:p>
          <w:p w14:paraId="5F8BF692">
            <w:pPr>
              <w:adjustRightInd w:val="0"/>
              <w:snapToGrid w:val="0"/>
              <w:rPr>
                <w:rFonts w:hint="eastAsia" w:asciiTheme="majorEastAsia" w:hAnsiTheme="majorEastAsia" w:eastAsiaTheme="majorEastAsia"/>
                <w:b/>
                <w:bCs/>
                <w:szCs w:val="21"/>
              </w:rPr>
            </w:pPr>
            <w:r>
              <w:rPr>
                <w:rFonts w:hint="eastAsia" w:asciiTheme="majorEastAsia" w:hAnsiTheme="majorEastAsia" w:eastAsiaTheme="majorEastAsia"/>
                <w:b/>
                <w:bCs/>
                <w:szCs w:val="21"/>
              </w:rPr>
              <w:t>3万元（含）-100万以下：</w:t>
            </w:r>
          </w:p>
          <w:p w14:paraId="5C0859A9">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将合同总价5%（人民币</w:t>
            </w:r>
            <w:permStart w:id="0" w:edGrp="everyone"/>
            <w:r>
              <w:rPr>
                <w:rFonts w:hint="eastAsia" w:asciiTheme="majorEastAsia" w:hAnsiTheme="majorEastAsia" w:eastAsiaTheme="majorEastAsia"/>
                <w:szCs w:val="21"/>
              </w:rPr>
              <w:t xml:space="preserve"> </w:t>
            </w:r>
            <w:permEnd w:id="0"/>
            <w:r>
              <w:rPr>
                <w:rFonts w:hint="eastAsia" w:asciiTheme="majorEastAsia" w:hAnsiTheme="majorEastAsia" w:eastAsiaTheme="majorEastAsia"/>
                <w:szCs w:val="21"/>
              </w:rPr>
              <w:t>，¥</w:t>
            </w:r>
            <w:permStart w:id="1" w:edGrp="everyone"/>
            <w:r>
              <w:rPr>
                <w:rFonts w:hint="eastAsia" w:asciiTheme="majorEastAsia" w:hAnsiTheme="majorEastAsia" w:eastAsiaTheme="majorEastAsia"/>
                <w:szCs w:val="21"/>
              </w:rPr>
              <w:t xml:space="preserve"> </w:t>
            </w:r>
            <w:permEnd w:id="1"/>
            <w:r>
              <w:rPr>
                <w:rFonts w:hint="eastAsia" w:asciiTheme="majorEastAsia" w:hAnsiTheme="majorEastAsia" w:eastAsiaTheme="majorEastAsia"/>
                <w:szCs w:val="21"/>
              </w:rPr>
              <w:t>）的履约保证金汇入</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指定账户。货到清点、安装调试验收合格正常使用后出具全额发票，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指定账户。</w:t>
            </w:r>
          </w:p>
          <w:p w14:paraId="3F30ACA5">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支付合同总价5%的履约保证金，用于补偿</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因</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不履行/不妥善履行合同约定义务而蒙受的损失，如</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不履行/不妥善履行合同约定义务的，</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有权直接从履约保证金中扣除相应违约金/损失赔偿款项。如果在合同签订后至</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履行完毕合同约定义务事项期间未发生</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不履行或不妥善履行合同约定义务的情况，在</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履行完毕合同约定义务事项后，</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提供完整资料到达</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财务之日起10个工作日内，</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将履约保证金无息返还给</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w:t>
            </w:r>
          </w:p>
          <w:p w14:paraId="5BEFB445">
            <w:pPr>
              <w:adjustRightInd w:val="0"/>
              <w:snapToGrid w:val="0"/>
              <w:rPr>
                <w:rFonts w:hint="eastAsia" w:asciiTheme="majorEastAsia" w:hAnsiTheme="majorEastAsia" w:eastAsiaTheme="majorEastAsia"/>
                <w:b/>
                <w:bCs/>
                <w:szCs w:val="21"/>
              </w:rPr>
            </w:pPr>
            <w:r>
              <w:rPr>
                <w:rFonts w:hint="eastAsia" w:asciiTheme="majorEastAsia" w:hAnsiTheme="majorEastAsia" w:eastAsiaTheme="majorEastAsia"/>
                <w:b/>
                <w:bCs/>
                <w:szCs w:val="21"/>
              </w:rPr>
              <w:t>100万及以上：</w:t>
            </w:r>
          </w:p>
          <w:p w14:paraId="726429F0">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将合同总价5%（人民币</w:t>
            </w:r>
            <w:permStart w:id="2" w:edGrp="everyone"/>
            <w:r>
              <w:rPr>
                <w:rFonts w:hint="eastAsia" w:asciiTheme="majorEastAsia" w:hAnsiTheme="majorEastAsia" w:eastAsiaTheme="majorEastAsia"/>
                <w:szCs w:val="21"/>
              </w:rPr>
              <w:t xml:space="preserve">   </w:t>
            </w:r>
            <w:permEnd w:id="2"/>
            <w:r>
              <w:rPr>
                <w:rFonts w:hint="eastAsia" w:asciiTheme="majorEastAsia" w:hAnsiTheme="majorEastAsia" w:eastAsiaTheme="majorEastAsia"/>
                <w:szCs w:val="21"/>
              </w:rPr>
              <w:t>元整，¥</w:t>
            </w:r>
            <w:permStart w:id="3" w:edGrp="everyone"/>
            <w:r>
              <w:rPr>
                <w:rFonts w:hint="eastAsia" w:asciiTheme="majorEastAsia" w:hAnsiTheme="majorEastAsia" w:eastAsiaTheme="majorEastAsia"/>
                <w:szCs w:val="21"/>
              </w:rPr>
              <w:t xml:space="preserve">   </w:t>
            </w:r>
            <w:permEnd w:id="3"/>
            <w:r>
              <w:rPr>
                <w:rFonts w:hint="eastAsia" w:asciiTheme="majorEastAsia" w:hAnsiTheme="majorEastAsia" w:eastAsiaTheme="majorEastAsia"/>
                <w:szCs w:val="21"/>
              </w:rPr>
              <w:t>）的履约保证金以支票、汇票、本票或者金融机构、担保机构出具的保函等非现金形式提交</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提供的完整资料向福田区相关部门申请支付100%合同货款到中标人指定账户。</w:t>
            </w:r>
          </w:p>
          <w:p w14:paraId="7745FB20">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支付合同总价5%的履约保证金，用于补偿</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因</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不履行/不妥善履行合同约定义务而蒙受的损失，如</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不履行/不妥善履行合同约定义务的，</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有权直接从履约保证金中扣除相应违约金/损失赔偿款项。如果在合同签订后至</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履行完毕合同约定义务事项期间未发生</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不履行或不妥善履行合同约定义务的情况，在</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履行完毕合同约定义务事项后，</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提供完整资料到达</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财务之日起10个工作日内，</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将履约保证金无息返还给</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w:t>
            </w:r>
          </w:p>
          <w:p w14:paraId="2A9FA1D9">
            <w:pPr>
              <w:spacing w:line="276" w:lineRule="auto"/>
              <w:ind w:firstLine="480" w:firstLineChars="20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color w:val="FF0000"/>
                <w:sz w:val="24"/>
                <w:szCs w:val="21"/>
                <w:highlight w:val="yellow"/>
              </w:rPr>
              <w:t>本合同最终结算金额以深圳市福田区财政投资评审中心出具的评审结果作为最终价款支付依据。如评审结果金额低于采购人已向中标人支付的金额，中标人须无条件按照福田区财政局的要求将差额退回至财政局指定账户。</w:t>
            </w:r>
          </w:p>
        </w:tc>
      </w:tr>
      <w:tr w14:paraId="0FFB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Pr>
          <w:p w14:paraId="3635F30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72" w:type="dxa"/>
            <w:gridSpan w:val="2"/>
          </w:tcPr>
          <w:p w14:paraId="138AB1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维护手册（含维修密码及接口数据）等维护维修必需的材料和信息。所有外文资料需提供中文译本。文件应随货物一并交付至采购人指点地点。</w:t>
            </w:r>
          </w:p>
          <w:p w14:paraId="09CE096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35D97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C16EE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7 日历日内安装调试完毕。</w:t>
            </w:r>
          </w:p>
          <w:p w14:paraId="49C8E032">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0D4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Pr>
          <w:p w14:paraId="6CF4B7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72" w:type="dxa"/>
            <w:gridSpan w:val="2"/>
          </w:tcPr>
          <w:p w14:paraId="2418EB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930874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A7D8A3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6E5CFE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4D1F0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60370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9CB94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AE9FF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0B5DC52C">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683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Pr>
          <w:p w14:paraId="496CC142">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2B16E23E">
            <w:pPr>
              <w:adjustRightInd w:val="0"/>
              <w:snapToGrid w:val="0"/>
              <w:rPr>
                <w:rFonts w:asciiTheme="majorEastAsia" w:hAnsiTheme="majorEastAsia" w:eastAsiaTheme="majorEastAsia"/>
                <w:sz w:val="24"/>
                <w:szCs w:val="21"/>
              </w:rPr>
            </w:pPr>
          </w:p>
        </w:tc>
        <w:tc>
          <w:tcPr>
            <w:tcW w:w="8272" w:type="dxa"/>
            <w:gridSpan w:val="2"/>
          </w:tcPr>
          <w:p w14:paraId="6B57B2D3">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0000FF"/>
                <w:szCs w:val="21"/>
              </w:rPr>
              <w:t>各投标人应在投标文件中承诺提供整机免费原厂保修期</w:t>
            </w:r>
            <w:r>
              <w:rPr>
                <w:rFonts w:hint="eastAsia" w:ascii="宋体" w:hAnsi="宋体"/>
                <w:b/>
                <w:bCs w:val="0"/>
                <w:color w:val="FF0000"/>
                <w:szCs w:val="21"/>
                <w:u w:val="single"/>
                <w:lang w:val="en-US" w:eastAsia="zh-CN"/>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w:t>
            </w:r>
            <w:r>
              <w:rPr>
                <w:rFonts w:hint="eastAsia"/>
                <w:b/>
                <w:bCs/>
                <w:color w:val="FF0000"/>
                <w:sz w:val="22"/>
                <w:szCs w:val="28"/>
                <w:lang w:val="en-US" w:eastAsia="zh-CN"/>
              </w:rPr>
              <w:t>≥</w:t>
            </w:r>
            <w:r>
              <w:rPr>
                <w:rFonts w:hint="eastAsia"/>
                <w:b/>
                <w:bCs/>
                <w:color w:val="FF0000"/>
                <w:lang w:val="en-US" w:eastAsia="zh-CN"/>
              </w:rPr>
              <w:t>3年）</w:t>
            </w:r>
            <w:r>
              <w:rPr>
                <w:rFonts w:hint="eastAsia" w:asciiTheme="minorEastAsia" w:hAnsiTheme="minorEastAsia" w:eastAsiaTheme="minorEastAsia"/>
                <w:bCs/>
                <w:szCs w:val="21"/>
              </w:rPr>
              <w:t>，终身维修。质保期内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次并留存维护记录。质保期内免费更换零配件、免工时费。</w:t>
            </w:r>
          </w:p>
          <w:p w14:paraId="4CDCE6F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w:t>
            </w:r>
            <w:r>
              <w:rPr>
                <w:rFonts w:hint="eastAsia" w:asciiTheme="minorEastAsia" w:hAnsiTheme="minorEastAsia" w:eastAsiaTheme="minorEastAsia"/>
                <w:bCs/>
                <w:szCs w:val="21"/>
                <w:highlight w:val="yellow"/>
              </w:rPr>
              <w:t xml:space="preserve"> </w:t>
            </w:r>
            <w:r>
              <w:rPr>
                <w:rFonts w:hint="eastAsia" w:asciiTheme="minorEastAsia" w:hAnsiTheme="minorEastAsia" w:eastAsiaTheme="minorEastAsia"/>
                <w:bCs/>
                <w:szCs w:val="21"/>
              </w:rPr>
              <w:t xml:space="preserve">     4小时内响应，24 小时维修到位（不可抗力情况除外）。消耗品和零配件供应及时，质保期</w:t>
            </w:r>
            <w:r>
              <w:rPr>
                <w:rFonts w:asciiTheme="minorEastAsia" w:hAnsiTheme="minorEastAsia" w:eastAsiaTheme="minorEastAsia"/>
                <w:bCs/>
                <w:szCs w:val="21"/>
              </w:rPr>
              <w:t>内及外设备出现故障不能正常使用，中标</w:t>
            </w:r>
            <w:r>
              <w:rPr>
                <w:rFonts w:hint="eastAsia" w:asciiTheme="minorEastAsia" w:hAnsiTheme="minorEastAsia" w:eastAsiaTheme="minorEastAsia"/>
                <w:bCs/>
                <w:szCs w:val="21"/>
              </w:rPr>
              <w:t>人</w:t>
            </w:r>
            <w:r>
              <w:rPr>
                <w:rFonts w:asciiTheme="minorEastAsia" w:hAnsiTheme="minorEastAsia" w:eastAsiaTheme="minorEastAsia"/>
                <w:bCs/>
                <w:szCs w:val="21"/>
              </w:rPr>
              <w:t>应免费提供备用机给采购人使用直至设备修复完好投入使用。</w:t>
            </w:r>
          </w:p>
          <w:p w14:paraId="40FC3FB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设备使用期间中标人每季度至少回访采购方使用科室一次并对设备进行维护并留存维护记录。</w:t>
            </w:r>
          </w:p>
          <w:p w14:paraId="25791B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终身免费提供软件升级服务,并免费开放设备接口，无偿派人配合与医院各信息系统的连接工作(包括院内各信息系统接口费与二次开发费)，直至该设备与医院信息系统可进行完整的数据交换；在设备保修期内，当医院信息系统变更并需要与该设备连接时，需无偿派人配合直至该设备与医院信息系统可进行完整的数据交换。</w:t>
            </w:r>
          </w:p>
          <w:p w14:paraId="7453F79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FD8BE68">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7.6</w:t>
            </w:r>
            <w:r>
              <w:rPr>
                <w:rFonts w:hint="eastAsia"/>
                <w:color w:val="0000FF"/>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C11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Pr>
          <w:p w14:paraId="0C5E291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72" w:type="dxa"/>
            <w:gridSpan w:val="2"/>
          </w:tcPr>
          <w:p w14:paraId="36B6DDC2">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D55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Pr>
          <w:p w14:paraId="4FDAF95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72" w:type="dxa"/>
            <w:gridSpan w:val="2"/>
          </w:tcPr>
          <w:p w14:paraId="224CEB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1D8820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FC4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54" w:type="dxa"/>
            <w:gridSpan w:val="2"/>
            <w:tcBorders>
              <w:bottom w:val="single" w:color="auto" w:sz="4" w:space="0"/>
            </w:tcBorders>
          </w:tcPr>
          <w:p w14:paraId="43F77A6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72" w:type="dxa"/>
            <w:gridSpan w:val="2"/>
            <w:tcBorders>
              <w:bottom w:val="single" w:color="auto" w:sz="4" w:space="0"/>
            </w:tcBorders>
          </w:tcPr>
          <w:p w14:paraId="0FED250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EB5D75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587C618">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7BB3C22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p w14:paraId="1688AFE9">
            <w:pPr>
              <w:widowControl w:val="0"/>
              <w:numPr>
                <w:ilvl w:val="0"/>
                <w:numId w:val="0"/>
              </w:numPr>
              <w:tabs>
                <w:tab w:val="left" w:pos="312"/>
              </w:tabs>
              <w:ind w:firstLine="420" w:firstLineChars="200"/>
              <w:jc w:val="both"/>
              <w:rPr>
                <w:rFonts w:hint="eastAsia" w:asciiTheme="minorEastAsia" w:hAnsiTheme="minorEastAsia" w:eastAsiaTheme="minorEastAsia"/>
                <w:bCs/>
                <w:szCs w:val="21"/>
              </w:rPr>
            </w:pPr>
            <w:bookmarkStart w:id="0" w:name="_GoBack"/>
            <w:bookmarkEnd w:id="0"/>
            <w:r>
              <w:rPr>
                <w:rFonts w:hint="eastAsia" w:asciiTheme="minorEastAsia" w:hAnsiTheme="minorEastAsia" w:eastAsiaTheme="minorEastAsia"/>
                <w:bCs/>
                <w:color w:val="FF0000"/>
                <w:szCs w:val="21"/>
                <w:highlight w:val="yellow"/>
              </w:rPr>
              <w:t>10.</w:t>
            </w:r>
            <w:r>
              <w:rPr>
                <w:rFonts w:hint="eastAsia" w:asciiTheme="minorEastAsia" w:hAnsiTheme="minorEastAsia" w:eastAsiaTheme="minorEastAsia"/>
                <w:bCs/>
                <w:color w:val="FF0000"/>
                <w:szCs w:val="21"/>
                <w:highlight w:val="yellow"/>
                <w:lang w:val="en-US" w:eastAsia="zh-CN"/>
              </w:rPr>
              <w:t>5</w:t>
            </w:r>
            <w:r>
              <w:rPr>
                <w:rFonts w:hint="eastAsia" w:asciiTheme="minorEastAsia" w:hAnsiTheme="minorEastAsia" w:eastAsiaTheme="minorEastAsia"/>
                <w:bCs/>
                <w:color w:val="FF0000"/>
                <w:szCs w:val="21"/>
                <w:highlight w:val="yellow"/>
              </w:rPr>
              <w:t>中标人须全程配合财政评审部门开展现场核查、资料核验、答疑澄清等各项评审工作。凡因中标人资料缺失、逾期报送资料或拒不配合评审工作，造成评审进度延误、影响资金正常支付的，由此产生的全部责任及不利后果，均由中标人自行承担。</w:t>
            </w:r>
          </w:p>
        </w:tc>
      </w:tr>
    </w:tbl>
    <w:p w14:paraId="0D2EAE43">
      <w:pPr>
        <w:spacing w:line="360" w:lineRule="auto"/>
        <w:ind w:firstLine="150" w:firstLineChars="100"/>
        <w:rPr>
          <w:rFonts w:cs="方正小标宋简体" w:asciiTheme="majorEastAsia" w:hAnsiTheme="majorEastAsia" w:eastAsiaTheme="majorEastAsia"/>
          <w:sz w:val="15"/>
          <w:szCs w:val="15"/>
        </w:rPr>
      </w:pPr>
    </w:p>
    <w:p w14:paraId="12B2B91A">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7A3F19B">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AB1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07BF5970">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08D721C7">
            <w:pPr>
              <w:spacing w:line="276" w:lineRule="auto"/>
              <w:rPr>
                <w:rFonts w:asciiTheme="majorEastAsia" w:hAnsiTheme="majorEastAsia" w:eastAsiaTheme="majorEastAsia"/>
                <w:b/>
                <w:sz w:val="24"/>
                <w:szCs w:val="21"/>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有</w:t>
            </w:r>
            <w:r>
              <w:rPr>
                <w:rFonts w:hint="eastAsia" w:asciiTheme="majorEastAsia" w:hAnsiTheme="majorEastAsia" w:eastAsiaTheme="majorEastAsia"/>
                <w:b/>
                <w:sz w:val="24"/>
                <w:szCs w:val="21"/>
                <w:lang w:eastAsia="zh-CN"/>
              </w:rPr>
              <w:t>配套耗材</w:t>
            </w:r>
            <w:r>
              <w:rPr>
                <w:rFonts w:hint="eastAsia" w:asciiTheme="majorEastAsia" w:hAnsiTheme="majorEastAsia" w:eastAsiaTheme="majorEastAsia"/>
                <w:b/>
                <w:sz w:val="24"/>
                <w:szCs w:val="21"/>
              </w:rPr>
              <w:t>（是否专机专用：</w:t>
            </w:r>
            <w:r>
              <w:rPr>
                <w:rFonts w:hint="eastAsia" w:ascii="MS Mincho" w:hAnsi="MS Mincho" w:eastAsia="MS Mincho" w:cs="MS Mincho"/>
                <w:b/>
                <w:sz w:val="24"/>
                <w:szCs w:val="21"/>
              </w:rPr>
              <w:t>☑</w:t>
            </w:r>
            <w:r>
              <w:rPr>
                <w:rFonts w:hint="eastAsia" w:asciiTheme="majorEastAsia" w:hAnsiTheme="majorEastAsia" w:eastAsiaTheme="majorEastAsia"/>
                <w:b/>
                <w:sz w:val="24"/>
                <w:szCs w:val="21"/>
              </w:rPr>
              <w:t>是 □否）（具体列明）：</w:t>
            </w:r>
          </w:p>
          <w:p w14:paraId="6131279A">
            <w:pPr>
              <w:spacing w:line="276" w:lineRule="auto"/>
              <w:rPr>
                <w:rFonts w:asciiTheme="majorEastAsia" w:hAnsiTheme="majorEastAsia" w:eastAsiaTheme="majorEastAsia"/>
                <w:b/>
                <w:sz w:val="24"/>
                <w:szCs w:val="21"/>
                <w:u w:val="single"/>
              </w:rPr>
            </w:pPr>
            <w:r>
              <w:rPr>
                <w:rFonts w:hint="eastAsia" w:asciiTheme="majorEastAsia" w:hAnsiTheme="majorEastAsia" w:eastAsiaTheme="majorEastAsia"/>
                <w:b/>
                <w:sz w:val="24"/>
                <w:szCs w:val="21"/>
                <w:u w:val="single"/>
              </w:rPr>
              <w:t>_理疗电极片_____________________</w:t>
            </w:r>
          </w:p>
          <w:p w14:paraId="4D890774">
            <w:pPr>
              <w:pStyle w:val="14"/>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3A54EB2F">
            <w:pPr>
              <w:pStyle w:val="14"/>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是否需要新准入：</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27B57BA9">
            <w:pPr>
              <w:spacing w:line="276" w:lineRule="auto"/>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rPr>
              <w:t>□无</w:t>
            </w:r>
            <w:r>
              <w:rPr>
                <w:rFonts w:hint="eastAsia" w:asciiTheme="majorEastAsia" w:hAnsiTheme="majorEastAsia" w:eastAsiaTheme="majorEastAsia"/>
                <w:b/>
                <w:sz w:val="24"/>
                <w:szCs w:val="21"/>
                <w:lang w:eastAsia="zh-CN"/>
              </w:rPr>
              <w:t>配套耗材</w:t>
            </w:r>
            <w:r>
              <w:rPr>
                <w:rFonts w:hint="eastAsia" w:asciiTheme="majorEastAsia" w:hAnsiTheme="majorEastAsia" w:eastAsiaTheme="majorEastAsia"/>
                <w:b/>
                <w:sz w:val="24"/>
                <w:szCs w:val="21"/>
              </w:rPr>
              <w:t xml:space="preserve">   </w:t>
            </w:r>
          </w:p>
        </w:tc>
      </w:tr>
      <w:tr w14:paraId="5306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0D875B9E">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43C854A9">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□否）（具体列明）：______________________</w:t>
            </w:r>
          </w:p>
          <w:p w14:paraId="4D523E33">
            <w:pPr>
              <w:spacing w:line="276" w:lineRule="auto"/>
              <w:rPr>
                <w:rFonts w:asciiTheme="majorEastAsia" w:hAnsiTheme="majorEastAsia" w:eastAsiaTheme="majorEastAsia"/>
                <w:b/>
                <w:sz w:val="24"/>
                <w:szCs w:val="21"/>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 xml:space="preserve">无   </w:t>
            </w:r>
          </w:p>
        </w:tc>
      </w:tr>
      <w:tr w14:paraId="76DB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48910074">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42CA2228">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B36796B">
            <w:pPr>
              <w:spacing w:line="276" w:lineRule="auto"/>
              <w:rPr>
                <w:rFonts w:asciiTheme="majorEastAsia" w:hAnsiTheme="majorEastAsia" w:eastAsiaTheme="majorEastAsia"/>
                <w:b/>
                <w:sz w:val="24"/>
                <w:szCs w:val="21"/>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 xml:space="preserve">无   </w:t>
            </w:r>
          </w:p>
        </w:tc>
      </w:tr>
      <w:tr w14:paraId="67D1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58ED847D">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7AE4D868">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3B30DB34">
            <w:pPr>
              <w:spacing w:line="276" w:lineRule="auto"/>
              <w:rPr>
                <w:rFonts w:asciiTheme="majorEastAsia" w:hAnsiTheme="majorEastAsia" w:eastAsiaTheme="majorEastAsia"/>
                <w:b/>
                <w:sz w:val="24"/>
                <w:szCs w:val="21"/>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 xml:space="preserve">无   </w:t>
            </w:r>
          </w:p>
        </w:tc>
      </w:tr>
      <w:tr w14:paraId="7F97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14645C70">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5A575315">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2F78663">
            <w:pPr>
              <w:spacing w:line="276" w:lineRule="auto"/>
              <w:rPr>
                <w:rFonts w:asciiTheme="majorEastAsia" w:hAnsiTheme="majorEastAsia" w:eastAsiaTheme="majorEastAsia"/>
                <w:b/>
                <w:sz w:val="24"/>
                <w:szCs w:val="21"/>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否</w:t>
            </w:r>
          </w:p>
        </w:tc>
      </w:tr>
      <w:tr w14:paraId="4BF2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vAlign w:val="center"/>
          </w:tcPr>
          <w:p w14:paraId="6B356869">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383FF0B1">
            <w:pPr>
              <w:spacing w:line="276" w:lineRule="auto"/>
              <w:rPr>
                <w:rFonts w:ascii="宋体" w:hAnsi="宋体" w:cs="宋体"/>
                <w:bCs/>
                <w:color w:val="000000"/>
                <w:szCs w:val="21"/>
              </w:rPr>
            </w:pPr>
            <w:r>
              <w:rPr>
                <w:rFonts w:hint="eastAsia" w:ascii="宋体" w:hAnsi="宋体" w:cs="宋体"/>
                <w:bCs/>
                <w:color w:val="000000"/>
                <w:szCs w:val="21"/>
              </w:rPr>
              <w:t>6年</w:t>
            </w:r>
          </w:p>
        </w:tc>
      </w:tr>
    </w:tbl>
    <w:p w14:paraId="1A601C89">
      <w:pPr>
        <w:spacing w:line="540" w:lineRule="exact"/>
        <w:ind w:left="400"/>
        <w:jc w:val="center"/>
        <w:rPr>
          <w:rFonts w:cs="方正小标宋简体" w:asciiTheme="majorEastAsia" w:hAnsiTheme="majorEastAsia" w:eastAsiaTheme="majorEastAsia"/>
          <w:sz w:val="36"/>
          <w:szCs w:val="36"/>
        </w:rPr>
      </w:pPr>
    </w:p>
    <w:p w14:paraId="74BA780E">
      <w:pPr>
        <w:spacing w:line="360" w:lineRule="auto"/>
        <w:ind w:left="400"/>
        <w:jc w:val="center"/>
        <w:rPr>
          <w:rFonts w:cs="方正小标宋简体" w:asciiTheme="majorEastAsia" w:hAnsiTheme="majorEastAsia" w:eastAsiaTheme="majorEastAsia"/>
          <w:sz w:val="36"/>
          <w:szCs w:val="36"/>
        </w:rPr>
      </w:pPr>
      <w:r>
        <w:rPr>
          <w:rFonts w:hint="eastAsia" w:cs="方正小标宋简体" w:asciiTheme="majorEastAsia" w:hAnsiTheme="majorEastAsia" w:eastAsiaTheme="majorEastAsia"/>
          <w:b/>
          <w:sz w:val="36"/>
          <w:szCs w:val="36"/>
        </w:rPr>
        <w:t>第四部分 零配件、消耗品和延续保修合同报价明细清单</w:t>
      </w:r>
    </w:p>
    <w:p w14:paraId="102D8B0A">
      <w:pPr>
        <w:adjustRightInd w:val="0"/>
        <w:snapToGrid w:val="0"/>
        <w:spacing w:line="360" w:lineRule="auto"/>
        <w:jc w:val="center"/>
        <w:rPr>
          <w:rFonts w:asciiTheme="majorEastAsia" w:hAnsiTheme="majorEastAsia" w:eastAsiaTheme="majorEastAsia"/>
          <w:bCs/>
          <w:sz w:val="28"/>
        </w:rPr>
      </w:pPr>
      <w:r>
        <w:rPr>
          <w:rFonts w:hint="eastAsia" w:asciiTheme="majorEastAsia" w:hAnsiTheme="majorEastAsia" w:eastAsiaTheme="majorEastAsia"/>
          <w:bCs/>
          <w:sz w:val="28"/>
        </w:rPr>
        <w:t>（该部分报价不包括在预算总价内）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71"/>
        <w:gridCol w:w="1737"/>
        <w:gridCol w:w="1737"/>
        <w:gridCol w:w="1737"/>
        <w:gridCol w:w="1737"/>
      </w:tblGrid>
      <w:tr w14:paraId="6589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01" w:type="dxa"/>
            <w:vAlign w:val="center"/>
          </w:tcPr>
          <w:p w14:paraId="464ADCF0">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2BC378BE">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56782DF0">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111399CB">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11F3C646">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5580944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442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01" w:type="dxa"/>
          </w:tcPr>
          <w:p w14:paraId="7E240EA0">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5F63100B">
            <w:pPr>
              <w:widowControl/>
              <w:jc w:val="center"/>
              <w:rPr>
                <w:rFonts w:cs="方正小标宋简体" w:asciiTheme="majorEastAsia" w:hAnsiTheme="majorEastAsia" w:eastAsiaTheme="majorEastAsia"/>
                <w:sz w:val="24"/>
              </w:rPr>
            </w:pPr>
          </w:p>
        </w:tc>
        <w:tc>
          <w:tcPr>
            <w:tcW w:w="1737" w:type="dxa"/>
          </w:tcPr>
          <w:p w14:paraId="0961A811">
            <w:pPr>
              <w:widowControl/>
              <w:jc w:val="center"/>
              <w:rPr>
                <w:rFonts w:cs="方正小标宋简体" w:asciiTheme="majorEastAsia" w:hAnsiTheme="majorEastAsia" w:eastAsiaTheme="majorEastAsia"/>
                <w:sz w:val="24"/>
              </w:rPr>
            </w:pPr>
          </w:p>
        </w:tc>
        <w:tc>
          <w:tcPr>
            <w:tcW w:w="1737" w:type="dxa"/>
          </w:tcPr>
          <w:p w14:paraId="5F769897">
            <w:pPr>
              <w:widowControl/>
              <w:jc w:val="center"/>
              <w:rPr>
                <w:rFonts w:cs="方正小标宋简体" w:asciiTheme="majorEastAsia" w:hAnsiTheme="majorEastAsia" w:eastAsiaTheme="majorEastAsia"/>
                <w:sz w:val="24"/>
              </w:rPr>
            </w:pPr>
          </w:p>
        </w:tc>
        <w:tc>
          <w:tcPr>
            <w:tcW w:w="1737" w:type="dxa"/>
          </w:tcPr>
          <w:p w14:paraId="76199383">
            <w:pPr>
              <w:widowControl/>
              <w:jc w:val="center"/>
              <w:rPr>
                <w:rFonts w:cs="方正小标宋简体" w:asciiTheme="majorEastAsia" w:hAnsiTheme="majorEastAsia" w:eastAsiaTheme="majorEastAsia"/>
                <w:sz w:val="24"/>
              </w:rPr>
            </w:pPr>
          </w:p>
        </w:tc>
        <w:tc>
          <w:tcPr>
            <w:tcW w:w="1737" w:type="dxa"/>
          </w:tcPr>
          <w:p w14:paraId="3F80A919">
            <w:pPr>
              <w:widowControl/>
              <w:jc w:val="center"/>
              <w:rPr>
                <w:rFonts w:cs="方正小标宋简体" w:asciiTheme="majorEastAsia" w:hAnsiTheme="majorEastAsia" w:eastAsiaTheme="majorEastAsia"/>
                <w:sz w:val="24"/>
              </w:rPr>
            </w:pPr>
          </w:p>
        </w:tc>
      </w:tr>
    </w:tbl>
    <w:p w14:paraId="709AB2C9">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5AF4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101" w:type="dxa"/>
            <w:vAlign w:val="center"/>
          </w:tcPr>
          <w:p w14:paraId="4E80CE5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80A04CF">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2A19A54">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7F4DBF19">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1181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01" w:type="dxa"/>
            <w:vAlign w:val="center"/>
          </w:tcPr>
          <w:p w14:paraId="384CD5A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tcPr>
          <w:p w14:paraId="748C476C">
            <w:pPr>
              <w:widowControl/>
              <w:jc w:val="center"/>
              <w:rPr>
                <w:rFonts w:cs="方正小标宋简体" w:asciiTheme="majorEastAsia" w:hAnsiTheme="majorEastAsia" w:eastAsiaTheme="majorEastAsia"/>
                <w:sz w:val="24"/>
              </w:rPr>
            </w:pPr>
          </w:p>
        </w:tc>
        <w:tc>
          <w:tcPr>
            <w:tcW w:w="2605" w:type="dxa"/>
          </w:tcPr>
          <w:p w14:paraId="7FD6E160">
            <w:pPr>
              <w:widowControl/>
              <w:jc w:val="center"/>
              <w:rPr>
                <w:rFonts w:cs="方正小标宋简体" w:asciiTheme="majorEastAsia" w:hAnsiTheme="majorEastAsia" w:eastAsiaTheme="majorEastAsia"/>
                <w:sz w:val="24"/>
              </w:rPr>
            </w:pPr>
          </w:p>
        </w:tc>
        <w:tc>
          <w:tcPr>
            <w:tcW w:w="2605" w:type="dxa"/>
            <w:vAlign w:val="center"/>
          </w:tcPr>
          <w:p w14:paraId="13728543">
            <w:pPr>
              <w:widowControl/>
              <w:jc w:val="center"/>
              <w:rPr>
                <w:rFonts w:cs="方正小标宋简体" w:asciiTheme="majorEastAsia" w:hAnsiTheme="majorEastAsia" w:eastAsiaTheme="majorEastAsia"/>
                <w:sz w:val="24"/>
              </w:rPr>
            </w:pPr>
          </w:p>
        </w:tc>
      </w:tr>
    </w:tbl>
    <w:p w14:paraId="42B18A9B">
      <w:pPr>
        <w:adjustRightInd w:val="0"/>
        <w:snapToGrid w:val="0"/>
        <w:spacing w:line="300" w:lineRule="auto"/>
        <w:ind w:firstLine="285" w:firstLineChars="135"/>
        <w:jc w:val="left"/>
        <w:rPr>
          <w:rFonts w:cs="方正小标宋简体" w:asciiTheme="majorEastAsia" w:hAnsiTheme="majorEastAsia" w:eastAsiaTheme="majorEastAsia"/>
          <w:sz w:val="36"/>
          <w:szCs w:val="36"/>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项零配件、消耗品和延续保修合同的明细需填写于此表。</w:t>
      </w:r>
    </w:p>
    <w:sectPr>
      <w:footerReference r:id="rId3" w:type="default"/>
      <w:pgSz w:w="11906" w:h="16838"/>
      <w:pgMar w:top="1077" w:right="851" w:bottom="107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394526"/>
    </w:sdtPr>
    <w:sdtContent>
      <w:p w14:paraId="09D3B963">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2B08309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Zjc3ZDYwNjg5ZTc3MWRkM2RiN2NmYmIyMDA3NGQifQ=="/>
  </w:docVars>
  <w:rsids>
    <w:rsidRoot w:val="00F81403"/>
    <w:rsid w:val="00014A66"/>
    <w:rsid w:val="000170C1"/>
    <w:rsid w:val="00022431"/>
    <w:rsid w:val="00027A10"/>
    <w:rsid w:val="00047765"/>
    <w:rsid w:val="00056650"/>
    <w:rsid w:val="00094BE5"/>
    <w:rsid w:val="000D332B"/>
    <w:rsid w:val="000D528A"/>
    <w:rsid w:val="00117159"/>
    <w:rsid w:val="00122AB5"/>
    <w:rsid w:val="00141F0D"/>
    <w:rsid w:val="00147AA8"/>
    <w:rsid w:val="00147DE0"/>
    <w:rsid w:val="00166A9A"/>
    <w:rsid w:val="001B4555"/>
    <w:rsid w:val="001C4A0D"/>
    <w:rsid w:val="001F5D4E"/>
    <w:rsid w:val="00201CE8"/>
    <w:rsid w:val="00213A4E"/>
    <w:rsid w:val="00214240"/>
    <w:rsid w:val="00216DBD"/>
    <w:rsid w:val="002243DF"/>
    <w:rsid w:val="0024191C"/>
    <w:rsid w:val="002832C1"/>
    <w:rsid w:val="002850D0"/>
    <w:rsid w:val="0029701C"/>
    <w:rsid w:val="00297C31"/>
    <w:rsid w:val="002B3785"/>
    <w:rsid w:val="00312CD2"/>
    <w:rsid w:val="003148AA"/>
    <w:rsid w:val="00326BC1"/>
    <w:rsid w:val="00334AA0"/>
    <w:rsid w:val="00352B55"/>
    <w:rsid w:val="00353FC0"/>
    <w:rsid w:val="003930E9"/>
    <w:rsid w:val="003942D3"/>
    <w:rsid w:val="003A03BB"/>
    <w:rsid w:val="003B6DFD"/>
    <w:rsid w:val="003D442D"/>
    <w:rsid w:val="003D4C77"/>
    <w:rsid w:val="00423853"/>
    <w:rsid w:val="00497BF4"/>
    <w:rsid w:val="004B1081"/>
    <w:rsid w:val="004B3240"/>
    <w:rsid w:val="004B3CFF"/>
    <w:rsid w:val="004E67E5"/>
    <w:rsid w:val="00523CD5"/>
    <w:rsid w:val="0053721B"/>
    <w:rsid w:val="00542363"/>
    <w:rsid w:val="0055112D"/>
    <w:rsid w:val="00553925"/>
    <w:rsid w:val="005666F4"/>
    <w:rsid w:val="005675B0"/>
    <w:rsid w:val="005772ED"/>
    <w:rsid w:val="00597CA2"/>
    <w:rsid w:val="005C211C"/>
    <w:rsid w:val="005C57CC"/>
    <w:rsid w:val="00603257"/>
    <w:rsid w:val="006231CE"/>
    <w:rsid w:val="00662021"/>
    <w:rsid w:val="006710A2"/>
    <w:rsid w:val="00677CB7"/>
    <w:rsid w:val="006B3F9B"/>
    <w:rsid w:val="006C7CF0"/>
    <w:rsid w:val="007130B5"/>
    <w:rsid w:val="00716C4F"/>
    <w:rsid w:val="00740692"/>
    <w:rsid w:val="007433B9"/>
    <w:rsid w:val="00750A3D"/>
    <w:rsid w:val="007554DF"/>
    <w:rsid w:val="007772AF"/>
    <w:rsid w:val="00793785"/>
    <w:rsid w:val="007A0C07"/>
    <w:rsid w:val="007A2E18"/>
    <w:rsid w:val="007B1DF4"/>
    <w:rsid w:val="007B637B"/>
    <w:rsid w:val="007C4096"/>
    <w:rsid w:val="007D196F"/>
    <w:rsid w:val="007D65D9"/>
    <w:rsid w:val="0080050C"/>
    <w:rsid w:val="0081406F"/>
    <w:rsid w:val="00820E08"/>
    <w:rsid w:val="00836715"/>
    <w:rsid w:val="00865E28"/>
    <w:rsid w:val="00871F5E"/>
    <w:rsid w:val="00872D2F"/>
    <w:rsid w:val="00874934"/>
    <w:rsid w:val="00876B02"/>
    <w:rsid w:val="00892E0D"/>
    <w:rsid w:val="008964A3"/>
    <w:rsid w:val="008B74EE"/>
    <w:rsid w:val="008C28A8"/>
    <w:rsid w:val="008D2C79"/>
    <w:rsid w:val="008D3E82"/>
    <w:rsid w:val="008E78E8"/>
    <w:rsid w:val="0090107D"/>
    <w:rsid w:val="00904FED"/>
    <w:rsid w:val="009122AA"/>
    <w:rsid w:val="00930B23"/>
    <w:rsid w:val="009376BC"/>
    <w:rsid w:val="00937D3D"/>
    <w:rsid w:val="00953822"/>
    <w:rsid w:val="00972C2D"/>
    <w:rsid w:val="009764EB"/>
    <w:rsid w:val="009874C1"/>
    <w:rsid w:val="009908D7"/>
    <w:rsid w:val="00A043A8"/>
    <w:rsid w:val="00A0782D"/>
    <w:rsid w:val="00A619BE"/>
    <w:rsid w:val="00A878CB"/>
    <w:rsid w:val="00AA4B4A"/>
    <w:rsid w:val="00AB2610"/>
    <w:rsid w:val="00B01564"/>
    <w:rsid w:val="00B06C01"/>
    <w:rsid w:val="00B21F51"/>
    <w:rsid w:val="00BC5AE8"/>
    <w:rsid w:val="00BC602C"/>
    <w:rsid w:val="00BD08AF"/>
    <w:rsid w:val="00C03950"/>
    <w:rsid w:val="00C13828"/>
    <w:rsid w:val="00C17D7F"/>
    <w:rsid w:val="00C22DBC"/>
    <w:rsid w:val="00C32BEC"/>
    <w:rsid w:val="00C35949"/>
    <w:rsid w:val="00C52EBE"/>
    <w:rsid w:val="00C77FD8"/>
    <w:rsid w:val="00CF6976"/>
    <w:rsid w:val="00D25077"/>
    <w:rsid w:val="00D5343F"/>
    <w:rsid w:val="00D82F29"/>
    <w:rsid w:val="00D976F6"/>
    <w:rsid w:val="00DB1E59"/>
    <w:rsid w:val="00DB528F"/>
    <w:rsid w:val="00E00911"/>
    <w:rsid w:val="00E0577D"/>
    <w:rsid w:val="00E93F8F"/>
    <w:rsid w:val="00F0149B"/>
    <w:rsid w:val="00F07294"/>
    <w:rsid w:val="00F23DB0"/>
    <w:rsid w:val="00F464BC"/>
    <w:rsid w:val="00F4686F"/>
    <w:rsid w:val="00F60CB5"/>
    <w:rsid w:val="00F65BCF"/>
    <w:rsid w:val="00F6788A"/>
    <w:rsid w:val="00F81403"/>
    <w:rsid w:val="00F83533"/>
    <w:rsid w:val="00F85D0C"/>
    <w:rsid w:val="00F906F0"/>
    <w:rsid w:val="00FC40CA"/>
    <w:rsid w:val="00FD0656"/>
    <w:rsid w:val="00FD23ED"/>
    <w:rsid w:val="00FF30DB"/>
    <w:rsid w:val="04AD3DAA"/>
    <w:rsid w:val="056C1664"/>
    <w:rsid w:val="0611217C"/>
    <w:rsid w:val="07AE3385"/>
    <w:rsid w:val="0D84136D"/>
    <w:rsid w:val="0E981627"/>
    <w:rsid w:val="0F5147B6"/>
    <w:rsid w:val="0F8E7447"/>
    <w:rsid w:val="119B6051"/>
    <w:rsid w:val="12A25084"/>
    <w:rsid w:val="13053004"/>
    <w:rsid w:val="142B2292"/>
    <w:rsid w:val="15FB47D0"/>
    <w:rsid w:val="161812A0"/>
    <w:rsid w:val="19A66D0D"/>
    <w:rsid w:val="1A385FE8"/>
    <w:rsid w:val="1AD973C9"/>
    <w:rsid w:val="1E12700E"/>
    <w:rsid w:val="1E215267"/>
    <w:rsid w:val="1F3D7126"/>
    <w:rsid w:val="21971856"/>
    <w:rsid w:val="22E10C1D"/>
    <w:rsid w:val="249266C1"/>
    <w:rsid w:val="25C7728B"/>
    <w:rsid w:val="26720558"/>
    <w:rsid w:val="2B252436"/>
    <w:rsid w:val="2B6F5BFC"/>
    <w:rsid w:val="2BFE67DF"/>
    <w:rsid w:val="356F70A2"/>
    <w:rsid w:val="359B56E2"/>
    <w:rsid w:val="366D6BB6"/>
    <w:rsid w:val="3A005E6D"/>
    <w:rsid w:val="3EB2662C"/>
    <w:rsid w:val="402B73B7"/>
    <w:rsid w:val="407F1D0B"/>
    <w:rsid w:val="42D71A17"/>
    <w:rsid w:val="445F60B6"/>
    <w:rsid w:val="468C0D6B"/>
    <w:rsid w:val="4E280CF3"/>
    <w:rsid w:val="50F639B0"/>
    <w:rsid w:val="519D02AF"/>
    <w:rsid w:val="54CA7F55"/>
    <w:rsid w:val="54FB77E7"/>
    <w:rsid w:val="566D4594"/>
    <w:rsid w:val="58242AE0"/>
    <w:rsid w:val="58AB396B"/>
    <w:rsid w:val="5BDE3A84"/>
    <w:rsid w:val="5C483C8E"/>
    <w:rsid w:val="61C01A66"/>
    <w:rsid w:val="635C3B47"/>
    <w:rsid w:val="663B31C1"/>
    <w:rsid w:val="66AC0259"/>
    <w:rsid w:val="67A82987"/>
    <w:rsid w:val="694A319C"/>
    <w:rsid w:val="6AFD60D5"/>
    <w:rsid w:val="6B7F3DF9"/>
    <w:rsid w:val="6D123F31"/>
    <w:rsid w:val="6F633413"/>
    <w:rsid w:val="6F9E571F"/>
    <w:rsid w:val="6FCE7B7A"/>
    <w:rsid w:val="73374A1C"/>
    <w:rsid w:val="738F7392"/>
    <w:rsid w:val="73FE47A6"/>
    <w:rsid w:val="746D18A8"/>
    <w:rsid w:val="75EF73CD"/>
    <w:rsid w:val="762C283F"/>
    <w:rsid w:val="767D5D1E"/>
    <w:rsid w:val="76E03ABB"/>
    <w:rsid w:val="77015C11"/>
    <w:rsid w:val="79111724"/>
    <w:rsid w:val="79842090"/>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paragraph" w:customStyle="1" w:styleId="14">
    <w:name w:val="表格文字"/>
    <w:basedOn w:val="1"/>
    <w:qFormat/>
    <w:uiPriority w:val="0"/>
    <w:pPr>
      <w:spacing w:before="25" w:after="25"/>
      <w:jc w:val="left"/>
    </w:pPr>
    <w:rPr>
      <w:bCs/>
      <w:spacing w:val="10"/>
      <w:kern w:val="0"/>
      <w:sz w:val="24"/>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1"/>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1">
    <w:name w:val="批注文字 Char"/>
    <w:basedOn w:val="11"/>
    <w:link w:val="2"/>
    <w:semiHidden/>
    <w:qFormat/>
    <w:uiPriority w:val="99"/>
    <w:rPr>
      <w:rFonts w:ascii="Times New Roman" w:hAnsi="Times New Roman" w:eastAsia="宋体" w:cs="Times New Roman"/>
      <w:kern w:val="2"/>
      <w:sz w:val="21"/>
      <w:szCs w:val="24"/>
    </w:rPr>
  </w:style>
  <w:style w:type="character" w:customStyle="1" w:styleId="22">
    <w:name w:val="批注主题 Char"/>
    <w:basedOn w:val="21"/>
    <w:link w:val="8"/>
    <w:semiHidden/>
    <w:qFormat/>
    <w:uiPriority w:val="99"/>
    <w:rPr>
      <w:rFonts w:ascii="Times New Roman" w:hAnsi="Times New Roman" w:eastAsia="宋体" w:cs="Times New Roman"/>
      <w:b/>
      <w:bCs/>
      <w:kern w:val="2"/>
      <w:sz w:val="21"/>
      <w:szCs w:val="24"/>
    </w:rPr>
  </w:style>
  <w:style w:type="character" w:customStyle="1" w:styleId="23">
    <w:name w:val="正文文本 Char"/>
    <w:basedOn w:val="11"/>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7393A-262B-4328-B39A-10D4689C71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5419</Words>
  <Characters>5676</Characters>
  <Lines>44</Lines>
  <Paragraphs>12</Paragraphs>
  <TotalTime>0</TotalTime>
  <ScaleCrop>false</ScaleCrop>
  <LinksUpToDate>false</LinksUpToDate>
  <CharactersWithSpaces>5763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2023-09-04T06:57:00Z</dcterms:created>
  <dc:creator>陈蕾</dc:creator>
  <cp:lastModifiedBy>5J1</cp:lastModifiedBy>
  <dcterms:modified xsi:type="dcterms:W3CDTF">2026-04-09T01:00:15Z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41FE9BC267C541C9869B97FF5E7D7AC2_13</vt:lpwstr>
  </property>
  <property fmtid="{D5CDD505-2E9C-101B-9397-08002B2CF9AE}" pid="4" name="KSOTemplateDocerSaveRecord">
    <vt:lpwstr>eyJoZGlkIjoiZDI0NjZlNzU2NTJmNmJhY2FhMzg3MGIyZDZiY2MwYWQiLCJ1c2VySWQiOiI0MDk2MjcxNDUifQ==</vt:lpwstr>
  </property>
</Properties>
</file>