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9A69F">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E95E0C7">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A174FAA">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769FDC3">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94EDEFE">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E856146">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新生儿科</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cs="宋体"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426"/>
        <w:gridCol w:w="1417"/>
        <w:gridCol w:w="63"/>
        <w:gridCol w:w="707"/>
        <w:gridCol w:w="520"/>
        <w:gridCol w:w="269"/>
        <w:gridCol w:w="238"/>
        <w:gridCol w:w="896"/>
        <w:gridCol w:w="117"/>
        <w:gridCol w:w="1016"/>
        <w:gridCol w:w="1011"/>
        <w:gridCol w:w="406"/>
        <w:gridCol w:w="460"/>
        <w:gridCol w:w="1053"/>
      </w:tblGrid>
      <w:tr w14:paraId="51A7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gridSpan w:val="3"/>
            <w:vAlign w:val="center"/>
          </w:tcPr>
          <w:p w14:paraId="55CC3BBD">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4"/>
            <w:vAlign w:val="center"/>
          </w:tcPr>
          <w:p w14:paraId="068F0CF0">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vAlign w:val="center"/>
          </w:tcPr>
          <w:p w14:paraId="08A9FF28">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33" w:type="dxa"/>
            <w:gridSpan w:val="2"/>
            <w:vAlign w:val="center"/>
          </w:tcPr>
          <w:p w14:paraId="6833029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417" w:type="dxa"/>
            <w:gridSpan w:val="2"/>
            <w:vAlign w:val="center"/>
          </w:tcPr>
          <w:p w14:paraId="18F36B90">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513" w:type="dxa"/>
            <w:gridSpan w:val="2"/>
            <w:vAlign w:val="center"/>
          </w:tcPr>
          <w:p w14:paraId="3F091CCD">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54DA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3270" w:type="dxa"/>
            <w:gridSpan w:val="3"/>
            <w:vAlign w:val="center"/>
          </w:tcPr>
          <w:p w14:paraId="237E3E7E">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新生儿持续正压通气系统</w:t>
            </w:r>
          </w:p>
        </w:tc>
        <w:tc>
          <w:tcPr>
            <w:tcW w:w="1559" w:type="dxa"/>
            <w:gridSpan w:val="4"/>
            <w:vAlign w:val="center"/>
          </w:tcPr>
          <w:p w14:paraId="02D9CB3C">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国产</w:t>
            </w:r>
          </w:p>
        </w:tc>
        <w:tc>
          <w:tcPr>
            <w:tcW w:w="1134" w:type="dxa"/>
            <w:gridSpan w:val="2"/>
            <w:vAlign w:val="center"/>
          </w:tcPr>
          <w:p w14:paraId="5C5AE208">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6</w:t>
            </w:r>
          </w:p>
        </w:tc>
        <w:tc>
          <w:tcPr>
            <w:tcW w:w="1133" w:type="dxa"/>
            <w:gridSpan w:val="2"/>
            <w:vAlign w:val="center"/>
          </w:tcPr>
          <w:p w14:paraId="352D0641">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台</w:t>
            </w:r>
          </w:p>
        </w:tc>
        <w:tc>
          <w:tcPr>
            <w:tcW w:w="1417" w:type="dxa"/>
            <w:gridSpan w:val="2"/>
            <w:vAlign w:val="center"/>
          </w:tcPr>
          <w:p w14:paraId="5BABDB23">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2.8</w:t>
            </w:r>
          </w:p>
        </w:tc>
        <w:tc>
          <w:tcPr>
            <w:tcW w:w="1513" w:type="dxa"/>
            <w:gridSpan w:val="2"/>
            <w:vAlign w:val="center"/>
          </w:tcPr>
          <w:p w14:paraId="44EA7560">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16.8</w:t>
            </w:r>
          </w:p>
        </w:tc>
      </w:tr>
      <w:tr w14:paraId="6273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853" w:type="dxa"/>
            <w:gridSpan w:val="2"/>
            <w:vAlign w:val="center"/>
          </w:tcPr>
          <w:p w14:paraId="3FEC0C2E">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8173" w:type="dxa"/>
            <w:gridSpan w:val="13"/>
            <w:vAlign w:val="center"/>
          </w:tcPr>
          <w:p w14:paraId="3564A637">
            <w:pPr>
              <w:keepNext w:val="0"/>
              <w:keepLines w:val="0"/>
              <w:pageBreakBefore w:val="0"/>
              <w:widowControl/>
              <w:suppressLineNumbers w:val="0"/>
              <w:kinsoku/>
              <w:wordWrap/>
              <w:overflowPunct/>
              <w:topLinePunct w:val="0"/>
              <w:autoSpaceDE/>
              <w:autoSpaceDN/>
              <w:bidi w:val="0"/>
              <w:adjustRightInd/>
              <w:snapToGrid/>
              <w:spacing w:line="32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为满足我科对有自主呼吸的轻度呼吸困难新生儿进行呼吸治疗的需要，特申请采购具有气体加温、湿化、氧浓度调节、持续正压通气（CPAP）、低流量氧疗和高流量氧疗的新生儿持续正压通气系统。</w:t>
            </w:r>
          </w:p>
          <w:p w14:paraId="1AEF74C0">
            <w:pPr>
              <w:keepNext w:val="0"/>
              <w:keepLines w:val="0"/>
              <w:pageBreakBefore w:val="0"/>
              <w:kinsoku/>
              <w:wordWrap/>
              <w:overflowPunct/>
              <w:topLinePunct w:val="0"/>
              <w:autoSpaceDE/>
              <w:autoSpaceDN/>
              <w:bidi w:val="0"/>
              <w:adjustRightInd/>
              <w:snapToGrid/>
              <w:spacing w:line="320" w:lineRule="exact"/>
              <w:ind w:firstLine="480" w:firstLineChars="200"/>
              <w:jc w:val="left"/>
              <w:textAlignment w:val="auto"/>
              <w:rPr>
                <w:rFonts w:asciiTheme="majorEastAsia" w:hAnsiTheme="majorEastAsia" w:eastAsiaTheme="majorEastAsia"/>
                <w:sz w:val="24"/>
                <w:szCs w:val="21"/>
              </w:rPr>
            </w:pPr>
            <w:r>
              <w:rPr>
                <w:rFonts w:hint="eastAsia" w:ascii="宋体" w:hAnsi="宋体" w:eastAsia="宋体" w:cs="宋体"/>
                <w:b w:val="0"/>
                <w:bCs w:val="0"/>
                <w:sz w:val="24"/>
                <w:szCs w:val="21"/>
                <w:lang w:val="en-US" w:eastAsia="zh-CN"/>
              </w:rPr>
              <w:t>高流量呼吸湿化治疗仪（HF-80A）</w:t>
            </w:r>
            <w:r>
              <w:rPr>
                <w:rFonts w:hint="eastAsia" w:ascii="宋体" w:hAnsi="宋体" w:eastAsia="宋体" w:cs="宋体"/>
                <w:color w:val="000000"/>
                <w:kern w:val="0"/>
                <w:sz w:val="24"/>
                <w:szCs w:val="24"/>
                <w:lang w:val="en-US" w:eastAsia="zh-CN" w:bidi="ar"/>
              </w:rPr>
              <w:t>通过提供一定流量、加温加湿的呼吸气体，用于具有自主呼吸患儿的呼吸治疗。其主要功能如下：①具有</w:t>
            </w:r>
            <w:r>
              <w:rPr>
                <w:rFonts w:hint="eastAsia" w:ascii="宋体" w:hAnsi="宋体" w:eastAsia="宋体" w:cs="宋体"/>
                <w:sz w:val="24"/>
                <w:szCs w:val="24"/>
                <w:lang w:val="en-US" w:eastAsia="zh-CN"/>
              </w:rPr>
              <w:t>持续正压通气（CPAP）、低流量氧疗和高流量氧疗功能；</w:t>
            </w:r>
            <w:r>
              <w:rPr>
                <w:rFonts w:hint="eastAsia" w:ascii="宋体" w:hAnsi="宋体" w:eastAsia="宋体" w:cs="宋体"/>
                <w:color w:val="000000"/>
                <w:kern w:val="0"/>
                <w:sz w:val="24"/>
                <w:szCs w:val="24"/>
                <w:lang w:val="en-US" w:eastAsia="zh-CN" w:bidi="ar"/>
              </w:rPr>
              <w:t>②配备一体化加温湿化器，湿化档位支持0-7档调节；③温度传感器在患儿界面近端，温度监测更准确；④流量调节范围2-15L/min，流量步进为0.2L/min，可满足低流量、高流量氧疗的需要；⑤可实时监测流量、温度、氧浓度、SpO2、脉率(PR)、PI、呼吸频率、ROX指数、管道压力、氧源压力等；⑥电磁阀式自动控制氧浓度，无氧电池消耗；⑦具有控氧闭环功能，通过设定SpO2目标范围和氧浓度控制范围，可实现氧浓度自动调节以保证患者SpO2 在目标范围内。</w:t>
            </w:r>
          </w:p>
        </w:tc>
      </w:tr>
      <w:tr w14:paraId="7870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026" w:type="dxa"/>
            <w:gridSpan w:val="15"/>
            <w:vAlign w:val="center"/>
          </w:tcPr>
          <w:p w14:paraId="3C4DE220">
            <w:pPr>
              <w:spacing w:line="276" w:lineRule="auto"/>
              <w:rPr>
                <w:rFonts w:cs="宋体" w:asciiTheme="majorEastAsia" w:hAnsiTheme="majorEastAsia" w:eastAsiaTheme="majorEastAsia"/>
                <w:b/>
                <w:bCs/>
                <w:color w:val="000000"/>
                <w:sz w:val="32"/>
                <w:szCs w:val="21"/>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2A4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427" w:type="dxa"/>
            <w:vAlign w:val="center"/>
          </w:tcPr>
          <w:p w14:paraId="5341A7D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906" w:type="dxa"/>
            <w:gridSpan w:val="3"/>
            <w:vAlign w:val="center"/>
          </w:tcPr>
          <w:p w14:paraId="20BE9BE9">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07" w:type="dxa"/>
            <w:vAlign w:val="center"/>
          </w:tcPr>
          <w:p w14:paraId="31275117">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20" w:type="dxa"/>
            <w:vAlign w:val="center"/>
          </w:tcPr>
          <w:p w14:paraId="26D2BD91">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07" w:type="dxa"/>
            <w:gridSpan w:val="2"/>
            <w:vAlign w:val="center"/>
          </w:tcPr>
          <w:p w14:paraId="11F18AEB">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13" w:type="dxa"/>
            <w:gridSpan w:val="2"/>
            <w:vAlign w:val="center"/>
          </w:tcPr>
          <w:p w14:paraId="597C8846">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016" w:type="dxa"/>
            <w:vAlign w:val="center"/>
          </w:tcPr>
          <w:p w14:paraId="66BB4984">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011" w:type="dxa"/>
            <w:vAlign w:val="center"/>
          </w:tcPr>
          <w:p w14:paraId="5F464CD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866" w:type="dxa"/>
            <w:gridSpan w:val="2"/>
            <w:vAlign w:val="center"/>
          </w:tcPr>
          <w:p w14:paraId="6D385549">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是否属于消耗品</w:t>
            </w:r>
          </w:p>
        </w:tc>
        <w:tc>
          <w:tcPr>
            <w:tcW w:w="1053" w:type="dxa"/>
            <w:vAlign w:val="center"/>
          </w:tcPr>
          <w:p w14:paraId="65C7EB15">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是否需要单独报价</w:t>
            </w:r>
          </w:p>
        </w:tc>
      </w:tr>
      <w:tr w14:paraId="374D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27" w:type="dxa"/>
            <w:vAlign w:val="center"/>
          </w:tcPr>
          <w:p w14:paraId="467638DB">
            <w:pPr>
              <w:spacing w:line="276" w:lineRule="auto"/>
              <w:jc w:val="center"/>
              <w:rPr>
                <w:rFonts w:hint="eastAsia" w:asciiTheme="majorEastAsia" w:hAnsiTheme="majorEastAsia" w:eastAsiaTheme="majorEastAsia"/>
                <w:b/>
                <w:sz w:val="24"/>
                <w:szCs w:val="21"/>
              </w:rPr>
            </w:pPr>
          </w:p>
        </w:tc>
        <w:tc>
          <w:tcPr>
            <w:tcW w:w="2906" w:type="dxa"/>
            <w:gridSpan w:val="3"/>
            <w:shd w:val="clear" w:color="auto" w:fill="auto"/>
            <w:vAlign w:val="center"/>
          </w:tcPr>
          <w:p w14:paraId="1D22B6EC">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新生儿持续正压通气系统</w:t>
            </w:r>
          </w:p>
        </w:tc>
        <w:tc>
          <w:tcPr>
            <w:tcW w:w="707" w:type="dxa"/>
            <w:shd w:val="clear" w:color="auto" w:fill="auto"/>
            <w:vAlign w:val="center"/>
          </w:tcPr>
          <w:p w14:paraId="78B5E9CA">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520" w:type="dxa"/>
            <w:shd w:val="clear" w:color="auto" w:fill="auto"/>
            <w:vAlign w:val="center"/>
          </w:tcPr>
          <w:p w14:paraId="48A1C5C9">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6</w:t>
            </w:r>
          </w:p>
        </w:tc>
        <w:tc>
          <w:tcPr>
            <w:tcW w:w="507" w:type="dxa"/>
            <w:gridSpan w:val="2"/>
            <w:shd w:val="clear" w:color="auto" w:fill="auto"/>
            <w:vAlign w:val="center"/>
          </w:tcPr>
          <w:p w14:paraId="04537993">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1013" w:type="dxa"/>
            <w:gridSpan w:val="2"/>
            <w:shd w:val="clear" w:color="auto" w:fill="auto"/>
            <w:vAlign w:val="center"/>
          </w:tcPr>
          <w:p w14:paraId="37441CBE">
            <w:pPr>
              <w:spacing w:line="276" w:lineRule="auto"/>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2.8</w:t>
            </w:r>
          </w:p>
        </w:tc>
        <w:tc>
          <w:tcPr>
            <w:tcW w:w="1016" w:type="dxa"/>
            <w:shd w:val="clear" w:color="auto" w:fill="auto"/>
            <w:vAlign w:val="center"/>
          </w:tcPr>
          <w:p w14:paraId="7B28EC8A">
            <w:pPr>
              <w:spacing w:line="276" w:lineRule="auto"/>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16.80</w:t>
            </w:r>
          </w:p>
        </w:tc>
        <w:tc>
          <w:tcPr>
            <w:tcW w:w="1011" w:type="dxa"/>
            <w:vAlign w:val="center"/>
          </w:tcPr>
          <w:p w14:paraId="02A9B4F8">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w:t>
            </w:r>
          </w:p>
        </w:tc>
        <w:tc>
          <w:tcPr>
            <w:tcW w:w="866" w:type="dxa"/>
            <w:gridSpan w:val="2"/>
            <w:vAlign w:val="center"/>
          </w:tcPr>
          <w:p w14:paraId="31D36976">
            <w:pPr>
              <w:spacing w:line="276" w:lineRule="auto"/>
              <w:jc w:val="center"/>
              <w:rPr>
                <w:rFonts w:hint="eastAsia" w:asciiTheme="majorEastAsia" w:hAnsiTheme="majorEastAsia" w:eastAsiaTheme="majorEastAsia"/>
                <w:b/>
                <w:sz w:val="24"/>
                <w:szCs w:val="21"/>
                <w:lang w:eastAsia="zh-CN"/>
              </w:rPr>
            </w:pPr>
          </w:p>
        </w:tc>
        <w:tc>
          <w:tcPr>
            <w:tcW w:w="1053" w:type="dxa"/>
            <w:vAlign w:val="center"/>
          </w:tcPr>
          <w:p w14:paraId="7CCAB72C">
            <w:pPr>
              <w:spacing w:line="276" w:lineRule="auto"/>
              <w:jc w:val="center"/>
              <w:rPr>
                <w:rFonts w:hint="eastAsia" w:asciiTheme="majorEastAsia" w:hAnsiTheme="majorEastAsia" w:eastAsiaTheme="majorEastAsia"/>
                <w:b/>
                <w:sz w:val="24"/>
                <w:szCs w:val="21"/>
                <w:lang w:eastAsia="zh-CN"/>
              </w:rPr>
            </w:pPr>
          </w:p>
        </w:tc>
      </w:tr>
      <w:tr w14:paraId="49F7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27" w:type="dxa"/>
            <w:vAlign w:val="center"/>
          </w:tcPr>
          <w:p w14:paraId="609A2DCC">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906" w:type="dxa"/>
            <w:gridSpan w:val="3"/>
            <w:vAlign w:val="center"/>
          </w:tcPr>
          <w:p w14:paraId="61C9429E">
            <w:pPr>
              <w:pStyle w:val="2"/>
              <w:rPr>
                <w:rFonts w:hint="default" w:asciiTheme="majorEastAsia" w:hAnsiTheme="majorEastAsia" w:eastAsiaTheme="majorEastAsia"/>
                <w:b w:val="0"/>
                <w:bCs w:val="0"/>
                <w:sz w:val="24"/>
                <w:szCs w:val="21"/>
                <w:lang w:val="en-US"/>
              </w:rPr>
            </w:pPr>
            <w:r>
              <w:rPr>
                <w:rFonts w:hint="eastAsia"/>
                <w:lang w:val="en-US" w:eastAsia="zh-CN"/>
              </w:rPr>
              <w:t>新生儿持续正压通气系统主机</w:t>
            </w:r>
            <w:r>
              <w:rPr>
                <w:rFonts w:hint="eastAsia" w:asciiTheme="majorEastAsia" w:hAnsiTheme="majorEastAsia" w:eastAsiaTheme="majorEastAsia"/>
                <w:b w:val="0"/>
                <w:bCs w:val="0"/>
                <w:sz w:val="24"/>
                <w:szCs w:val="21"/>
                <w:lang w:val="en-US" w:eastAsia="zh-CN"/>
              </w:rPr>
              <w:t>主机（含显示屏、加温湿化器、空氧混合器及功能监测系统）</w:t>
            </w:r>
          </w:p>
        </w:tc>
        <w:tc>
          <w:tcPr>
            <w:tcW w:w="707" w:type="dxa"/>
            <w:vAlign w:val="center"/>
          </w:tcPr>
          <w:p w14:paraId="4918FAD1">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64EAE30C">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6F81B76F">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台</w:t>
            </w:r>
          </w:p>
        </w:tc>
        <w:tc>
          <w:tcPr>
            <w:tcW w:w="1013" w:type="dxa"/>
            <w:gridSpan w:val="2"/>
            <w:vAlign w:val="center"/>
          </w:tcPr>
          <w:p w14:paraId="42997014">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68728915">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7ADCF784">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4B96F35B">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1C8B4D88">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46EC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27" w:type="dxa"/>
            <w:vAlign w:val="center"/>
          </w:tcPr>
          <w:p w14:paraId="29B1E2F7">
            <w:pPr>
              <w:spacing w:line="276"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906" w:type="dxa"/>
            <w:gridSpan w:val="3"/>
            <w:vAlign w:val="center"/>
          </w:tcPr>
          <w:p w14:paraId="7CBEC3C0">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台车</w:t>
            </w:r>
          </w:p>
        </w:tc>
        <w:tc>
          <w:tcPr>
            <w:tcW w:w="707" w:type="dxa"/>
            <w:vAlign w:val="center"/>
          </w:tcPr>
          <w:p w14:paraId="22D1731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53988542">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2BE2D1F7">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套</w:t>
            </w:r>
          </w:p>
        </w:tc>
        <w:tc>
          <w:tcPr>
            <w:tcW w:w="1013" w:type="dxa"/>
            <w:gridSpan w:val="2"/>
            <w:vAlign w:val="center"/>
          </w:tcPr>
          <w:p w14:paraId="66C6D3FE">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5F6AC948">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09B3115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12D1537F">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32A14078">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1D81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427" w:type="dxa"/>
            <w:vAlign w:val="center"/>
          </w:tcPr>
          <w:p w14:paraId="4B095603">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3</w:t>
            </w:r>
          </w:p>
        </w:tc>
        <w:tc>
          <w:tcPr>
            <w:tcW w:w="2906" w:type="dxa"/>
            <w:gridSpan w:val="3"/>
            <w:vAlign w:val="center"/>
          </w:tcPr>
          <w:p w14:paraId="0FC92B26">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血氧模块</w:t>
            </w:r>
          </w:p>
        </w:tc>
        <w:tc>
          <w:tcPr>
            <w:tcW w:w="707" w:type="dxa"/>
            <w:vAlign w:val="center"/>
          </w:tcPr>
          <w:p w14:paraId="04F2A35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14DCFD5D">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10B195A7">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7E4E4373">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2139E1BF">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734CE4F8">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116A32F4">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2D9F5131">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61A0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27" w:type="dxa"/>
            <w:vAlign w:val="center"/>
          </w:tcPr>
          <w:p w14:paraId="5400CD6E">
            <w:pPr>
              <w:spacing w:line="276" w:lineRule="auto"/>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4</w:t>
            </w:r>
          </w:p>
        </w:tc>
        <w:tc>
          <w:tcPr>
            <w:tcW w:w="2906" w:type="dxa"/>
            <w:gridSpan w:val="3"/>
            <w:vAlign w:val="center"/>
          </w:tcPr>
          <w:p w14:paraId="3AAF384C">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水罐</w:t>
            </w:r>
          </w:p>
        </w:tc>
        <w:tc>
          <w:tcPr>
            <w:tcW w:w="707" w:type="dxa"/>
            <w:vAlign w:val="center"/>
          </w:tcPr>
          <w:p w14:paraId="798B8B99">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14641A30">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49837763">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19ABB718">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0409B699">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17E8BBCA">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6775AE89">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0DCE490C">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48A5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427" w:type="dxa"/>
            <w:vAlign w:val="center"/>
          </w:tcPr>
          <w:p w14:paraId="68F7B1BD">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4</w:t>
            </w:r>
          </w:p>
        </w:tc>
        <w:tc>
          <w:tcPr>
            <w:tcW w:w="2906" w:type="dxa"/>
            <w:gridSpan w:val="3"/>
            <w:vAlign w:val="center"/>
          </w:tcPr>
          <w:p w14:paraId="3472BD30">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加温管路</w:t>
            </w:r>
          </w:p>
        </w:tc>
        <w:tc>
          <w:tcPr>
            <w:tcW w:w="707" w:type="dxa"/>
            <w:vAlign w:val="center"/>
          </w:tcPr>
          <w:p w14:paraId="346C09C1">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1EA5FF02">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6E93F7D2">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5A0FEE86">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59468259">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2A54FC44">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73D49F5F">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46DCFDF4">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59A2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27" w:type="dxa"/>
            <w:vAlign w:val="center"/>
          </w:tcPr>
          <w:p w14:paraId="164B484D">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5</w:t>
            </w:r>
          </w:p>
        </w:tc>
        <w:tc>
          <w:tcPr>
            <w:tcW w:w="2906" w:type="dxa"/>
            <w:gridSpan w:val="3"/>
            <w:vAlign w:val="center"/>
          </w:tcPr>
          <w:p w14:paraId="5BE74CDA">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转接头</w:t>
            </w:r>
          </w:p>
        </w:tc>
        <w:tc>
          <w:tcPr>
            <w:tcW w:w="707" w:type="dxa"/>
            <w:vAlign w:val="center"/>
          </w:tcPr>
          <w:p w14:paraId="2C5F0E02">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09A85578">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00EE861C">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5848603E">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6D60EF8D">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14222AF7">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06ADBDD1">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c>
          <w:tcPr>
            <w:tcW w:w="1053" w:type="dxa"/>
            <w:shd w:val="clear" w:color="auto" w:fill="auto"/>
            <w:vAlign w:val="center"/>
          </w:tcPr>
          <w:p w14:paraId="22807D6A">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否</w:t>
            </w:r>
          </w:p>
        </w:tc>
      </w:tr>
      <w:tr w14:paraId="7A32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427" w:type="dxa"/>
            <w:vAlign w:val="center"/>
          </w:tcPr>
          <w:p w14:paraId="0FA86CD3">
            <w:pPr>
              <w:spacing w:line="276" w:lineRule="auto"/>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6</w:t>
            </w:r>
          </w:p>
        </w:tc>
        <w:tc>
          <w:tcPr>
            <w:tcW w:w="2906" w:type="dxa"/>
            <w:gridSpan w:val="3"/>
            <w:vAlign w:val="center"/>
          </w:tcPr>
          <w:p w14:paraId="73FBDC0B">
            <w:pPr>
              <w:spacing w:line="276" w:lineRule="auto"/>
              <w:jc w:val="center"/>
              <w:rPr>
                <w:rFonts w:hint="default"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病人界面</w:t>
            </w:r>
          </w:p>
        </w:tc>
        <w:tc>
          <w:tcPr>
            <w:tcW w:w="707" w:type="dxa"/>
            <w:vAlign w:val="center"/>
          </w:tcPr>
          <w:p w14:paraId="76330AEA">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国产</w:t>
            </w:r>
          </w:p>
        </w:tc>
        <w:tc>
          <w:tcPr>
            <w:tcW w:w="520" w:type="dxa"/>
            <w:vAlign w:val="center"/>
          </w:tcPr>
          <w:p w14:paraId="7BE1C7CA">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6</w:t>
            </w:r>
          </w:p>
        </w:tc>
        <w:tc>
          <w:tcPr>
            <w:tcW w:w="507" w:type="dxa"/>
            <w:gridSpan w:val="2"/>
            <w:vAlign w:val="center"/>
          </w:tcPr>
          <w:p w14:paraId="7397C088">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个</w:t>
            </w:r>
          </w:p>
        </w:tc>
        <w:tc>
          <w:tcPr>
            <w:tcW w:w="1013" w:type="dxa"/>
            <w:gridSpan w:val="2"/>
            <w:vAlign w:val="center"/>
          </w:tcPr>
          <w:p w14:paraId="440438AB">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1016" w:type="dxa"/>
            <w:vAlign w:val="center"/>
          </w:tcPr>
          <w:p w14:paraId="33C86753">
            <w:pPr>
              <w:spacing w:line="276" w:lineRule="auto"/>
              <w:jc w:val="center"/>
              <w:rPr>
                <w:rFonts w:asciiTheme="majorEastAsia" w:hAnsiTheme="majorEastAsia" w:eastAsiaTheme="majorEastAsia"/>
                <w:b w:val="0"/>
                <w:bCs w:val="0"/>
                <w:sz w:val="24"/>
                <w:szCs w:val="21"/>
              </w:rPr>
            </w:pPr>
            <w:r>
              <w:rPr>
                <w:rFonts w:hint="eastAsia" w:asciiTheme="majorEastAsia" w:hAnsiTheme="majorEastAsia" w:eastAsiaTheme="majorEastAsia"/>
                <w:b w:val="0"/>
                <w:bCs w:val="0"/>
                <w:sz w:val="24"/>
                <w:szCs w:val="21"/>
                <w:lang w:val="en-US" w:eastAsia="zh-CN"/>
              </w:rPr>
              <w:t>/</w:t>
            </w:r>
          </w:p>
        </w:tc>
        <w:tc>
          <w:tcPr>
            <w:tcW w:w="1011" w:type="dxa"/>
            <w:vAlign w:val="center"/>
          </w:tcPr>
          <w:p w14:paraId="4BDB8CE1">
            <w:pPr>
              <w:spacing w:line="276" w:lineRule="auto"/>
              <w:jc w:val="center"/>
              <w:rPr>
                <w:rFonts w:hint="eastAsia" w:asciiTheme="majorEastAsia" w:hAnsiTheme="majorEastAsia" w:eastAsiaTheme="majorEastAsia"/>
                <w:b w:val="0"/>
                <w:bCs w:val="0"/>
                <w:sz w:val="24"/>
                <w:szCs w:val="21"/>
                <w:lang w:val="en-US" w:eastAsia="zh-CN"/>
              </w:rPr>
            </w:pPr>
            <w:r>
              <w:rPr>
                <w:rFonts w:hint="eastAsia" w:asciiTheme="majorEastAsia" w:hAnsiTheme="majorEastAsia" w:eastAsiaTheme="majorEastAsia"/>
                <w:b w:val="0"/>
                <w:bCs w:val="0"/>
                <w:sz w:val="24"/>
                <w:szCs w:val="21"/>
                <w:lang w:val="en-US" w:eastAsia="zh-CN"/>
              </w:rPr>
              <w:t>/</w:t>
            </w:r>
          </w:p>
        </w:tc>
        <w:tc>
          <w:tcPr>
            <w:tcW w:w="866" w:type="dxa"/>
            <w:gridSpan w:val="2"/>
            <w:shd w:val="clear" w:color="auto" w:fill="auto"/>
            <w:vAlign w:val="center"/>
          </w:tcPr>
          <w:p w14:paraId="2416D69E">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是</w:t>
            </w:r>
          </w:p>
        </w:tc>
        <w:tc>
          <w:tcPr>
            <w:tcW w:w="1053" w:type="dxa"/>
            <w:shd w:val="clear" w:color="auto" w:fill="auto"/>
            <w:vAlign w:val="center"/>
          </w:tcPr>
          <w:p w14:paraId="37C63D56">
            <w:pPr>
              <w:spacing w:line="276" w:lineRule="auto"/>
              <w:jc w:val="center"/>
              <w:rPr>
                <w:rFonts w:hint="eastAsia" w:cs="Times New Roman" w:asciiTheme="majorEastAsia" w:hAnsiTheme="majorEastAsia" w:eastAsiaTheme="majorEastAsia"/>
                <w:b w:val="0"/>
                <w:bCs w:val="0"/>
                <w:kern w:val="2"/>
                <w:sz w:val="24"/>
                <w:szCs w:val="21"/>
                <w:lang w:val="en-US" w:eastAsia="zh-CN" w:bidi="ar-SA"/>
              </w:rPr>
            </w:pPr>
            <w:r>
              <w:rPr>
                <w:rFonts w:hint="eastAsia" w:asciiTheme="majorEastAsia" w:hAnsiTheme="majorEastAsia" w:eastAsiaTheme="majorEastAsia"/>
                <w:b w:val="0"/>
                <w:bCs w:val="0"/>
                <w:sz w:val="24"/>
                <w:szCs w:val="21"/>
                <w:lang w:val="en-US" w:eastAsia="zh-CN"/>
              </w:rPr>
              <w:t>是</w:t>
            </w:r>
          </w:p>
        </w:tc>
      </w:tr>
    </w:tbl>
    <w:p w14:paraId="3ECCC258">
      <w:pPr>
        <w:keepNext w:val="0"/>
        <w:keepLines w:val="0"/>
        <w:pageBreakBefore w:val="0"/>
        <w:widowControl w:val="0"/>
        <w:kinsoku/>
        <w:wordWrap/>
        <w:overflowPunct/>
        <w:topLinePunct w:val="0"/>
        <w:autoSpaceDE/>
        <w:autoSpaceDN/>
        <w:bidi w:val="0"/>
        <w:spacing w:before="100" w:beforeAutospacing="1" w:after="240" w:line="240" w:lineRule="exact"/>
        <w:ind w:firstLine="480" w:firstLineChars="150"/>
        <w:textAlignment w:val="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938BFF4">
      <w:pPr>
        <w:pStyle w:val="16"/>
        <w:keepNext w:val="0"/>
        <w:keepLines w:val="0"/>
        <w:pageBreakBefore w:val="0"/>
        <w:widowControl w:val="0"/>
        <w:kinsoku/>
        <w:wordWrap/>
        <w:overflowPunct/>
        <w:topLinePunct w:val="0"/>
        <w:autoSpaceDE/>
        <w:autoSpaceDN/>
        <w:bidi w:val="0"/>
        <w:spacing w:line="240" w:lineRule="exact"/>
        <w:ind w:left="400" w:firstLine="0" w:firstLineChars="0"/>
        <w:textAlignment w:val="auto"/>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29E501BF">
      <w:pPr>
        <w:pStyle w:val="16"/>
        <w:keepNext w:val="0"/>
        <w:keepLines w:val="0"/>
        <w:pageBreakBefore w:val="0"/>
        <w:widowControl w:val="0"/>
        <w:kinsoku/>
        <w:wordWrap/>
        <w:overflowPunct/>
        <w:topLinePunct w:val="0"/>
        <w:autoSpaceDE/>
        <w:autoSpaceDN/>
        <w:bidi w:val="0"/>
        <w:adjustRightInd w:val="0"/>
        <w:snapToGrid w:val="0"/>
        <w:spacing w:line="240" w:lineRule="exact"/>
        <w:ind w:firstLine="480"/>
        <w:textAlignment w:val="auto"/>
        <w:rPr>
          <w:rFonts w:cs="宋体" w:asciiTheme="majorEastAsia" w:hAnsiTheme="majorEastAsia" w:eastAsiaTheme="majorEastAsia"/>
          <w:sz w:val="24"/>
        </w:rPr>
      </w:pPr>
      <w:r>
        <w:rPr>
          <w:rFonts w:hint="eastAsia" w:cs="宋体" w:asciiTheme="majorEastAsia" w:hAnsiTheme="majorEastAsia" w:eastAsiaTheme="majorEastAsia"/>
          <w:sz w:val="24"/>
        </w:rPr>
        <w:t>（1）若投标人为所投产品的生产企业，必须提供《医疗器械生产企业许可证》，且生产范围包含该产品；若投标人为所投产品的代理商或授权供应商，必须提供《医疗器械经营企业许可证》，且经营范围包含该产品。</w:t>
      </w:r>
    </w:p>
    <w:p w14:paraId="12CA5F95">
      <w:pPr>
        <w:pStyle w:val="16"/>
        <w:keepNext w:val="0"/>
        <w:keepLines w:val="0"/>
        <w:pageBreakBefore w:val="0"/>
        <w:widowControl w:val="0"/>
        <w:kinsoku/>
        <w:wordWrap/>
        <w:overflowPunct/>
        <w:topLinePunct w:val="0"/>
        <w:autoSpaceDE/>
        <w:autoSpaceDN/>
        <w:bidi w:val="0"/>
        <w:adjustRightInd w:val="0"/>
        <w:snapToGrid w:val="0"/>
        <w:spacing w:line="240" w:lineRule="exact"/>
        <w:ind w:firstLine="480"/>
        <w:textAlignment w:val="auto"/>
        <w:rPr>
          <w:rFonts w:cs="宋体" w:asciiTheme="majorEastAsia" w:hAnsiTheme="majorEastAsia" w:eastAsiaTheme="majorEastAsia"/>
          <w:sz w:val="24"/>
        </w:rPr>
      </w:pPr>
      <w:r>
        <w:rPr>
          <w:rFonts w:hint="eastAsia" w:cs="宋体" w:asciiTheme="majorEastAsia" w:hAnsiTheme="majorEastAsia" w:eastAsiaTheme="majorEastAsia"/>
          <w:sz w:val="24"/>
        </w:rPr>
        <w:t>（2）投标人必须提供所投产品的《医疗器械注册（备案）证》的扫描件，原件备查（开标时，该证应在有效期内；若不在有效期内，则需提供该证和所投产品在该证有效期内生产的药监局出具的证明文件）</w:t>
      </w:r>
    </w:p>
    <w:p w14:paraId="576095DD">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6D5D1C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highlight w:val="yellow"/>
        </w:rPr>
        <w:t>（核心技术要求（以</w:t>
      </w:r>
      <w:r>
        <w:rPr>
          <w:rFonts w:hint="eastAsia" w:cs="宋体" w:asciiTheme="majorEastAsia" w:hAnsiTheme="majorEastAsia" w:eastAsiaTheme="majorEastAsia"/>
          <w:sz w:val="20"/>
          <w:szCs w:val="20"/>
          <w:highlight w:val="yellow"/>
        </w:rPr>
        <w:t>★</w:t>
      </w:r>
      <w:r>
        <w:rPr>
          <w:rFonts w:hint="eastAsia" w:cs="宋体" w:asciiTheme="majorEastAsia" w:hAnsiTheme="majorEastAsia" w:eastAsiaTheme="majorEastAsia"/>
          <w:sz w:val="20"/>
          <w:highlight w:val="yellow"/>
        </w:rPr>
        <w:t>号标注）为技术条款实质性要求不允许负偏离;否则将被否决。其数量≤5条，且必须有不少于3个品牌满足，并在第四部分作出承诺。）</w:t>
      </w:r>
    </w:p>
    <w:p w14:paraId="5D99E64B">
      <w:pPr>
        <w:ind w:firstLine="360" w:firstLineChars="100"/>
        <w:rPr>
          <w:rFonts w:cs="方正小标宋简体" w:asciiTheme="majorEastAsia" w:hAnsiTheme="majorEastAsia" w:eastAsiaTheme="majorEastAsia"/>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59D9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209" w:type="dxa"/>
            <w:gridSpan w:val="4"/>
            <w:vAlign w:val="center"/>
          </w:tcPr>
          <w:p w14:paraId="07E610CB">
            <w:pPr>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09E1ED9">
            <w:pPr>
              <w:jc w:val="center"/>
              <w:rPr>
                <w:rFonts w:asciiTheme="majorEastAsia" w:hAnsiTheme="majorEastAsia" w:eastAsiaTheme="majorEastAsia"/>
                <w:b/>
                <w:sz w:val="24"/>
                <w:szCs w:val="21"/>
              </w:rPr>
            </w:pPr>
          </w:p>
        </w:tc>
      </w:tr>
      <w:tr w14:paraId="6FCF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710" w:type="dxa"/>
            <w:vAlign w:val="center"/>
          </w:tcPr>
          <w:p w14:paraId="78534D7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5DCBF9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5A4E931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4529AA9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1E7E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710" w:type="dxa"/>
            <w:vMerge w:val="restart"/>
          </w:tcPr>
          <w:p w14:paraId="3DFAA3F8">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380C9F36">
            <w:pPr>
              <w:spacing w:line="276" w:lineRule="auto"/>
              <w:rPr>
                <w:rFonts w:asciiTheme="majorEastAsia" w:hAnsiTheme="majorEastAsia" w:eastAsiaTheme="majorEastAsia"/>
                <w:b/>
                <w:sz w:val="24"/>
                <w:szCs w:val="21"/>
              </w:rPr>
            </w:pPr>
          </w:p>
        </w:tc>
        <w:tc>
          <w:tcPr>
            <w:tcW w:w="7564" w:type="dxa"/>
            <w:gridSpan w:val="2"/>
          </w:tcPr>
          <w:p w14:paraId="15C70D7A">
            <w:pPr>
              <w:keepNext w:val="0"/>
              <w:keepLines w:val="0"/>
              <w:pageBreakBefore w:val="0"/>
              <w:kinsoku/>
              <w:wordWrap/>
              <w:overflowPunct/>
              <w:topLinePunct w:val="0"/>
              <w:autoSpaceDE/>
              <w:autoSpaceDN/>
              <w:bidi w:val="0"/>
              <w:adjustRightInd/>
              <w:snapToGrid/>
              <w:spacing w:line="32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一、主机参数</w:t>
            </w:r>
          </w:p>
          <w:p w14:paraId="0BEBF720">
            <w:pPr>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1</w:t>
            </w:r>
            <w:r>
              <w:rPr>
                <w:rFonts w:hint="eastAsia" w:ascii="宋体" w:hAnsi="宋体" w:cs="宋体"/>
                <w:spacing w:val="3"/>
                <w:sz w:val="21"/>
                <w:szCs w:val="21"/>
                <w:highlight w:val="none"/>
                <w:shd w:val="clear" w:color="auto" w:fill="auto"/>
                <w:lang w:val="en-US" w:eastAsia="zh-CN"/>
              </w:rPr>
              <w:t>.</w:t>
            </w:r>
            <w:r>
              <w:rPr>
                <w:rFonts w:hint="eastAsia"/>
                <w:lang w:val="en-US" w:eastAsia="zh-CN"/>
              </w:rPr>
              <w:t>温度控制范围涵盖29℃～37℃（涵盖此范围即视为符合）</w:t>
            </w:r>
            <w:r>
              <w:rPr>
                <w:rFonts w:hint="eastAsia" w:ascii="宋体" w:hAnsi="宋体" w:eastAsia="宋体" w:cs="宋体"/>
                <w:spacing w:val="3"/>
                <w:sz w:val="21"/>
                <w:szCs w:val="21"/>
                <w:highlight w:val="none"/>
                <w:shd w:val="clear" w:color="auto" w:fill="auto"/>
                <w:lang w:val="en-US" w:eastAsia="zh-CN"/>
              </w:rPr>
              <w:t>；</w:t>
            </w:r>
          </w:p>
        </w:tc>
        <w:tc>
          <w:tcPr>
            <w:tcW w:w="817" w:type="dxa"/>
          </w:tcPr>
          <w:p w14:paraId="189631B9">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70C5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10" w:type="dxa"/>
            <w:vMerge w:val="continue"/>
          </w:tcPr>
          <w:p w14:paraId="50323E24">
            <w:pPr>
              <w:spacing w:line="276" w:lineRule="auto"/>
              <w:rPr>
                <w:rFonts w:asciiTheme="majorEastAsia" w:hAnsiTheme="majorEastAsia" w:eastAsiaTheme="majorEastAsia"/>
                <w:b/>
                <w:sz w:val="24"/>
                <w:szCs w:val="21"/>
              </w:rPr>
            </w:pPr>
          </w:p>
        </w:tc>
        <w:tc>
          <w:tcPr>
            <w:tcW w:w="935" w:type="dxa"/>
            <w:vMerge w:val="continue"/>
          </w:tcPr>
          <w:p w14:paraId="36C622E2">
            <w:pPr>
              <w:spacing w:line="276" w:lineRule="auto"/>
              <w:rPr>
                <w:rFonts w:asciiTheme="majorEastAsia" w:hAnsiTheme="majorEastAsia" w:eastAsiaTheme="majorEastAsia"/>
                <w:b/>
                <w:sz w:val="24"/>
                <w:szCs w:val="21"/>
              </w:rPr>
            </w:pPr>
          </w:p>
        </w:tc>
        <w:tc>
          <w:tcPr>
            <w:tcW w:w="7564" w:type="dxa"/>
            <w:gridSpan w:val="2"/>
          </w:tcPr>
          <w:p w14:paraId="4815FBF6">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2.</w:t>
            </w:r>
            <w:r>
              <w:rPr>
                <w:rFonts w:hint="eastAsia" w:ascii="宋体" w:hAnsi="宋体" w:eastAsia="宋体" w:cs="宋体"/>
                <w:spacing w:val="3"/>
                <w:sz w:val="21"/>
                <w:szCs w:val="21"/>
                <w:highlight w:val="none"/>
                <w:shd w:val="clear" w:color="auto" w:fill="auto"/>
              </w:rPr>
              <w:t>一体化加温湿化器</w:t>
            </w:r>
            <w:r>
              <w:rPr>
                <w:rFonts w:hint="eastAsia" w:ascii="宋体" w:hAnsi="宋体" w:eastAsia="宋体" w:cs="宋体"/>
                <w:spacing w:val="3"/>
                <w:sz w:val="21"/>
                <w:szCs w:val="21"/>
                <w:highlight w:val="none"/>
                <w:shd w:val="clear" w:color="auto" w:fill="auto"/>
                <w:lang w:eastAsia="zh-CN"/>
              </w:rPr>
              <w:t>，</w:t>
            </w:r>
            <w:r>
              <w:rPr>
                <w:rFonts w:hint="eastAsia" w:ascii="宋体" w:hAnsi="宋体" w:eastAsia="宋体" w:cs="宋体"/>
                <w:spacing w:val="3"/>
                <w:sz w:val="21"/>
                <w:szCs w:val="21"/>
                <w:highlight w:val="none"/>
                <w:shd w:val="clear" w:color="auto" w:fill="auto"/>
              </w:rPr>
              <w:t>湿化档位1～7档；</w:t>
            </w:r>
          </w:p>
        </w:tc>
        <w:tc>
          <w:tcPr>
            <w:tcW w:w="817" w:type="dxa"/>
          </w:tcPr>
          <w:p w14:paraId="1373E6F1">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4583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0CF1E83D">
            <w:pPr>
              <w:spacing w:line="276" w:lineRule="auto"/>
              <w:rPr>
                <w:rFonts w:asciiTheme="majorEastAsia" w:hAnsiTheme="majorEastAsia" w:eastAsiaTheme="majorEastAsia"/>
                <w:b/>
                <w:sz w:val="24"/>
                <w:szCs w:val="21"/>
              </w:rPr>
            </w:pPr>
          </w:p>
        </w:tc>
        <w:tc>
          <w:tcPr>
            <w:tcW w:w="935" w:type="dxa"/>
            <w:vMerge w:val="continue"/>
          </w:tcPr>
          <w:p w14:paraId="66B36250">
            <w:pPr>
              <w:spacing w:line="276" w:lineRule="auto"/>
              <w:rPr>
                <w:rFonts w:asciiTheme="majorEastAsia" w:hAnsiTheme="majorEastAsia" w:eastAsiaTheme="majorEastAsia"/>
                <w:b/>
                <w:sz w:val="24"/>
                <w:szCs w:val="21"/>
              </w:rPr>
            </w:pPr>
          </w:p>
        </w:tc>
        <w:tc>
          <w:tcPr>
            <w:tcW w:w="7564" w:type="dxa"/>
            <w:gridSpan w:val="2"/>
          </w:tcPr>
          <w:p w14:paraId="25C9194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宋体" w:hAnsi="宋体" w:eastAsia="宋体" w:cs="宋体"/>
                <w:b/>
                <w:sz w:val="21"/>
                <w:szCs w:val="21"/>
                <w:highlight w:val="none"/>
                <w:shd w:val="clear" w:color="auto" w:fill="auto"/>
                <w:lang w:eastAsia="zh-CN"/>
              </w:rPr>
            </w:pPr>
            <w:r>
              <w:rPr>
                <w:rFonts w:hint="eastAsia" w:ascii="宋体" w:hAnsi="宋体" w:eastAsia="宋体" w:cs="宋体"/>
                <w:spacing w:val="3"/>
                <w:sz w:val="21"/>
                <w:szCs w:val="21"/>
                <w:highlight w:val="none"/>
                <w:shd w:val="clear" w:color="auto" w:fill="auto"/>
                <w:lang w:val="en-US" w:eastAsia="zh-CN"/>
              </w:rPr>
              <w:t>3.</w:t>
            </w:r>
            <w:r>
              <w:rPr>
                <w:rFonts w:hint="eastAsia" w:ascii="宋体" w:hAnsi="宋体" w:eastAsia="宋体" w:cs="宋体"/>
                <w:spacing w:val="3"/>
                <w:sz w:val="21"/>
                <w:szCs w:val="21"/>
                <w:highlight w:val="none"/>
                <w:shd w:val="clear" w:color="auto" w:fill="auto"/>
              </w:rPr>
              <w:t>一体化流量调节</w:t>
            </w:r>
            <w:r>
              <w:rPr>
                <w:rFonts w:hint="eastAsia" w:ascii="宋体" w:hAnsi="宋体" w:eastAsia="宋体" w:cs="宋体"/>
                <w:spacing w:val="3"/>
                <w:sz w:val="21"/>
                <w:szCs w:val="21"/>
                <w:highlight w:val="none"/>
                <w:shd w:val="clear" w:color="auto" w:fill="auto"/>
                <w:lang w:eastAsia="zh-CN"/>
              </w:rPr>
              <w:t>，</w:t>
            </w:r>
            <w:r>
              <w:rPr>
                <w:rFonts w:hint="eastAsia"/>
                <w:lang w:val="en-US" w:eastAsia="zh-CN"/>
              </w:rPr>
              <w:t>范围涵盖2～80LPM</w:t>
            </w:r>
            <w:r>
              <w:rPr>
                <w:rFonts w:hint="eastAsia" w:ascii="宋体" w:hAnsi="宋体" w:eastAsia="宋体" w:cs="宋体"/>
                <w:spacing w:val="3"/>
                <w:sz w:val="21"/>
                <w:szCs w:val="21"/>
                <w:highlight w:val="none"/>
                <w:shd w:val="clear" w:color="auto" w:fill="auto"/>
                <w:lang w:eastAsia="zh-CN"/>
              </w:rPr>
              <w:t>；</w:t>
            </w:r>
          </w:p>
        </w:tc>
        <w:tc>
          <w:tcPr>
            <w:tcW w:w="817" w:type="dxa"/>
          </w:tcPr>
          <w:p w14:paraId="0FEFA288">
            <w:pPr>
              <w:keepNext w:val="0"/>
              <w:keepLines w:val="0"/>
              <w:pageBreakBefore w:val="0"/>
              <w:kinsoku/>
              <w:wordWrap/>
              <w:overflowPunct/>
              <w:topLinePunct w:val="0"/>
              <w:autoSpaceDE/>
              <w:autoSpaceDN/>
              <w:bidi w:val="0"/>
              <w:spacing w:line="240" w:lineRule="exact"/>
              <w:jc w:val="center"/>
              <w:textAlignment w:val="auto"/>
              <w:rPr>
                <w:rFonts w:asciiTheme="majorEastAsia" w:hAnsiTheme="majorEastAsia" w:eastAsiaTheme="majorEastAsia"/>
                <w:b/>
                <w:sz w:val="24"/>
                <w:szCs w:val="21"/>
              </w:rPr>
            </w:pPr>
          </w:p>
        </w:tc>
      </w:tr>
      <w:tr w14:paraId="3947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46478BB4">
            <w:pPr>
              <w:spacing w:line="276" w:lineRule="auto"/>
              <w:rPr>
                <w:rFonts w:asciiTheme="majorEastAsia" w:hAnsiTheme="majorEastAsia" w:eastAsiaTheme="majorEastAsia"/>
                <w:b/>
                <w:sz w:val="24"/>
                <w:szCs w:val="21"/>
              </w:rPr>
            </w:pPr>
          </w:p>
        </w:tc>
        <w:tc>
          <w:tcPr>
            <w:tcW w:w="935" w:type="dxa"/>
            <w:vMerge w:val="continue"/>
          </w:tcPr>
          <w:p w14:paraId="32C8ECE9">
            <w:pPr>
              <w:spacing w:line="276" w:lineRule="auto"/>
              <w:rPr>
                <w:rFonts w:asciiTheme="majorEastAsia" w:hAnsiTheme="majorEastAsia" w:eastAsiaTheme="majorEastAsia"/>
                <w:b/>
                <w:sz w:val="24"/>
                <w:szCs w:val="21"/>
              </w:rPr>
            </w:pPr>
          </w:p>
        </w:tc>
        <w:tc>
          <w:tcPr>
            <w:tcW w:w="7564" w:type="dxa"/>
            <w:gridSpan w:val="2"/>
          </w:tcPr>
          <w:p w14:paraId="5BACAD0C">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4.</w:t>
            </w:r>
            <w:r>
              <w:rPr>
                <w:rFonts w:hint="eastAsia" w:ascii="宋体" w:hAnsi="宋体" w:eastAsia="宋体" w:cs="宋体"/>
                <w:spacing w:val="3"/>
                <w:sz w:val="21"/>
                <w:szCs w:val="21"/>
                <w:highlight w:val="none"/>
                <w:shd w:val="clear" w:color="auto" w:fill="auto"/>
              </w:rPr>
              <w:t>具有持续正压通气（CPAP）模式</w:t>
            </w:r>
            <w:r>
              <w:rPr>
                <w:rFonts w:hint="eastAsia" w:ascii="宋体" w:hAnsi="宋体" w:eastAsia="宋体" w:cs="宋体"/>
                <w:spacing w:val="3"/>
                <w:sz w:val="21"/>
                <w:szCs w:val="21"/>
                <w:highlight w:val="none"/>
                <w:shd w:val="clear" w:color="auto" w:fill="auto"/>
                <w:lang w:eastAsia="zh-CN"/>
              </w:rPr>
              <w:t>，</w:t>
            </w:r>
            <w:r>
              <w:rPr>
                <w:rFonts w:hint="eastAsia"/>
                <w:lang w:val="en-US" w:eastAsia="zh-CN"/>
              </w:rPr>
              <w:t>压力范围涵盖：4</w:t>
            </w:r>
            <w:r>
              <w:rPr>
                <w:rFonts w:ascii="宋体" w:hAnsi="宋体" w:eastAsia="宋体" w:cs="宋体"/>
                <w:sz w:val="24"/>
                <w:szCs w:val="24"/>
              </w:rPr>
              <w:t>cmH₂O</w:t>
            </w:r>
            <w:r>
              <w:rPr>
                <w:rFonts w:hint="eastAsia"/>
                <w:lang w:val="en-US" w:eastAsia="zh-CN"/>
              </w:rPr>
              <w:t>～20</w:t>
            </w:r>
            <w:r>
              <w:rPr>
                <w:rFonts w:ascii="宋体" w:hAnsi="宋体" w:eastAsia="宋体" w:cs="宋体"/>
                <w:sz w:val="24"/>
                <w:szCs w:val="24"/>
              </w:rPr>
              <w:t>cmH₂O</w:t>
            </w:r>
            <w:r>
              <w:rPr>
                <w:rFonts w:hint="eastAsia" w:ascii="宋体" w:hAnsi="宋体" w:eastAsia="宋体" w:cs="宋体"/>
                <w:spacing w:val="3"/>
                <w:sz w:val="21"/>
                <w:szCs w:val="21"/>
                <w:highlight w:val="none"/>
                <w:shd w:val="clear" w:color="auto" w:fill="auto"/>
              </w:rPr>
              <w:t>；</w:t>
            </w:r>
          </w:p>
        </w:tc>
        <w:tc>
          <w:tcPr>
            <w:tcW w:w="817" w:type="dxa"/>
          </w:tcPr>
          <w:p w14:paraId="6FAED9B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79DF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5F4D2C1">
            <w:pPr>
              <w:spacing w:line="276" w:lineRule="auto"/>
              <w:rPr>
                <w:rFonts w:asciiTheme="majorEastAsia" w:hAnsiTheme="majorEastAsia" w:eastAsiaTheme="majorEastAsia"/>
                <w:b/>
                <w:sz w:val="24"/>
                <w:szCs w:val="21"/>
              </w:rPr>
            </w:pPr>
          </w:p>
        </w:tc>
        <w:tc>
          <w:tcPr>
            <w:tcW w:w="935" w:type="dxa"/>
            <w:vMerge w:val="continue"/>
          </w:tcPr>
          <w:p w14:paraId="5AE90DD9">
            <w:pPr>
              <w:spacing w:line="276" w:lineRule="auto"/>
              <w:rPr>
                <w:rFonts w:asciiTheme="majorEastAsia" w:hAnsiTheme="majorEastAsia" w:eastAsiaTheme="majorEastAsia"/>
                <w:b/>
                <w:sz w:val="24"/>
                <w:szCs w:val="21"/>
              </w:rPr>
            </w:pPr>
          </w:p>
        </w:tc>
        <w:tc>
          <w:tcPr>
            <w:tcW w:w="7564" w:type="dxa"/>
            <w:gridSpan w:val="2"/>
          </w:tcPr>
          <w:p w14:paraId="5B0E36D5">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shd w:val="clear" w:color="auto" w:fill="auto"/>
              </w:rPr>
            </w:pPr>
            <w:r>
              <w:rPr>
                <w:rFonts w:hint="eastAsia" w:ascii="宋体" w:hAnsi="宋体" w:eastAsia="宋体" w:cs="宋体"/>
                <w:spacing w:val="3"/>
                <w:sz w:val="21"/>
                <w:szCs w:val="21"/>
                <w:highlight w:val="none"/>
                <w:shd w:val="clear" w:color="auto" w:fill="auto"/>
                <w:lang w:val="en-US" w:eastAsia="zh-CN"/>
              </w:rPr>
              <w:t>5.</w:t>
            </w:r>
            <w:r>
              <w:rPr>
                <w:rFonts w:hint="eastAsia" w:ascii="宋体" w:hAnsi="宋体" w:eastAsia="宋体" w:cs="宋体"/>
                <w:spacing w:val="3"/>
                <w:sz w:val="21"/>
                <w:szCs w:val="21"/>
                <w:highlight w:val="none"/>
                <w:shd w:val="clear" w:color="auto" w:fill="auto"/>
              </w:rPr>
              <w:t>触摸式液晶显示屏，</w:t>
            </w:r>
            <w:r>
              <w:rPr>
                <w:rFonts w:hint="eastAsia"/>
                <w:lang w:val="en-US" w:eastAsia="zh-CN"/>
              </w:rPr>
              <w:t>可佩戴橡胶手套或是用笔进行操作；</w:t>
            </w:r>
          </w:p>
        </w:tc>
        <w:tc>
          <w:tcPr>
            <w:tcW w:w="817" w:type="dxa"/>
          </w:tcPr>
          <w:p w14:paraId="443527FA">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77E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B380B69">
            <w:pPr>
              <w:spacing w:line="276" w:lineRule="auto"/>
              <w:rPr>
                <w:rFonts w:asciiTheme="majorEastAsia" w:hAnsiTheme="majorEastAsia" w:eastAsiaTheme="majorEastAsia"/>
                <w:b/>
                <w:sz w:val="24"/>
                <w:szCs w:val="21"/>
              </w:rPr>
            </w:pPr>
          </w:p>
        </w:tc>
        <w:tc>
          <w:tcPr>
            <w:tcW w:w="935" w:type="dxa"/>
            <w:vMerge w:val="continue"/>
          </w:tcPr>
          <w:p w14:paraId="3355638E">
            <w:pPr>
              <w:spacing w:line="276" w:lineRule="auto"/>
              <w:rPr>
                <w:rFonts w:asciiTheme="majorEastAsia" w:hAnsiTheme="majorEastAsia" w:eastAsiaTheme="majorEastAsia"/>
                <w:b/>
                <w:sz w:val="24"/>
                <w:szCs w:val="21"/>
              </w:rPr>
            </w:pPr>
          </w:p>
        </w:tc>
        <w:tc>
          <w:tcPr>
            <w:tcW w:w="7564" w:type="dxa"/>
            <w:gridSpan w:val="2"/>
          </w:tcPr>
          <w:p w14:paraId="2EAA70FD">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rPr>
            </w:pPr>
            <w:r>
              <w:rPr>
                <w:rFonts w:hint="eastAsia" w:ascii="宋体" w:hAnsi="宋体" w:eastAsia="宋体" w:cs="宋体"/>
                <w:spacing w:val="3"/>
                <w:sz w:val="21"/>
                <w:szCs w:val="21"/>
                <w:highlight w:val="none"/>
                <w:lang w:val="en-US" w:eastAsia="zh-CN"/>
              </w:rPr>
              <w:t>6.</w:t>
            </w:r>
            <w:r>
              <w:rPr>
                <w:rFonts w:hint="eastAsia" w:ascii="宋体" w:hAnsi="宋体" w:eastAsia="宋体" w:cs="宋体"/>
                <w:spacing w:val="3"/>
                <w:sz w:val="21"/>
                <w:szCs w:val="21"/>
                <w:highlight w:val="none"/>
              </w:rPr>
              <w:t>流量、温度、氧浓度、SPO2、脉率、呼吸频率、ROX 指数、氧源压力可同屏幕实时显示；</w:t>
            </w:r>
          </w:p>
        </w:tc>
        <w:tc>
          <w:tcPr>
            <w:tcW w:w="817" w:type="dxa"/>
          </w:tcPr>
          <w:p w14:paraId="764FB2F2">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15B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7E0D756">
            <w:pPr>
              <w:spacing w:line="276" w:lineRule="auto"/>
              <w:rPr>
                <w:rFonts w:asciiTheme="majorEastAsia" w:hAnsiTheme="majorEastAsia" w:eastAsiaTheme="majorEastAsia"/>
                <w:b/>
                <w:sz w:val="24"/>
                <w:szCs w:val="21"/>
              </w:rPr>
            </w:pPr>
          </w:p>
        </w:tc>
        <w:tc>
          <w:tcPr>
            <w:tcW w:w="935" w:type="dxa"/>
            <w:vMerge w:val="continue"/>
          </w:tcPr>
          <w:p w14:paraId="5E4CFEEC">
            <w:pPr>
              <w:spacing w:line="276" w:lineRule="auto"/>
              <w:rPr>
                <w:rFonts w:asciiTheme="majorEastAsia" w:hAnsiTheme="majorEastAsia" w:eastAsiaTheme="majorEastAsia"/>
                <w:b/>
                <w:sz w:val="24"/>
                <w:szCs w:val="21"/>
              </w:rPr>
            </w:pPr>
          </w:p>
        </w:tc>
        <w:tc>
          <w:tcPr>
            <w:tcW w:w="7564" w:type="dxa"/>
            <w:gridSpan w:val="2"/>
          </w:tcPr>
          <w:p w14:paraId="67E109D2">
            <w:pPr>
              <w:rPr>
                <w:rFonts w:hint="eastAsia" w:ascii="宋体" w:hAnsi="宋体" w:eastAsia="宋体" w:cs="宋体"/>
                <w:b/>
                <w:sz w:val="21"/>
                <w:szCs w:val="21"/>
                <w:highlight w:val="none"/>
                <w:lang w:eastAsia="zh-CN"/>
              </w:rPr>
            </w:pPr>
            <w:r>
              <w:rPr>
                <w:rFonts w:hint="eastAsia" w:ascii="宋体" w:hAnsi="宋体" w:eastAsia="宋体" w:cs="宋体"/>
                <w:spacing w:val="3"/>
                <w:sz w:val="21"/>
                <w:szCs w:val="21"/>
                <w:highlight w:val="none"/>
                <w:lang w:val="en-US" w:eastAsia="zh-CN"/>
              </w:rPr>
              <w:t>7.</w:t>
            </w:r>
            <w:r>
              <w:rPr>
                <w:rFonts w:hint="eastAsia" w:ascii="宋体" w:hAnsi="宋体" w:eastAsia="宋体" w:cs="宋体"/>
                <w:spacing w:val="3"/>
                <w:sz w:val="21"/>
                <w:szCs w:val="21"/>
                <w:highlight w:val="none"/>
              </w:rPr>
              <w:t>电磁阀式自动控制氧浓度</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声实时氧浓度监测</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无氧电池消耗，寿命长</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21%～100</w:t>
            </w:r>
            <w:r>
              <w:rPr>
                <w:rFonts w:hint="eastAsia" w:ascii="宋体" w:hAnsi="宋体" w:cs="宋体"/>
                <w:spacing w:val="3"/>
                <w:sz w:val="21"/>
                <w:szCs w:val="21"/>
                <w:highlight w:val="none"/>
                <w:lang w:val="en-US" w:eastAsia="zh-CN"/>
              </w:rPr>
              <w:t>%</w:t>
            </w:r>
            <w:r>
              <w:rPr>
                <w:rFonts w:hint="eastAsia"/>
                <w:lang w:val="en-US" w:eastAsia="zh-CN"/>
              </w:rPr>
              <w:t>（涵盖此范围即视为符合）</w:t>
            </w:r>
            <w:r>
              <w:rPr>
                <w:rFonts w:hint="eastAsia" w:ascii="宋体" w:hAnsi="宋体" w:cs="宋体"/>
                <w:spacing w:val="3"/>
                <w:sz w:val="21"/>
                <w:szCs w:val="21"/>
                <w:highlight w:val="none"/>
                <w:lang w:val="en-US" w:eastAsia="zh-CN"/>
              </w:rPr>
              <w:t>氧浓度</w:t>
            </w:r>
            <w:r>
              <w:rPr>
                <w:rFonts w:hint="eastAsia" w:ascii="宋体" w:hAnsi="宋体" w:eastAsia="宋体" w:cs="宋体"/>
                <w:spacing w:val="3"/>
                <w:sz w:val="21"/>
                <w:szCs w:val="21"/>
                <w:highlight w:val="none"/>
              </w:rPr>
              <w:t>精确调节</w:t>
            </w:r>
            <w:r>
              <w:rPr>
                <w:rFonts w:hint="eastAsia" w:ascii="宋体" w:hAnsi="宋体" w:eastAsia="宋体" w:cs="宋体"/>
                <w:spacing w:val="3"/>
                <w:sz w:val="21"/>
                <w:szCs w:val="21"/>
                <w:highlight w:val="none"/>
                <w:lang w:eastAsia="zh-CN"/>
              </w:rPr>
              <w:t>；</w:t>
            </w:r>
          </w:p>
        </w:tc>
        <w:tc>
          <w:tcPr>
            <w:tcW w:w="817" w:type="dxa"/>
          </w:tcPr>
          <w:p w14:paraId="3DE95D8F">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7E0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189D10D0">
            <w:pPr>
              <w:spacing w:line="276" w:lineRule="auto"/>
              <w:rPr>
                <w:rFonts w:asciiTheme="majorEastAsia" w:hAnsiTheme="majorEastAsia" w:eastAsiaTheme="majorEastAsia"/>
                <w:b/>
                <w:sz w:val="24"/>
                <w:szCs w:val="21"/>
              </w:rPr>
            </w:pPr>
          </w:p>
        </w:tc>
        <w:tc>
          <w:tcPr>
            <w:tcW w:w="935" w:type="dxa"/>
            <w:vMerge w:val="continue"/>
          </w:tcPr>
          <w:p w14:paraId="22B65750">
            <w:pPr>
              <w:spacing w:line="276" w:lineRule="auto"/>
              <w:rPr>
                <w:rFonts w:asciiTheme="majorEastAsia" w:hAnsiTheme="majorEastAsia" w:eastAsiaTheme="majorEastAsia"/>
                <w:b/>
                <w:sz w:val="24"/>
                <w:szCs w:val="21"/>
              </w:rPr>
            </w:pPr>
          </w:p>
        </w:tc>
        <w:tc>
          <w:tcPr>
            <w:tcW w:w="7564" w:type="dxa"/>
            <w:gridSpan w:val="2"/>
          </w:tcPr>
          <w:p w14:paraId="7D551C98">
            <w:pPr>
              <w:keepNext w:val="0"/>
              <w:keepLines w:val="0"/>
              <w:pageBreakBefore w:val="0"/>
              <w:kinsoku/>
              <w:wordWrap/>
              <w:overflowPunct/>
              <w:topLinePunct w:val="0"/>
              <w:autoSpaceDE/>
              <w:autoSpaceDN/>
              <w:bidi w:val="0"/>
              <w:adjustRightInd/>
              <w:snapToGrid/>
              <w:spacing w:line="320" w:lineRule="exact"/>
              <w:textAlignment w:val="auto"/>
              <w:rPr>
                <w:rFonts w:hint="default" w:ascii="宋体" w:hAnsi="宋体" w:eastAsia="宋体" w:cs="宋体"/>
                <w:b/>
                <w:sz w:val="21"/>
                <w:szCs w:val="21"/>
                <w:highlight w:val="none"/>
                <w:lang w:val="en-US"/>
              </w:rPr>
            </w:pPr>
            <w:r>
              <w:rPr>
                <w:rFonts w:hint="eastAsia" w:ascii="宋体" w:hAnsi="宋体" w:eastAsia="宋体" w:cs="宋体"/>
                <w:spacing w:val="3"/>
                <w:sz w:val="21"/>
                <w:szCs w:val="21"/>
                <w:highlight w:val="none"/>
                <w:lang w:val="en-US" w:eastAsia="zh-CN"/>
              </w:rPr>
              <w:t>8.</w:t>
            </w:r>
            <w:r>
              <w:rPr>
                <w:rFonts w:hint="eastAsia" w:ascii="宋体" w:hAnsi="宋体" w:cs="宋体"/>
                <w:spacing w:val="3"/>
                <w:sz w:val="21"/>
                <w:szCs w:val="21"/>
                <w:highlight w:val="none"/>
                <w:lang w:val="en-US" w:eastAsia="zh-CN"/>
              </w:rPr>
              <w:t>适合新生儿/小儿使用；</w:t>
            </w:r>
          </w:p>
        </w:tc>
        <w:tc>
          <w:tcPr>
            <w:tcW w:w="817" w:type="dxa"/>
          </w:tcPr>
          <w:p w14:paraId="5DF4AD14">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598F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710" w:type="dxa"/>
            <w:vMerge w:val="continue"/>
          </w:tcPr>
          <w:p w14:paraId="2021F050">
            <w:pPr>
              <w:spacing w:line="276" w:lineRule="auto"/>
              <w:rPr>
                <w:rFonts w:asciiTheme="majorEastAsia" w:hAnsiTheme="majorEastAsia" w:eastAsiaTheme="majorEastAsia"/>
                <w:b/>
                <w:sz w:val="24"/>
                <w:szCs w:val="21"/>
              </w:rPr>
            </w:pPr>
          </w:p>
        </w:tc>
        <w:tc>
          <w:tcPr>
            <w:tcW w:w="935" w:type="dxa"/>
            <w:vMerge w:val="continue"/>
          </w:tcPr>
          <w:p w14:paraId="0ED0CA2B">
            <w:pPr>
              <w:spacing w:line="276" w:lineRule="auto"/>
              <w:rPr>
                <w:rFonts w:asciiTheme="majorEastAsia" w:hAnsiTheme="majorEastAsia" w:eastAsiaTheme="majorEastAsia"/>
                <w:b/>
                <w:sz w:val="24"/>
                <w:szCs w:val="21"/>
              </w:rPr>
            </w:pPr>
          </w:p>
        </w:tc>
        <w:tc>
          <w:tcPr>
            <w:tcW w:w="7564" w:type="dxa"/>
            <w:gridSpan w:val="2"/>
          </w:tcPr>
          <w:p w14:paraId="60E26788">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b/>
                <w:sz w:val="21"/>
                <w:szCs w:val="21"/>
                <w:highlight w:val="none"/>
              </w:rPr>
            </w:pPr>
            <w:r>
              <w:rPr>
                <w:rFonts w:hint="eastAsia" w:ascii="宋体" w:hAnsi="宋体" w:eastAsia="宋体" w:cs="宋体"/>
                <w:spacing w:val="3"/>
                <w:sz w:val="21"/>
                <w:szCs w:val="21"/>
                <w:highlight w:val="none"/>
                <w:lang w:val="en-US" w:eastAsia="zh-CN"/>
              </w:rPr>
              <w:t>9.</w:t>
            </w:r>
            <w:r>
              <w:rPr>
                <w:rFonts w:hint="eastAsia" w:ascii="宋体" w:hAnsi="宋体" w:eastAsia="宋体" w:cs="宋体"/>
                <w:spacing w:val="3"/>
                <w:sz w:val="21"/>
                <w:szCs w:val="21"/>
                <w:highlight w:val="none"/>
              </w:rPr>
              <w:t>气体单向流通且不回流主机，主机无需消毒；</w:t>
            </w:r>
          </w:p>
        </w:tc>
        <w:tc>
          <w:tcPr>
            <w:tcW w:w="817" w:type="dxa"/>
          </w:tcPr>
          <w:p w14:paraId="50F2266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0F10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710" w:type="dxa"/>
            <w:vMerge w:val="continue"/>
          </w:tcPr>
          <w:p w14:paraId="621DBC70">
            <w:pPr>
              <w:spacing w:line="276" w:lineRule="auto"/>
              <w:rPr>
                <w:rFonts w:asciiTheme="majorEastAsia" w:hAnsiTheme="majorEastAsia" w:eastAsiaTheme="majorEastAsia"/>
                <w:b/>
                <w:sz w:val="24"/>
                <w:szCs w:val="21"/>
              </w:rPr>
            </w:pPr>
          </w:p>
        </w:tc>
        <w:tc>
          <w:tcPr>
            <w:tcW w:w="935" w:type="dxa"/>
            <w:vMerge w:val="continue"/>
          </w:tcPr>
          <w:p w14:paraId="50039C98">
            <w:pPr>
              <w:spacing w:line="276" w:lineRule="auto"/>
              <w:rPr>
                <w:rFonts w:asciiTheme="majorEastAsia" w:hAnsiTheme="majorEastAsia" w:eastAsiaTheme="majorEastAsia"/>
                <w:b/>
                <w:sz w:val="24"/>
                <w:szCs w:val="21"/>
              </w:rPr>
            </w:pPr>
          </w:p>
        </w:tc>
        <w:tc>
          <w:tcPr>
            <w:tcW w:w="7564" w:type="dxa"/>
            <w:gridSpan w:val="2"/>
          </w:tcPr>
          <w:p w14:paraId="1ABEA84F">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10.</w:t>
            </w:r>
            <w:r>
              <w:rPr>
                <w:rFonts w:hint="eastAsia" w:ascii="宋体" w:hAnsi="宋体" w:eastAsia="宋体" w:cs="宋体"/>
                <w:spacing w:val="3"/>
                <w:sz w:val="21"/>
                <w:szCs w:val="21"/>
                <w:highlight w:val="none"/>
              </w:rPr>
              <w:t>具有日志记录功能</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事件记录及报警记录分别显示；</w:t>
            </w:r>
          </w:p>
        </w:tc>
        <w:tc>
          <w:tcPr>
            <w:tcW w:w="817" w:type="dxa"/>
          </w:tcPr>
          <w:p w14:paraId="4103D37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493A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61EC3F9B">
            <w:pPr>
              <w:spacing w:line="276" w:lineRule="auto"/>
              <w:rPr>
                <w:rFonts w:asciiTheme="majorEastAsia" w:hAnsiTheme="majorEastAsia" w:eastAsiaTheme="majorEastAsia"/>
                <w:b/>
                <w:sz w:val="24"/>
                <w:szCs w:val="21"/>
              </w:rPr>
            </w:pPr>
          </w:p>
        </w:tc>
        <w:tc>
          <w:tcPr>
            <w:tcW w:w="935" w:type="dxa"/>
            <w:vMerge w:val="continue"/>
          </w:tcPr>
          <w:p w14:paraId="3C3725FE">
            <w:pPr>
              <w:spacing w:line="276" w:lineRule="auto"/>
              <w:rPr>
                <w:rFonts w:asciiTheme="majorEastAsia" w:hAnsiTheme="majorEastAsia" w:eastAsiaTheme="majorEastAsia"/>
                <w:b/>
                <w:sz w:val="24"/>
                <w:szCs w:val="21"/>
              </w:rPr>
            </w:pPr>
          </w:p>
        </w:tc>
        <w:tc>
          <w:tcPr>
            <w:tcW w:w="7564" w:type="dxa"/>
            <w:gridSpan w:val="2"/>
          </w:tcPr>
          <w:p w14:paraId="5ADFB10D">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11.</w:t>
            </w:r>
            <w:r>
              <w:rPr>
                <w:rFonts w:hint="eastAsia" w:ascii="宋体" w:hAnsi="宋体" w:eastAsia="宋体" w:cs="宋体"/>
                <w:spacing w:val="3"/>
                <w:sz w:val="21"/>
                <w:szCs w:val="21"/>
                <w:highlight w:val="none"/>
              </w:rPr>
              <w:t>内置趋势回顾图，具有数据存储功能，可回顾</w:t>
            </w:r>
            <w:r>
              <w:rPr>
                <w:rFonts w:hint="eastAsia" w:ascii="宋体" w:hAnsi="宋体" w:cs="宋体"/>
                <w:color w:val="FF0000"/>
                <w:spacing w:val="3"/>
                <w:sz w:val="21"/>
                <w:szCs w:val="21"/>
                <w:highlight w:val="none"/>
                <w:lang w:val="en-US" w:eastAsia="zh-CN"/>
              </w:rPr>
              <w:t>至少</w:t>
            </w:r>
            <w:r>
              <w:rPr>
                <w:rFonts w:hint="eastAsia" w:ascii="宋体" w:hAnsi="宋体" w:eastAsia="宋体" w:cs="宋体"/>
                <w:spacing w:val="3"/>
                <w:sz w:val="21"/>
                <w:szCs w:val="21"/>
                <w:highlight w:val="none"/>
              </w:rPr>
              <w:t>7天的温度</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流量</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氧浓度</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脉率</w:t>
            </w:r>
            <w:r>
              <w:rPr>
                <w:rFonts w:hint="eastAsia" w:ascii="宋体" w:hAnsi="宋体" w:eastAsia="宋体" w:cs="宋体"/>
                <w:spacing w:val="3"/>
                <w:sz w:val="21"/>
                <w:szCs w:val="21"/>
                <w:highlight w:val="none"/>
                <w:lang w:val="en-US" w:eastAsia="zh-CN"/>
              </w:rPr>
              <w:t>及</w:t>
            </w:r>
            <w:r>
              <w:rPr>
                <w:rFonts w:hint="eastAsia" w:ascii="宋体" w:hAnsi="宋体" w:eastAsia="宋体" w:cs="宋体"/>
                <w:spacing w:val="3"/>
                <w:sz w:val="21"/>
                <w:szCs w:val="21"/>
                <w:highlight w:val="none"/>
              </w:rPr>
              <w:t>血氧等参数；</w:t>
            </w:r>
          </w:p>
        </w:tc>
        <w:tc>
          <w:tcPr>
            <w:tcW w:w="817" w:type="dxa"/>
          </w:tcPr>
          <w:p w14:paraId="1CBDF9F7">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4774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3360FF9B">
            <w:pPr>
              <w:spacing w:line="276" w:lineRule="auto"/>
              <w:rPr>
                <w:rFonts w:asciiTheme="majorEastAsia" w:hAnsiTheme="majorEastAsia" w:eastAsiaTheme="majorEastAsia"/>
                <w:b/>
                <w:sz w:val="24"/>
                <w:szCs w:val="21"/>
              </w:rPr>
            </w:pPr>
          </w:p>
        </w:tc>
        <w:tc>
          <w:tcPr>
            <w:tcW w:w="935" w:type="dxa"/>
            <w:vMerge w:val="continue"/>
          </w:tcPr>
          <w:p w14:paraId="446B094F">
            <w:pPr>
              <w:spacing w:line="276" w:lineRule="auto"/>
              <w:rPr>
                <w:rFonts w:asciiTheme="majorEastAsia" w:hAnsiTheme="majorEastAsia" w:eastAsiaTheme="majorEastAsia"/>
                <w:b/>
                <w:sz w:val="24"/>
                <w:szCs w:val="21"/>
              </w:rPr>
            </w:pPr>
          </w:p>
        </w:tc>
        <w:tc>
          <w:tcPr>
            <w:tcW w:w="7564" w:type="dxa"/>
            <w:gridSpan w:val="2"/>
          </w:tcPr>
          <w:p w14:paraId="26BA1667">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12.</w:t>
            </w:r>
            <w:r>
              <w:rPr>
                <w:rFonts w:hint="eastAsia" w:ascii="宋体" w:hAnsi="宋体" w:eastAsia="宋体" w:cs="宋体"/>
                <w:spacing w:val="3"/>
                <w:sz w:val="21"/>
                <w:szCs w:val="21"/>
                <w:highlight w:val="none"/>
              </w:rPr>
              <w:t>具有报警功能</w:t>
            </w:r>
            <w:r>
              <w:rPr>
                <w:rFonts w:hint="eastAsia" w:ascii="宋体" w:hAnsi="宋体" w:cs="宋体"/>
                <w:color w:val="FF0000"/>
                <w:spacing w:val="3"/>
                <w:sz w:val="21"/>
                <w:szCs w:val="21"/>
                <w:highlight w:val="none"/>
                <w:lang w:val="en-US" w:eastAsia="zh-CN"/>
              </w:rPr>
              <w:t>提</w:t>
            </w:r>
            <w:r>
              <w:rPr>
                <w:rFonts w:hint="eastAsia" w:ascii="宋体" w:hAnsi="宋体" w:eastAsia="宋体" w:cs="宋体"/>
                <w:spacing w:val="3"/>
                <w:sz w:val="21"/>
                <w:szCs w:val="21"/>
                <w:highlight w:val="none"/>
              </w:rPr>
              <w:t>示：</w:t>
            </w:r>
            <w:r>
              <w:rPr>
                <w:rFonts w:hint="eastAsia" w:ascii="宋体" w:hAnsi="宋体" w:cs="宋体"/>
                <w:color w:val="FF0000"/>
                <w:spacing w:val="3"/>
                <w:sz w:val="21"/>
                <w:szCs w:val="21"/>
                <w:highlight w:val="none"/>
                <w:lang w:val="en-US" w:eastAsia="zh-CN"/>
              </w:rPr>
              <w:t>至少包括</w:t>
            </w:r>
            <w:r>
              <w:rPr>
                <w:rFonts w:hint="eastAsia" w:ascii="宋体" w:hAnsi="宋体" w:eastAsia="宋体" w:cs="宋体"/>
                <w:spacing w:val="3"/>
                <w:sz w:val="21"/>
                <w:szCs w:val="21"/>
                <w:highlight w:val="none"/>
              </w:rPr>
              <w:t>干烧报警、管路使用异常报警、环境温度过高报警、环境 温度过低报警、无法达到目标温度、氧浓度过高报警、氧浓度过低报警、氧源压力过高报警、 氧源压力过低报警；</w:t>
            </w:r>
          </w:p>
        </w:tc>
        <w:tc>
          <w:tcPr>
            <w:tcW w:w="817" w:type="dxa"/>
          </w:tcPr>
          <w:p w14:paraId="6A3F7088">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60CCB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710" w:type="dxa"/>
            <w:vMerge w:val="continue"/>
          </w:tcPr>
          <w:p w14:paraId="3C014B01">
            <w:pPr>
              <w:spacing w:line="276" w:lineRule="auto"/>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可以。设计</w:t>
            </w:r>
          </w:p>
        </w:tc>
        <w:tc>
          <w:tcPr>
            <w:tcW w:w="935" w:type="dxa"/>
            <w:vMerge w:val="continue"/>
          </w:tcPr>
          <w:p w14:paraId="5E61E376">
            <w:pPr>
              <w:spacing w:line="276" w:lineRule="auto"/>
              <w:rPr>
                <w:rFonts w:asciiTheme="majorEastAsia" w:hAnsiTheme="majorEastAsia" w:eastAsiaTheme="majorEastAsia"/>
                <w:b/>
                <w:sz w:val="24"/>
                <w:szCs w:val="21"/>
              </w:rPr>
            </w:pPr>
          </w:p>
        </w:tc>
        <w:tc>
          <w:tcPr>
            <w:tcW w:w="7564" w:type="dxa"/>
            <w:gridSpan w:val="2"/>
          </w:tcPr>
          <w:p w14:paraId="310F5D3A">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13.</w:t>
            </w:r>
            <w:r>
              <w:rPr>
                <w:rFonts w:hint="eastAsia" w:ascii="宋体" w:hAnsi="宋体" w:eastAsia="宋体" w:cs="宋体"/>
                <w:spacing w:val="3"/>
                <w:sz w:val="21"/>
                <w:szCs w:val="21"/>
                <w:highlight w:val="none"/>
              </w:rPr>
              <w:t>具备一键报警消音功能；</w:t>
            </w:r>
          </w:p>
        </w:tc>
        <w:tc>
          <w:tcPr>
            <w:tcW w:w="817" w:type="dxa"/>
          </w:tcPr>
          <w:p w14:paraId="1EC6DAF6">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D98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dxa"/>
            <w:vMerge w:val="continue"/>
          </w:tcPr>
          <w:p w14:paraId="7256A613">
            <w:pPr>
              <w:spacing w:line="276" w:lineRule="auto"/>
              <w:rPr>
                <w:rFonts w:asciiTheme="majorEastAsia" w:hAnsiTheme="majorEastAsia" w:eastAsiaTheme="majorEastAsia"/>
                <w:b/>
                <w:sz w:val="24"/>
                <w:szCs w:val="21"/>
              </w:rPr>
            </w:pPr>
          </w:p>
        </w:tc>
        <w:tc>
          <w:tcPr>
            <w:tcW w:w="935" w:type="dxa"/>
            <w:vMerge w:val="continue"/>
          </w:tcPr>
          <w:p w14:paraId="2ACB9ACC">
            <w:pPr>
              <w:spacing w:line="276" w:lineRule="auto"/>
              <w:rPr>
                <w:rFonts w:asciiTheme="majorEastAsia" w:hAnsiTheme="majorEastAsia" w:eastAsiaTheme="majorEastAsia"/>
                <w:b/>
                <w:sz w:val="24"/>
                <w:szCs w:val="21"/>
              </w:rPr>
            </w:pPr>
          </w:p>
        </w:tc>
        <w:tc>
          <w:tcPr>
            <w:tcW w:w="7564" w:type="dxa"/>
            <w:gridSpan w:val="2"/>
          </w:tcPr>
          <w:p w14:paraId="577B5759">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14.</w:t>
            </w:r>
            <w:r>
              <w:rPr>
                <w:rFonts w:hint="eastAsia" w:ascii="宋体" w:hAnsi="宋体" w:eastAsia="宋体" w:cs="宋体"/>
                <w:spacing w:val="3"/>
                <w:sz w:val="21"/>
                <w:szCs w:val="21"/>
                <w:highlight w:val="none"/>
              </w:rPr>
              <w:t>具有预设治疗时间已到提示、运行断电声音提示；</w:t>
            </w:r>
          </w:p>
        </w:tc>
        <w:tc>
          <w:tcPr>
            <w:tcW w:w="817" w:type="dxa"/>
          </w:tcPr>
          <w:p w14:paraId="182D301D">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1657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continue"/>
          </w:tcPr>
          <w:p w14:paraId="7F0432E5">
            <w:pPr>
              <w:spacing w:line="276" w:lineRule="auto"/>
              <w:rPr>
                <w:rFonts w:asciiTheme="majorEastAsia" w:hAnsiTheme="majorEastAsia" w:eastAsiaTheme="majorEastAsia"/>
                <w:b/>
                <w:sz w:val="24"/>
                <w:szCs w:val="21"/>
              </w:rPr>
            </w:pPr>
          </w:p>
        </w:tc>
        <w:tc>
          <w:tcPr>
            <w:tcW w:w="935" w:type="dxa"/>
            <w:vMerge w:val="continue"/>
          </w:tcPr>
          <w:p w14:paraId="06297363">
            <w:pPr>
              <w:spacing w:line="276" w:lineRule="auto"/>
              <w:rPr>
                <w:rFonts w:asciiTheme="majorEastAsia" w:hAnsiTheme="majorEastAsia" w:eastAsiaTheme="majorEastAsia"/>
                <w:b/>
                <w:sz w:val="24"/>
                <w:szCs w:val="21"/>
              </w:rPr>
            </w:pPr>
          </w:p>
        </w:tc>
        <w:tc>
          <w:tcPr>
            <w:tcW w:w="7564" w:type="dxa"/>
            <w:gridSpan w:val="2"/>
          </w:tcPr>
          <w:p w14:paraId="0DBCB1A3">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lang w:val="en-US" w:eastAsia="zh-CN"/>
              </w:rPr>
              <w:t>15.</w:t>
            </w:r>
            <w:r>
              <w:rPr>
                <w:rFonts w:hint="eastAsia" w:ascii="宋体" w:hAnsi="宋体" w:cs="宋体"/>
                <w:spacing w:val="3"/>
                <w:sz w:val="21"/>
                <w:szCs w:val="21"/>
                <w:highlight w:val="none"/>
                <w:lang w:val="en-US" w:eastAsia="zh-CN"/>
              </w:rPr>
              <w:t>具有</w:t>
            </w:r>
            <w:r>
              <w:rPr>
                <w:rFonts w:hint="eastAsia" w:ascii="宋体" w:hAnsi="宋体" w:eastAsia="宋体" w:cs="宋体"/>
                <w:spacing w:val="3"/>
                <w:sz w:val="21"/>
                <w:szCs w:val="21"/>
                <w:highlight w:val="none"/>
              </w:rPr>
              <w:t>管路及鼻塞干燥功能</w:t>
            </w:r>
            <w:r>
              <w:rPr>
                <w:rFonts w:hint="eastAsia" w:ascii="宋体" w:hAnsi="宋体" w:eastAsia="宋体" w:cs="宋体"/>
                <w:spacing w:val="3"/>
                <w:sz w:val="21"/>
                <w:szCs w:val="21"/>
                <w:highlight w:val="none"/>
                <w:lang w:val="en-US" w:eastAsia="zh-CN"/>
              </w:rPr>
              <w:t>。</w:t>
            </w:r>
          </w:p>
        </w:tc>
        <w:tc>
          <w:tcPr>
            <w:tcW w:w="817" w:type="dxa"/>
          </w:tcPr>
          <w:p w14:paraId="19407FD9">
            <w:pPr>
              <w:keepNext w:val="0"/>
              <w:keepLines w:val="0"/>
              <w:pageBreakBefore w:val="0"/>
              <w:kinsoku/>
              <w:wordWrap/>
              <w:overflowPunct/>
              <w:topLinePunct w:val="0"/>
              <w:autoSpaceDE/>
              <w:autoSpaceDN/>
              <w:bidi w:val="0"/>
              <w:spacing w:line="240" w:lineRule="exact"/>
              <w:jc w:val="center"/>
              <w:textAlignment w:val="auto"/>
              <w:rPr>
                <w:rFonts w:ascii="宋体" w:hAnsi="宋体" w:eastAsia="宋体" w:cs="微软雅黑"/>
                <w:spacing w:val="-7"/>
                <w:kern w:val="0"/>
                <w:sz w:val="18"/>
                <w:szCs w:val="18"/>
              </w:rPr>
            </w:pPr>
          </w:p>
        </w:tc>
      </w:tr>
      <w:tr w14:paraId="6AF6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710" w:type="dxa"/>
            <w:vMerge w:val="continue"/>
          </w:tcPr>
          <w:p w14:paraId="0C5EADE4">
            <w:pPr>
              <w:spacing w:line="276" w:lineRule="auto"/>
              <w:rPr>
                <w:rFonts w:asciiTheme="majorEastAsia" w:hAnsiTheme="majorEastAsia" w:eastAsiaTheme="majorEastAsia"/>
                <w:b/>
                <w:sz w:val="24"/>
                <w:szCs w:val="21"/>
              </w:rPr>
            </w:pPr>
          </w:p>
        </w:tc>
        <w:tc>
          <w:tcPr>
            <w:tcW w:w="935" w:type="dxa"/>
            <w:vMerge w:val="continue"/>
          </w:tcPr>
          <w:p w14:paraId="1C54D544">
            <w:pPr>
              <w:spacing w:line="276" w:lineRule="auto"/>
              <w:rPr>
                <w:rFonts w:asciiTheme="majorEastAsia" w:hAnsiTheme="majorEastAsia" w:eastAsiaTheme="majorEastAsia"/>
                <w:b/>
                <w:sz w:val="24"/>
                <w:szCs w:val="21"/>
              </w:rPr>
            </w:pPr>
          </w:p>
        </w:tc>
        <w:tc>
          <w:tcPr>
            <w:tcW w:w="7564" w:type="dxa"/>
            <w:gridSpan w:val="2"/>
          </w:tcPr>
          <w:p w14:paraId="5429C8C4">
            <w:pPr>
              <w:keepNext w:val="0"/>
              <w:keepLines w:val="0"/>
              <w:pageBreakBefore w:val="0"/>
              <w:kinsoku/>
              <w:wordWrap/>
              <w:overflowPunct/>
              <w:topLinePunct w:val="0"/>
              <w:autoSpaceDE/>
              <w:autoSpaceDN/>
              <w:bidi w:val="0"/>
              <w:adjustRightInd/>
              <w:snapToGrid/>
              <w:spacing w:line="32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二、配件参数</w:t>
            </w:r>
          </w:p>
          <w:p w14:paraId="73EBF5D7">
            <w:pPr>
              <w:keepNext w:val="0"/>
              <w:keepLines w:val="0"/>
              <w:pageBreakBefore w:val="0"/>
              <w:widowControl w:val="0"/>
              <w:kinsoku/>
              <w:wordWrap/>
              <w:overflowPunct/>
              <w:topLinePunct w:val="0"/>
              <w:autoSpaceDE/>
              <w:autoSpaceDN/>
              <w:bidi w:val="0"/>
              <w:adjustRightInd/>
              <w:snapToGrid/>
              <w:spacing w:line="320" w:lineRule="exact"/>
              <w:textAlignment w:val="auto"/>
              <w:rPr>
                <w:rFonts w:asciiTheme="majorEastAsia" w:hAnsiTheme="majorEastAsia" w:eastAsiaTheme="majorEastAsia"/>
                <w:b/>
                <w:sz w:val="21"/>
                <w:szCs w:val="21"/>
                <w:highlight w:val="none"/>
              </w:rPr>
            </w:pPr>
            <w:r>
              <w:rPr>
                <w:rFonts w:hint="eastAsia" w:ascii="宋体" w:hAnsi="宋体" w:eastAsia="宋体" w:cs="微软雅黑"/>
                <w:spacing w:val="3"/>
                <w:sz w:val="21"/>
                <w:szCs w:val="21"/>
                <w:highlight w:val="none"/>
                <w:lang w:val="en-US" w:eastAsia="zh-CN"/>
              </w:rPr>
              <w:t>1.</w:t>
            </w:r>
            <w:r>
              <w:rPr>
                <w:rFonts w:hint="eastAsia" w:ascii="宋体" w:hAnsi="宋体" w:eastAsia="宋体" w:cs="微软雅黑"/>
                <w:spacing w:val="3"/>
                <w:sz w:val="21"/>
                <w:szCs w:val="21"/>
                <w:highlight w:val="none"/>
              </w:rPr>
              <w:t>标配血氧饱和度</w:t>
            </w:r>
            <w:r>
              <w:rPr>
                <w:rFonts w:hint="eastAsia" w:ascii="宋体" w:hAnsi="宋体" w:cs="微软雅黑"/>
                <w:spacing w:val="3"/>
                <w:sz w:val="21"/>
                <w:szCs w:val="21"/>
                <w:highlight w:val="none"/>
                <w:lang w:val="en-US" w:eastAsia="zh-CN"/>
              </w:rPr>
              <w:t>及</w:t>
            </w:r>
            <w:r>
              <w:rPr>
                <w:rFonts w:hint="eastAsia" w:ascii="宋体" w:hAnsi="宋体" w:eastAsia="宋体" w:cs="微软雅黑"/>
                <w:spacing w:val="3"/>
                <w:sz w:val="21"/>
                <w:szCs w:val="21"/>
                <w:highlight w:val="none"/>
              </w:rPr>
              <w:t>脉率监测。可选配儿童款血氧探头；</w:t>
            </w:r>
          </w:p>
        </w:tc>
        <w:tc>
          <w:tcPr>
            <w:tcW w:w="817" w:type="dxa"/>
          </w:tcPr>
          <w:p w14:paraId="722A9DEA">
            <w:pPr>
              <w:keepNext w:val="0"/>
              <w:keepLines w:val="0"/>
              <w:pageBreakBefore w:val="0"/>
              <w:kinsoku/>
              <w:wordWrap/>
              <w:overflowPunct/>
              <w:topLinePunct w:val="0"/>
              <w:autoSpaceDE/>
              <w:autoSpaceDN/>
              <w:bidi w:val="0"/>
              <w:spacing w:line="240" w:lineRule="exact"/>
              <w:jc w:val="center"/>
              <w:textAlignment w:val="auto"/>
              <w:rPr>
                <w:rFonts w:asciiTheme="majorEastAsia" w:hAnsiTheme="majorEastAsia" w:eastAsiaTheme="majorEastAsia"/>
                <w:b/>
                <w:sz w:val="24"/>
                <w:szCs w:val="21"/>
              </w:rPr>
            </w:pPr>
          </w:p>
        </w:tc>
      </w:tr>
      <w:tr w14:paraId="67C6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710" w:type="dxa"/>
            <w:vMerge w:val="continue"/>
          </w:tcPr>
          <w:p w14:paraId="5B26A9D5">
            <w:pPr>
              <w:spacing w:line="276" w:lineRule="auto"/>
              <w:rPr>
                <w:rFonts w:asciiTheme="majorEastAsia" w:hAnsiTheme="majorEastAsia" w:eastAsiaTheme="majorEastAsia"/>
                <w:b/>
                <w:sz w:val="24"/>
                <w:szCs w:val="21"/>
              </w:rPr>
            </w:pPr>
          </w:p>
        </w:tc>
        <w:tc>
          <w:tcPr>
            <w:tcW w:w="935" w:type="dxa"/>
            <w:vMerge w:val="continue"/>
          </w:tcPr>
          <w:p w14:paraId="4E4DEAD7">
            <w:pPr>
              <w:spacing w:line="276" w:lineRule="auto"/>
              <w:rPr>
                <w:rFonts w:asciiTheme="majorEastAsia" w:hAnsiTheme="majorEastAsia" w:eastAsiaTheme="majorEastAsia"/>
                <w:b/>
                <w:sz w:val="24"/>
                <w:szCs w:val="21"/>
              </w:rPr>
            </w:pPr>
          </w:p>
        </w:tc>
        <w:tc>
          <w:tcPr>
            <w:tcW w:w="7564" w:type="dxa"/>
            <w:gridSpan w:val="2"/>
          </w:tcPr>
          <w:p w14:paraId="45C2C08D">
            <w:pPr>
              <w:rPr>
                <w:rFonts w:asciiTheme="majorEastAsia" w:hAnsiTheme="majorEastAsia" w:eastAsiaTheme="majorEastAsia"/>
                <w:b/>
                <w:sz w:val="21"/>
                <w:szCs w:val="21"/>
                <w:highlight w:val="none"/>
              </w:rPr>
            </w:pPr>
            <w:r>
              <w:rPr>
                <w:rFonts w:hint="eastAsia" w:ascii="宋体" w:hAnsi="宋体" w:cs="微软雅黑"/>
                <w:spacing w:val="3"/>
                <w:sz w:val="21"/>
                <w:szCs w:val="21"/>
                <w:highlight w:val="none"/>
                <w:lang w:val="en-US" w:eastAsia="zh-CN"/>
              </w:rPr>
              <w:t>2.</w:t>
            </w:r>
            <w:r>
              <w:rPr>
                <w:rFonts w:hint="eastAsia" w:ascii="宋体" w:hAnsi="宋体" w:eastAsia="宋体" w:cs="微软雅黑"/>
                <w:spacing w:val="3"/>
                <w:sz w:val="21"/>
                <w:szCs w:val="21"/>
                <w:highlight w:val="none"/>
              </w:rPr>
              <w:t>加温湿化器的湿化水罐</w:t>
            </w:r>
            <w:r>
              <w:rPr>
                <w:rFonts w:hint="eastAsia" w:ascii="宋体" w:hAnsi="宋体" w:cs="微软雅黑"/>
                <w:spacing w:val="3"/>
                <w:sz w:val="21"/>
                <w:szCs w:val="21"/>
                <w:highlight w:val="none"/>
                <w:lang w:val="en-US" w:eastAsia="zh-CN"/>
              </w:rPr>
              <w:t>可</w:t>
            </w:r>
            <w:r>
              <w:rPr>
                <w:rFonts w:hint="eastAsia" w:ascii="宋体" w:hAnsi="宋体" w:eastAsia="宋体" w:cs="微软雅黑"/>
                <w:spacing w:val="3"/>
                <w:sz w:val="21"/>
                <w:szCs w:val="21"/>
                <w:highlight w:val="none"/>
              </w:rPr>
              <w:t>自动加水，可变容积50ml至150ml；顺应性 ≤0.6ml/</w:t>
            </w:r>
            <w:r>
              <w:rPr>
                <w:rFonts w:ascii="宋体" w:hAnsi="宋体" w:eastAsia="宋体" w:cs="宋体"/>
                <w:sz w:val="24"/>
                <w:szCs w:val="24"/>
              </w:rPr>
              <w:t>cmH₂O</w:t>
            </w:r>
            <w:r>
              <w:rPr>
                <w:rFonts w:hint="eastAsia" w:ascii="宋体" w:hAnsi="宋体" w:eastAsia="宋体" w:cs="微软雅黑"/>
                <w:spacing w:val="3"/>
                <w:sz w:val="21"/>
                <w:szCs w:val="21"/>
                <w:highlight w:val="none"/>
              </w:rPr>
              <w:t>；</w:t>
            </w:r>
            <w:r>
              <w:rPr>
                <w:rFonts w:hint="eastAsia"/>
                <w:lang w:val="en-US" w:eastAsia="zh-CN"/>
              </w:rPr>
              <w:t>（涵盖此范围即视为符合）</w:t>
            </w:r>
          </w:p>
        </w:tc>
        <w:tc>
          <w:tcPr>
            <w:tcW w:w="817" w:type="dxa"/>
          </w:tcPr>
          <w:p w14:paraId="70F42A9C">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1EEE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0" w:type="dxa"/>
            <w:vMerge w:val="continue"/>
          </w:tcPr>
          <w:p w14:paraId="00088EFD">
            <w:pPr>
              <w:spacing w:line="276" w:lineRule="auto"/>
              <w:rPr>
                <w:rFonts w:asciiTheme="majorEastAsia" w:hAnsiTheme="majorEastAsia" w:eastAsiaTheme="majorEastAsia"/>
                <w:b/>
                <w:sz w:val="24"/>
                <w:szCs w:val="21"/>
              </w:rPr>
            </w:pPr>
          </w:p>
        </w:tc>
        <w:tc>
          <w:tcPr>
            <w:tcW w:w="935" w:type="dxa"/>
            <w:vMerge w:val="continue"/>
          </w:tcPr>
          <w:p w14:paraId="0F374DFE">
            <w:pPr>
              <w:spacing w:line="276" w:lineRule="auto"/>
              <w:rPr>
                <w:rFonts w:asciiTheme="majorEastAsia" w:hAnsiTheme="majorEastAsia" w:eastAsiaTheme="majorEastAsia"/>
                <w:b/>
                <w:sz w:val="24"/>
                <w:szCs w:val="21"/>
              </w:rPr>
            </w:pPr>
          </w:p>
        </w:tc>
        <w:tc>
          <w:tcPr>
            <w:tcW w:w="7564" w:type="dxa"/>
            <w:gridSpan w:val="2"/>
          </w:tcPr>
          <w:p w14:paraId="49FF9373">
            <w:pPr>
              <w:keepNext w:val="0"/>
              <w:keepLines w:val="0"/>
              <w:pageBreakBefore w:val="0"/>
              <w:widowControl w:val="0"/>
              <w:kinsoku/>
              <w:wordWrap/>
              <w:overflowPunct/>
              <w:topLinePunct w:val="0"/>
              <w:autoSpaceDE/>
              <w:autoSpaceDN/>
              <w:bidi w:val="0"/>
              <w:adjustRightInd/>
              <w:snapToGrid/>
              <w:spacing w:line="320" w:lineRule="exact"/>
              <w:textAlignment w:val="auto"/>
              <w:rPr>
                <w:rFonts w:asciiTheme="majorEastAsia" w:hAnsiTheme="majorEastAsia" w:eastAsiaTheme="majorEastAsia"/>
                <w:b/>
                <w:sz w:val="21"/>
                <w:szCs w:val="21"/>
                <w:highlight w:val="none"/>
              </w:rPr>
            </w:pPr>
            <w:r>
              <w:rPr>
                <w:rFonts w:hint="eastAsia" w:ascii="宋体" w:hAnsi="宋体" w:eastAsia="宋体" w:cs="微软雅黑"/>
                <w:spacing w:val="3"/>
                <w:sz w:val="21"/>
                <w:szCs w:val="21"/>
                <w:highlight w:val="none"/>
                <w:lang w:val="en-US" w:eastAsia="zh-CN"/>
              </w:rPr>
              <w:t>3.</w:t>
            </w:r>
            <w:r>
              <w:rPr>
                <w:rFonts w:hint="eastAsia" w:ascii="宋体" w:hAnsi="宋体" w:eastAsia="宋体" w:cs="微软雅黑"/>
                <w:spacing w:val="3"/>
                <w:sz w:val="21"/>
                <w:szCs w:val="21"/>
                <w:highlight w:val="none"/>
              </w:rPr>
              <w:t>配置加温呼吸管路，加热丝总长度≥700cm ，螺旋管路且带温度传感器监控；</w:t>
            </w:r>
          </w:p>
        </w:tc>
        <w:tc>
          <w:tcPr>
            <w:tcW w:w="817" w:type="dxa"/>
          </w:tcPr>
          <w:p w14:paraId="2A61DE34">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412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0" w:type="dxa"/>
            <w:vMerge w:val="continue"/>
          </w:tcPr>
          <w:p w14:paraId="5DAE6273">
            <w:pPr>
              <w:spacing w:line="276" w:lineRule="auto"/>
              <w:rPr>
                <w:rFonts w:asciiTheme="majorEastAsia" w:hAnsiTheme="majorEastAsia" w:eastAsiaTheme="majorEastAsia"/>
                <w:b/>
                <w:sz w:val="24"/>
                <w:szCs w:val="21"/>
              </w:rPr>
            </w:pPr>
          </w:p>
        </w:tc>
        <w:tc>
          <w:tcPr>
            <w:tcW w:w="935" w:type="dxa"/>
            <w:vMerge w:val="continue"/>
          </w:tcPr>
          <w:p w14:paraId="7AA8F365">
            <w:pPr>
              <w:spacing w:line="276" w:lineRule="auto"/>
              <w:rPr>
                <w:rFonts w:asciiTheme="majorEastAsia" w:hAnsiTheme="majorEastAsia" w:eastAsiaTheme="majorEastAsia"/>
                <w:b/>
                <w:sz w:val="24"/>
                <w:szCs w:val="21"/>
              </w:rPr>
            </w:pPr>
          </w:p>
        </w:tc>
        <w:tc>
          <w:tcPr>
            <w:tcW w:w="7564" w:type="dxa"/>
            <w:gridSpan w:val="2"/>
          </w:tcPr>
          <w:p w14:paraId="7C592D70">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微软雅黑"/>
                <w:spacing w:val="3"/>
                <w:sz w:val="21"/>
                <w:szCs w:val="21"/>
                <w:highlight w:val="none"/>
              </w:rPr>
            </w:pPr>
            <w:r>
              <w:rPr>
                <w:rFonts w:hint="eastAsia" w:ascii="宋体" w:hAnsi="宋体" w:eastAsia="宋体" w:cs="微软雅黑"/>
                <w:spacing w:val="3"/>
                <w:sz w:val="21"/>
                <w:szCs w:val="21"/>
                <w:highlight w:val="none"/>
                <w:lang w:val="en-US" w:eastAsia="zh-CN"/>
              </w:rPr>
              <w:t>4.</w:t>
            </w:r>
            <w:r>
              <w:rPr>
                <w:rFonts w:hint="eastAsia" w:ascii="宋体" w:hAnsi="宋体" w:eastAsia="宋体" w:cs="微软雅黑"/>
                <w:spacing w:val="3"/>
                <w:sz w:val="21"/>
                <w:szCs w:val="21"/>
                <w:highlight w:val="none"/>
              </w:rPr>
              <w:t>具有高密度过滤棉，同时带有滤棉提醒功能，</w:t>
            </w:r>
            <w:r>
              <w:rPr>
                <w:rFonts w:hint="eastAsia" w:ascii="宋体" w:hAnsi="宋体" w:eastAsia="宋体" w:cs="微软雅黑"/>
                <w:color w:val="FF0000"/>
                <w:spacing w:val="3"/>
                <w:sz w:val="21"/>
                <w:szCs w:val="21"/>
                <w:highlight w:val="none"/>
              </w:rPr>
              <w:t>可设置滤棉</w:t>
            </w:r>
            <w:r>
              <w:rPr>
                <w:rFonts w:hint="eastAsia" w:ascii="宋体" w:hAnsi="宋体" w:cs="微软雅黑"/>
                <w:color w:val="FF0000"/>
                <w:spacing w:val="3"/>
                <w:sz w:val="21"/>
                <w:szCs w:val="21"/>
                <w:highlight w:val="none"/>
                <w:lang w:val="en-US" w:eastAsia="zh-CN"/>
              </w:rPr>
              <w:t>使用时间</w:t>
            </w:r>
            <w:r>
              <w:rPr>
                <w:rFonts w:hint="eastAsia" w:ascii="宋体" w:hAnsi="宋体" w:eastAsia="宋体" w:cs="微软雅黑"/>
                <w:color w:val="FF0000"/>
                <w:spacing w:val="3"/>
                <w:sz w:val="21"/>
                <w:szCs w:val="21"/>
                <w:highlight w:val="none"/>
              </w:rPr>
              <w:t>提醒，</w:t>
            </w:r>
            <w:r>
              <w:rPr>
                <w:rFonts w:hint="eastAsia" w:ascii="宋体" w:hAnsi="宋体" w:cs="微软雅黑"/>
                <w:color w:val="FF0000"/>
                <w:spacing w:val="3"/>
                <w:sz w:val="21"/>
                <w:szCs w:val="21"/>
                <w:highlight w:val="none"/>
                <w:lang w:val="en-US" w:eastAsia="zh-CN"/>
              </w:rPr>
              <w:t>以便</w:t>
            </w:r>
            <w:r>
              <w:rPr>
                <w:rFonts w:hint="eastAsia" w:ascii="宋体" w:hAnsi="宋体" w:eastAsia="宋体" w:cs="微软雅黑"/>
                <w:color w:val="FF0000"/>
                <w:spacing w:val="3"/>
                <w:sz w:val="21"/>
                <w:szCs w:val="21"/>
                <w:highlight w:val="none"/>
              </w:rPr>
              <w:t>及时更换过滤棉；</w:t>
            </w:r>
          </w:p>
        </w:tc>
        <w:tc>
          <w:tcPr>
            <w:tcW w:w="817" w:type="dxa"/>
          </w:tcPr>
          <w:p w14:paraId="3F98CB6C">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6162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10" w:type="dxa"/>
            <w:vMerge w:val="continue"/>
          </w:tcPr>
          <w:p w14:paraId="01E76E71">
            <w:pPr>
              <w:spacing w:line="276" w:lineRule="auto"/>
              <w:rPr>
                <w:rFonts w:asciiTheme="majorEastAsia" w:hAnsiTheme="majorEastAsia" w:eastAsiaTheme="majorEastAsia"/>
                <w:b/>
                <w:sz w:val="24"/>
                <w:szCs w:val="21"/>
              </w:rPr>
            </w:pPr>
          </w:p>
        </w:tc>
        <w:tc>
          <w:tcPr>
            <w:tcW w:w="935" w:type="dxa"/>
            <w:vMerge w:val="continue"/>
          </w:tcPr>
          <w:p w14:paraId="52A50E16">
            <w:pPr>
              <w:spacing w:line="276" w:lineRule="auto"/>
              <w:rPr>
                <w:rFonts w:asciiTheme="majorEastAsia" w:hAnsiTheme="majorEastAsia" w:eastAsiaTheme="majorEastAsia"/>
                <w:b/>
                <w:sz w:val="24"/>
                <w:szCs w:val="21"/>
              </w:rPr>
            </w:pPr>
          </w:p>
        </w:tc>
        <w:tc>
          <w:tcPr>
            <w:tcW w:w="7564" w:type="dxa"/>
            <w:gridSpan w:val="2"/>
          </w:tcPr>
          <w:p w14:paraId="74DBB4DB">
            <w:pPr>
              <w:keepNext w:val="0"/>
              <w:keepLines w:val="0"/>
              <w:pageBreakBefore w:val="0"/>
              <w:kinsoku/>
              <w:wordWrap/>
              <w:overflowPunct/>
              <w:topLinePunct w:val="0"/>
              <w:autoSpaceDE/>
              <w:autoSpaceDN/>
              <w:bidi w:val="0"/>
              <w:adjustRightInd/>
              <w:snapToGrid/>
              <w:spacing w:line="32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三、软件参数</w:t>
            </w:r>
          </w:p>
          <w:p w14:paraId="5C4DAFF4">
            <w:pPr>
              <w:keepNext w:val="0"/>
              <w:keepLines w:val="0"/>
              <w:pageBreakBefore w:val="0"/>
              <w:widowControl w:val="0"/>
              <w:kinsoku/>
              <w:wordWrap/>
              <w:overflowPunct/>
              <w:topLinePunct w:val="0"/>
              <w:autoSpaceDE/>
              <w:autoSpaceDN/>
              <w:bidi w:val="0"/>
              <w:adjustRightInd/>
              <w:snapToGrid/>
              <w:spacing w:line="320" w:lineRule="exact"/>
              <w:textAlignment w:val="auto"/>
              <w:rPr>
                <w:rFonts w:asciiTheme="majorEastAsia" w:hAnsiTheme="majorEastAsia" w:eastAsiaTheme="majorEastAsia"/>
                <w:b/>
                <w:sz w:val="24"/>
                <w:szCs w:val="21"/>
                <w:highlight w:val="none"/>
              </w:rPr>
            </w:pPr>
            <w:r>
              <w:rPr>
                <w:rFonts w:hint="eastAsia" w:ascii="宋体" w:hAnsi="宋体" w:eastAsia="宋体" w:cs="微软雅黑"/>
                <w:spacing w:val="3"/>
                <w:sz w:val="21"/>
                <w:szCs w:val="21"/>
                <w:highlight w:val="none"/>
                <w:lang w:val="en-US" w:eastAsia="zh-CN"/>
              </w:rPr>
              <w:t>1.</w:t>
            </w:r>
            <w:r>
              <w:rPr>
                <w:rFonts w:hint="eastAsia" w:ascii="宋体" w:hAnsi="宋体" w:eastAsia="宋体" w:cs="微软雅黑"/>
                <w:spacing w:val="3"/>
                <w:sz w:val="21"/>
                <w:szCs w:val="21"/>
                <w:highlight w:val="none"/>
              </w:rPr>
              <w:t>内置PID控制算法，对流量、氧浓度、温湿度等参数进行精确稳定控制；</w:t>
            </w:r>
          </w:p>
        </w:tc>
        <w:tc>
          <w:tcPr>
            <w:tcW w:w="817" w:type="dxa"/>
          </w:tcPr>
          <w:p w14:paraId="5826A87A">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p>
        </w:tc>
      </w:tr>
      <w:tr w14:paraId="6364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0026" w:type="dxa"/>
            <w:gridSpan w:val="5"/>
          </w:tcPr>
          <w:p w14:paraId="165151C8">
            <w:pPr>
              <w:keepNext w:val="0"/>
              <w:keepLines w:val="0"/>
              <w:pageBreakBefore w:val="0"/>
              <w:kinsoku/>
              <w:wordWrap/>
              <w:overflowPunct/>
              <w:topLinePunct w:val="0"/>
              <w:autoSpaceDE/>
              <w:autoSpaceDN/>
              <w:bidi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977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765" w:type="dxa"/>
            <w:gridSpan w:val="3"/>
            <w:vAlign w:val="top"/>
          </w:tcPr>
          <w:p w14:paraId="34431D1E">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vAlign w:val="top"/>
          </w:tcPr>
          <w:p w14:paraId="43FAC5D5">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2A3AA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765" w:type="dxa"/>
            <w:gridSpan w:val="3"/>
            <w:vAlign w:val="top"/>
          </w:tcPr>
          <w:p w14:paraId="2FD179C5">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vAlign w:val="top"/>
          </w:tcPr>
          <w:p w14:paraId="74ACAF3D">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0FC3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765" w:type="dxa"/>
            <w:gridSpan w:val="3"/>
            <w:vAlign w:val="top"/>
          </w:tcPr>
          <w:p w14:paraId="09190F9E">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vAlign w:val="top"/>
          </w:tcPr>
          <w:p w14:paraId="3BB78A4C">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宋体" w:hAnsi="宋体" w:eastAsia="宋体" w:cs="宋体"/>
                <w:b/>
                <w:sz w:val="21"/>
                <w:szCs w:val="21"/>
                <w:lang w:eastAsia="zh-CN"/>
              </w:rPr>
            </w:pPr>
            <w:r>
              <w:rPr>
                <w:rFonts w:hint="eastAsia" w:ascii="宋体" w:hAnsi="宋体" w:eastAsia="宋体" w:cs="宋体"/>
                <w:sz w:val="21"/>
                <w:szCs w:val="21"/>
              </w:rPr>
              <w:t>报价必须是完成该项目的一切费用总和，包括设备费、运输费、装卸费、保险费、技术培训费、设备安装费、调试费、售后服务费、国家规定的各项税费等全部费用</w:t>
            </w:r>
          </w:p>
        </w:tc>
      </w:tr>
      <w:tr w14:paraId="40DF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765" w:type="dxa"/>
            <w:gridSpan w:val="3"/>
            <w:vAlign w:val="top"/>
          </w:tcPr>
          <w:p w14:paraId="274C3CE5">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vAlign w:val="top"/>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lang w:val="en-US" w:eastAsia="zh-CN"/>
              </w:rPr>
              <w:t>10个工作</w:t>
            </w:r>
            <w:r>
              <w:rPr>
                <w:rFonts w:hint="eastAsia" w:ascii="宋体" w:hAnsi="宋体"/>
                <w:szCs w:val="21"/>
              </w:rPr>
              <w:t>日内</w:t>
            </w:r>
            <w:r>
              <w:rPr>
                <w:rFonts w:hint="eastAsia" w:asciiTheme="majorEastAsia" w:hAnsiTheme="majorEastAsia" w:eastAsiaTheme="majorEastAsia"/>
                <w:bCs/>
                <w:szCs w:val="21"/>
              </w:rPr>
              <w:t>，支付100%合同货款到乙方指定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6DBB4286">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宋体" w:hAnsi="宋体" w:eastAsia="宋体" w:cs="宋体"/>
                <w:b/>
                <w:sz w:val="21"/>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tc>
      </w:tr>
      <w:tr w14:paraId="5482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44416B01">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vAlign w:val="top"/>
          </w:tcPr>
          <w:p w14:paraId="6B0C175C">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5.1 中标人应向采购人提供配置清单、产品说明书、图纸、操作手册、中文操作使用说明书、设备原厂维护手册、维修手册、软件备份、故障代码表、备件清单、零部件、维护手册（含维修密码及接口数据）等维护维修必需的材料和信息。所有外文资料需提供中文译本。文件应随货物一并交付至采购人指定地点。</w:t>
            </w:r>
          </w:p>
          <w:p w14:paraId="17316138">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color w:val="auto"/>
                <w:sz w:val="21"/>
                <w:szCs w:val="21"/>
              </w:rPr>
              <w:t>5.2提供的货物必须为全新货物，出厂日期</w:t>
            </w:r>
            <w:r>
              <w:rPr>
                <w:rFonts w:hint="eastAsia" w:ascii="宋体" w:hAnsi="宋体" w:eastAsia="宋体" w:cs="宋体"/>
                <w:color w:val="auto"/>
                <w:sz w:val="21"/>
                <w:szCs w:val="21"/>
              </w:rPr>
              <w:t>原则上</w:t>
            </w:r>
            <w:r>
              <w:rPr>
                <w:rFonts w:hint="eastAsia" w:ascii="宋体" w:hAnsi="宋体" w:eastAsia="宋体" w:cs="宋体"/>
                <w:bCs/>
                <w:color w:val="auto"/>
                <w:sz w:val="21"/>
                <w:szCs w:val="21"/>
              </w:rPr>
              <w:t>在采购人收到日期前12个月内经检验合格的产品</w:t>
            </w:r>
            <w:r>
              <w:rPr>
                <w:rFonts w:hint="eastAsia" w:ascii="宋体" w:hAnsi="宋体" w:eastAsia="宋体" w:cs="宋体"/>
                <w:color w:val="auto"/>
                <w:sz w:val="21"/>
                <w:szCs w:val="21"/>
              </w:rPr>
              <w:t>，若无法提供12个月内的产品，则采购人有权要求延长相应期限的产品保修期</w:t>
            </w:r>
            <w:r>
              <w:rPr>
                <w:rFonts w:hint="eastAsia" w:ascii="宋体" w:hAnsi="宋体" w:eastAsia="宋体" w:cs="宋体"/>
                <w:bCs/>
                <w:color w:val="auto"/>
                <w:sz w:val="21"/>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w:t>
            </w:r>
            <w:r>
              <w:rPr>
                <w:rFonts w:hint="eastAsia" w:ascii="宋体" w:hAnsi="宋体" w:eastAsia="宋体" w:cs="宋体"/>
                <w:bCs/>
                <w:sz w:val="21"/>
                <w:szCs w:val="21"/>
              </w:rPr>
              <w:t>标人负责完成首次计量强制检定，验收前中标人必须附上计量检定合格报告。</w:t>
            </w:r>
          </w:p>
          <w:p w14:paraId="654FEBA6">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179DE2C">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5.4中标人负责货物的现场安装和调试,提供货物安装、调试和维修所需的专用工具和辅助材料。中标人应在货物运至指定地点后一周内开始安装调试,并在 30 日历日内安装调试完毕。</w:t>
            </w:r>
          </w:p>
          <w:p w14:paraId="567953CD">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7F7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1765" w:type="dxa"/>
            <w:gridSpan w:val="3"/>
            <w:vAlign w:val="top"/>
          </w:tcPr>
          <w:p w14:paraId="7ADE7BD2">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vAlign w:val="top"/>
          </w:tcPr>
          <w:p w14:paraId="05AD31A5">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6.1中标人应派有经验的技术人员到现场进行安装、调试，直到设备正常使用。由采购人按合同和招标、投标文件约定的要求和标准及中华人民共和国现行的验收规范和评定标准进行交货验收。</w:t>
            </w:r>
          </w:p>
          <w:p w14:paraId="1D666429">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 xml:space="preserve">6.2 验收要求：货物必须满足以下条件后方可被采购方接受： </w:t>
            </w:r>
          </w:p>
          <w:p w14:paraId="7BD8370A">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1）货物具备产品合格证。</w:t>
            </w:r>
          </w:p>
          <w:p w14:paraId="7D717E2C">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2）设备全新,外观无伤痕变形或明显修饰痕迹。</w:t>
            </w:r>
          </w:p>
          <w:p w14:paraId="467132E9">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B40068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4）技术文件资料、备件等已按规定数量移交完毕。</w:t>
            </w:r>
          </w:p>
          <w:p w14:paraId="5A29EEC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5）按照招标书要求及投标文件提供的技术要求验收必须合格。</w:t>
            </w:r>
          </w:p>
          <w:p w14:paraId="61C6149B">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5C82F2A">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7）在货物安装调试合格后，所有技术指标达到技术规范书要求，经验收合格后，双方共同签署验收报告。产品质保期自验收合格之日起算，由中标人提供产品质保文件。</w:t>
            </w:r>
          </w:p>
        </w:tc>
      </w:tr>
      <w:tr w14:paraId="7E7C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5ACCEE78">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BE19AD7">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sz w:val="24"/>
                <w:szCs w:val="21"/>
              </w:rPr>
            </w:pPr>
          </w:p>
        </w:tc>
        <w:tc>
          <w:tcPr>
            <w:tcW w:w="8261" w:type="dxa"/>
            <w:gridSpan w:val="2"/>
            <w:vAlign w:val="top"/>
          </w:tcPr>
          <w:p w14:paraId="26036CD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7.1</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各投标人应在投标文件中承诺报价已包含提供整机原厂保修期</w:t>
            </w:r>
            <w:r>
              <w:rPr>
                <w:rFonts w:hint="eastAsia" w:ascii="宋体" w:hAnsi="宋体" w:eastAsia="宋体" w:cs="宋体"/>
                <w:bCs/>
                <w:color w:val="FF0000"/>
                <w:sz w:val="21"/>
                <w:szCs w:val="21"/>
                <w:u w:val="single"/>
              </w:rPr>
              <w:t xml:space="preserve">  </w:t>
            </w:r>
            <w:r>
              <w:rPr>
                <w:rFonts w:hint="eastAsia" w:ascii="宋体" w:hAnsi="宋体" w:cs="宋体"/>
                <w:bCs/>
                <w:color w:val="FF0000"/>
                <w:sz w:val="21"/>
                <w:szCs w:val="21"/>
                <w:u w:val="single"/>
                <w:lang w:val="en-US" w:eastAsia="zh-CN"/>
              </w:rPr>
              <w:t xml:space="preserve">  </w:t>
            </w:r>
            <w:r>
              <w:rPr>
                <w:rFonts w:hint="eastAsia" w:ascii="宋体" w:hAnsi="宋体" w:eastAsia="宋体" w:cs="宋体"/>
                <w:bCs/>
                <w:color w:val="FF0000"/>
                <w:sz w:val="21"/>
                <w:szCs w:val="21"/>
                <w:u w:val="single"/>
              </w:rPr>
              <w:t xml:space="preserve"> </w:t>
            </w:r>
            <w:r>
              <w:rPr>
                <w:rFonts w:hint="eastAsia" w:ascii="宋体" w:hAnsi="宋体" w:eastAsia="宋体" w:cs="宋体"/>
                <w:bCs/>
                <w:color w:val="FF0000"/>
                <w:sz w:val="21"/>
                <w:szCs w:val="21"/>
              </w:rPr>
              <w:t>年</w:t>
            </w:r>
            <w:r>
              <w:rPr>
                <w:rFonts w:hint="eastAsia"/>
                <w:b/>
                <w:bCs/>
                <w:color w:val="FF0000"/>
                <w:lang w:val="en-US" w:eastAsia="zh-CN"/>
              </w:rPr>
              <w:t>（填写的数值≥5年）</w:t>
            </w:r>
            <w:r>
              <w:rPr>
                <w:rFonts w:hint="eastAsia" w:ascii="宋体" w:hAnsi="宋体" w:eastAsia="宋体" w:cs="宋体"/>
                <w:bCs/>
                <w:color w:val="auto"/>
                <w:sz w:val="21"/>
                <w:szCs w:val="21"/>
              </w:rPr>
              <w:t>，终身维修。保修期内,年度定期预防性维护保养次数应不少于 2 次并留存维护记录。报价已包含保修期内更换零配件及工时费。</w:t>
            </w:r>
          </w:p>
          <w:p w14:paraId="03531267">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（备注：质保期是指投标人应在该期间内对本项目下交付的所有货物提供质量保证，不包括消耗品的配送。）</w:t>
            </w:r>
          </w:p>
          <w:p w14:paraId="2B8A4FC0">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7.2 4小时内响应，24 小时维修到位（不可抗力情况除外）。消耗品和零配件供应及时，质保期内及外设备出现故障不能正常使用，中标人报价已包含提供备用机给采购人使用直至设备修复完好投入使用的服务。</w:t>
            </w:r>
          </w:p>
          <w:p w14:paraId="3EB61628">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7.3</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质保期满以后，中标人对设备终身负责维修、安装、升级软件服务，长期以优惠价提供零配件（中标供应商提供主要零配件报价单）。</w:t>
            </w:r>
          </w:p>
          <w:p w14:paraId="2C918A11">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7.4</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报价已包含终身提供软件升级服务,并开放设备接口，派人配合与医院各信息系统的连接工作，直至该设备与医院信息系统可进行完整的数据交换；在设备保修期内，当医院信息系统变更并需要与该设备连接时，需派人配合直至该设备与医院信息系统可进行完整的数据交换，且采购人无需另行支付费用。</w:t>
            </w:r>
          </w:p>
          <w:p w14:paraId="0DC34073">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color w:val="auto"/>
                <w:sz w:val="21"/>
                <w:szCs w:val="21"/>
              </w:rPr>
              <w:t>7.5</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质保期内【设备故障率】≤【5】%。【设备故障率】未达要求的，每升高【1】%，质保期顺延【30】天。当【设备故障率】≥【10】%时，投标人必须在</w:t>
            </w:r>
            <w:r>
              <w:rPr>
                <w:rFonts w:hint="eastAsia" w:ascii="宋体" w:hAnsi="宋体" w:eastAsia="宋体" w:cs="宋体"/>
                <w:bCs/>
                <w:sz w:val="21"/>
                <w:szCs w:val="21"/>
              </w:rPr>
              <w:t>采购人提出要求之日起【30】日内无条件更换新机，并按该设备总价的【5】%向采购人支付违约金，由此造成采购人其他损失的，中标人应另行赔偿。中标人维修的指定邮箱，采购人维修通知的邮件发出后，视为采购人的维修通知送达中标人。</w:t>
            </w:r>
          </w:p>
          <w:p w14:paraId="5BB93657">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7.6</w:t>
            </w:r>
            <w:r>
              <w:rPr>
                <w:rFonts w:hint="eastAsia" w:ascii="宋体" w:hAnsi="宋体" w:eastAsia="宋体" w:cs="宋体"/>
                <w:bCs/>
                <w:sz w:val="21"/>
                <w:szCs w:val="21"/>
                <w:lang w:val="en-US" w:eastAsia="zh-CN"/>
              </w:rPr>
              <w:t xml:space="preserve"> </w:t>
            </w:r>
            <w:r>
              <w:rPr>
                <w:rFonts w:hint="eastAsia" w:ascii="宋体" w:hAnsi="宋体" w:eastAsia="宋体" w:cs="宋体"/>
                <w:sz w:val="21"/>
                <w:szCs w:val="21"/>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宋体" w:hAnsi="宋体" w:eastAsia="宋体" w:cs="宋体"/>
                <w:bCs/>
                <w:sz w:val="21"/>
                <w:szCs w:val="21"/>
              </w:rPr>
              <w:t>质保期满后，中标人应以优惠价供应维修零配件、消耗品和延续保修合同。价格最高的前5项零配件、消耗品和延续保修合同的报价明细必须填写于《合同报价清单》中。采购人可与中标人就优惠价进行谈判，但优惠价不得高于中标人在投标文件的《零配件、消耗品和延续保修合同报价清单》中承诺的维修零配件、消耗品和延续保修合同的报价。</w:t>
            </w:r>
          </w:p>
        </w:tc>
      </w:tr>
      <w:tr w14:paraId="643D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760FBCDF">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vAlign w:val="top"/>
          </w:tcPr>
          <w:p w14:paraId="42428EDA">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447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vAlign w:val="top"/>
          </w:tcPr>
          <w:p w14:paraId="54774C69">
            <w:pPr>
              <w:keepNext w:val="0"/>
              <w:keepLines w:val="0"/>
              <w:pageBreakBefore w:val="0"/>
              <w:kinsoku/>
              <w:wordWrap/>
              <w:overflowPunct/>
              <w:topLinePunct w:val="0"/>
              <w:autoSpaceDE/>
              <w:autoSpaceDN/>
              <w:bidi w:val="0"/>
              <w:adjustRightInd w:val="0"/>
              <w:snapToGrid w:val="0"/>
              <w:spacing w:line="240" w:lineRule="exact"/>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vAlign w:val="top"/>
          </w:tcPr>
          <w:p w14:paraId="4F529876">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9.1</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中标人所交设备的品种、型号、规格、质量、功能、技术参数等方面不能实质性满足招标文件，交付的货物不符合合同规定的，采购人有权拒绝收货，且中标人向采购人支付合同总价的5%的违约金。</w:t>
            </w:r>
          </w:p>
          <w:p w14:paraId="10706E48">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9.2</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中标人逾期交货，或逾期完成安装调试，或货物逾期通过验收，中标人均应支付逾期违约金，每日按合同总价的5‰计算；逾期超过三十日，中标人需向采购人另行支付合同总价的10%的违约金，且采购人有权单方解除本合同，中标人于收到采购人发出的解除通知书后三日内无条件退回采购人已支付的全部款项。此条款与9.1条同时执行。</w:t>
            </w:r>
          </w:p>
        </w:tc>
      </w:tr>
      <w:tr w14:paraId="7D7D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65" w:type="dxa"/>
            <w:gridSpan w:val="3"/>
            <w:tcBorders>
              <w:bottom w:val="single" w:color="auto" w:sz="4" w:space="0"/>
            </w:tcBorders>
            <w:vAlign w:val="top"/>
          </w:tcPr>
          <w:p w14:paraId="54865B81">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vAlign w:val="top"/>
          </w:tcPr>
          <w:p w14:paraId="68E2EA8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10.1</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如有设备相关耗材、试剂或易损器械，设备及主要维修配件，请提供并分别列出它们的优惠价格。</w:t>
            </w:r>
          </w:p>
          <w:p w14:paraId="03E94A71">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10.2</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设备电源插头符合使用科室现有的插座，如不符合提供相应的插头转换接口。</w:t>
            </w:r>
          </w:p>
          <w:p w14:paraId="79D456F3">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10.3</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49AC0E4">
            <w:pPr>
              <w:keepNext w:val="0"/>
              <w:keepLines w:val="0"/>
              <w:pageBreakBefore w:val="0"/>
              <w:widowControl w:val="0"/>
              <w:kinsoku/>
              <w:wordWrap/>
              <w:overflowPunct/>
              <w:topLinePunct w:val="0"/>
              <w:autoSpaceDE/>
              <w:autoSpaceDN/>
              <w:bidi w:val="0"/>
              <w:adjustRightInd w:val="0"/>
              <w:snapToGrid w:val="0"/>
              <w:spacing w:line="240" w:lineRule="exact"/>
              <w:ind w:firstLine="420" w:firstLineChars="200"/>
              <w:textAlignment w:val="auto"/>
              <w:rPr>
                <w:rFonts w:hint="eastAsia" w:ascii="宋体" w:hAnsi="宋体" w:eastAsia="宋体" w:cs="宋体"/>
                <w:b/>
                <w:sz w:val="21"/>
                <w:szCs w:val="21"/>
              </w:rPr>
            </w:pPr>
            <w:r>
              <w:rPr>
                <w:rFonts w:hint="eastAsia" w:ascii="宋体" w:hAnsi="宋体" w:eastAsia="宋体" w:cs="宋体"/>
                <w:bCs/>
                <w:sz w:val="21"/>
                <w:szCs w:val="21"/>
              </w:rPr>
              <w:t>10.4</w:t>
            </w:r>
            <w:r>
              <w:rPr>
                <w:rFonts w:hint="eastAsia" w:ascii="宋体" w:hAnsi="宋体" w:eastAsia="宋体" w:cs="宋体"/>
                <w:bCs/>
                <w:sz w:val="21"/>
                <w:szCs w:val="21"/>
                <w:lang w:val="en-US" w:eastAsia="zh-CN"/>
              </w:rPr>
              <w:t xml:space="preserve"> </w:t>
            </w:r>
            <w:r>
              <w:rPr>
                <w:rFonts w:hint="eastAsia" w:ascii="宋体" w:hAnsi="宋体" w:eastAsia="宋体" w:cs="宋体"/>
                <w:bCs/>
                <w:sz w:val="21"/>
                <w:szCs w:val="21"/>
              </w:rPr>
              <w:t>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94FD63F">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004603B2">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63F1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4DADD1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6525254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有配套耗材（是否专机专用：</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□否）（具体列明）：</w:t>
            </w:r>
            <w:r>
              <w:rPr>
                <w:rFonts w:hint="eastAsia" w:ascii="宋体" w:hAnsi="宋体"/>
                <w:bCs/>
                <w:sz w:val="21"/>
                <w:szCs w:val="21"/>
                <w:u w:val="single"/>
              </w:rPr>
              <w:t>呼吸管路组件</w:t>
            </w:r>
          </w:p>
          <w:p w14:paraId="302DC3C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3FB43EC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7D63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8910B7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70C22C1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2860B5E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2C4511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579A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C576A7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23F3FCB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440173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2BAC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2E8159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6ADA399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有（具体列明）：______________________</w:t>
            </w:r>
          </w:p>
          <w:p w14:paraId="3D5127E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0CD5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B77457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7900784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是（具体列明）：</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中型企业；</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小微企业</w:t>
            </w:r>
          </w:p>
          <w:p w14:paraId="3619C6C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7A48C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6CB9FEE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28CB2590">
            <w:pPr>
              <w:adjustRightInd w:val="0"/>
              <w:snapToGrid w:val="0"/>
              <w:rPr>
                <w:rFonts w:hint="default" w:ascii="宋体" w:hAnsi="宋体" w:eastAsia="宋体" w:cs="宋体"/>
                <w:bCs/>
                <w:color w:val="000000"/>
                <w:szCs w:val="21"/>
                <w:lang w:val="en-US" w:eastAsia="zh-CN"/>
              </w:rPr>
            </w:pPr>
            <w:r>
              <w:rPr>
                <w:rFonts w:hint="eastAsia" w:asciiTheme="majorEastAsia" w:hAnsiTheme="majorEastAsia" w:eastAsiaTheme="majorEastAsia"/>
                <w:b/>
                <w:sz w:val="24"/>
                <w:szCs w:val="21"/>
                <w:lang w:val="en-US" w:eastAsia="zh-CN"/>
              </w:rPr>
              <w:t>5年</w:t>
            </w:r>
          </w:p>
        </w:tc>
      </w:tr>
      <w:tr w14:paraId="624E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56722C0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6A9285E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46665A22">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0454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8AD77D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2618B97E">
            <w:pPr>
              <w:adjustRightInd w:val="0"/>
              <w:snapToGrid w:val="0"/>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无</w:t>
            </w:r>
          </w:p>
        </w:tc>
      </w:tr>
    </w:tbl>
    <w:p w14:paraId="644085D1">
      <w:pPr>
        <w:spacing w:line="360" w:lineRule="auto"/>
        <w:ind w:left="400"/>
        <w:jc w:val="center"/>
        <w:rPr>
          <w:rFonts w:hint="eastAsia" w:cs="方正小标宋简体" w:asciiTheme="majorEastAsia" w:hAnsiTheme="majorEastAsia" w:eastAsiaTheme="majorEastAsia"/>
          <w:b/>
          <w:sz w:val="36"/>
          <w:szCs w:val="36"/>
        </w:rPr>
      </w:pPr>
    </w:p>
    <w:p w14:paraId="18076D3D">
      <w:pPr>
        <w:spacing w:line="360" w:lineRule="auto"/>
        <w:ind w:left="400"/>
        <w:jc w:val="center"/>
        <w:rPr>
          <w:rFonts w:cs="方正小标宋简体" w:asciiTheme="majorEastAsia" w:hAnsiTheme="majorEastAsia" w:eastAsiaTheme="majorEastAsia"/>
          <w:sz w:val="36"/>
          <w:szCs w:val="36"/>
        </w:rPr>
      </w:pPr>
      <w:r>
        <w:rPr>
          <w:rFonts w:hint="eastAsia" w:cs="方正小标宋简体" w:asciiTheme="majorEastAsia" w:hAnsiTheme="majorEastAsia" w:eastAsiaTheme="majorEastAsia"/>
          <w:b/>
          <w:sz w:val="36"/>
          <w:szCs w:val="36"/>
        </w:rPr>
        <w:t>第四部分 零配件、消耗品和延续保修合同报价明细清单</w:t>
      </w:r>
    </w:p>
    <w:p w14:paraId="0024210F">
      <w:pPr>
        <w:adjustRightInd w:val="0"/>
        <w:snapToGrid w:val="0"/>
        <w:spacing w:line="360" w:lineRule="auto"/>
        <w:jc w:val="center"/>
        <w:rPr>
          <w:rFonts w:asciiTheme="majorEastAsia" w:hAnsiTheme="majorEastAsia" w:eastAsiaTheme="majorEastAsia"/>
          <w:bCs/>
          <w:sz w:val="28"/>
        </w:rPr>
      </w:pPr>
      <w:r>
        <w:rPr>
          <w:rFonts w:hint="eastAsia" w:asciiTheme="majorEastAsia" w:hAnsiTheme="majorEastAsia" w:eastAsiaTheme="majorEastAsia"/>
          <w:bCs/>
          <w:sz w:val="28"/>
        </w:rPr>
        <w:t>（该部分报价不包括在预算总价内）</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371"/>
        <w:gridCol w:w="1737"/>
        <w:gridCol w:w="1737"/>
        <w:gridCol w:w="1737"/>
        <w:gridCol w:w="1737"/>
      </w:tblGrid>
      <w:tr w14:paraId="55B8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101" w:type="dxa"/>
            <w:vAlign w:val="center"/>
          </w:tcPr>
          <w:p w14:paraId="3CC4ED5D">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371" w:type="dxa"/>
            <w:vAlign w:val="center"/>
          </w:tcPr>
          <w:p w14:paraId="02121D6D">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7" w:type="dxa"/>
            <w:vAlign w:val="center"/>
          </w:tcPr>
          <w:p w14:paraId="32526863">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737" w:type="dxa"/>
            <w:vAlign w:val="center"/>
          </w:tcPr>
          <w:p w14:paraId="71685BEB">
            <w:pPr>
              <w:adjustRightInd w:val="0"/>
              <w:snapToGrid w:val="0"/>
              <w:spacing w:line="300" w:lineRule="auto"/>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737" w:type="dxa"/>
            <w:vAlign w:val="center"/>
          </w:tcPr>
          <w:p w14:paraId="46836820">
            <w:pPr>
              <w:adjustRightInd w:val="0"/>
              <w:snapToGrid w:val="0"/>
              <w:spacing w:line="30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37" w:type="dxa"/>
            <w:vAlign w:val="center"/>
          </w:tcPr>
          <w:p w14:paraId="7E04D77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94C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101" w:type="dxa"/>
          </w:tcPr>
          <w:p w14:paraId="19BD249A">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371" w:type="dxa"/>
          </w:tcPr>
          <w:p w14:paraId="6558B1F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触摸显示屏模组</w:t>
            </w:r>
          </w:p>
        </w:tc>
        <w:tc>
          <w:tcPr>
            <w:tcW w:w="1737" w:type="dxa"/>
            <w:shd w:val="clear" w:color="auto" w:fill="auto"/>
            <w:vAlign w:val="top"/>
          </w:tcPr>
          <w:p w14:paraId="1474191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02146BD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E8E51C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6DF2AC0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5F3E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101" w:type="dxa"/>
          </w:tcPr>
          <w:p w14:paraId="52D1407E">
            <w:pPr>
              <w:widowControl/>
              <w:jc w:val="center"/>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2</w:t>
            </w:r>
          </w:p>
        </w:tc>
        <w:tc>
          <w:tcPr>
            <w:tcW w:w="2371" w:type="dxa"/>
          </w:tcPr>
          <w:p w14:paraId="567B60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Cs/>
                <w:sz w:val="21"/>
                <w:szCs w:val="21"/>
                <w:lang w:val="en-US" w:eastAsia="zh-CN"/>
              </w:rPr>
            </w:pPr>
            <w:r>
              <w:rPr>
                <w:rFonts w:hint="eastAsia" w:ascii="宋体" w:hAnsi="宋体" w:eastAsia="宋体" w:cs="宋体"/>
                <w:color w:val="000000"/>
                <w:kern w:val="0"/>
                <w:sz w:val="21"/>
                <w:szCs w:val="21"/>
                <w:lang w:val="en-US" w:eastAsia="zh-CN" w:bidi="ar"/>
              </w:rPr>
              <w:t>电源模块</w:t>
            </w:r>
          </w:p>
        </w:tc>
        <w:tc>
          <w:tcPr>
            <w:tcW w:w="1737" w:type="dxa"/>
            <w:shd w:val="clear" w:color="auto" w:fill="auto"/>
            <w:vAlign w:val="top"/>
          </w:tcPr>
          <w:p w14:paraId="221B794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Cs/>
                <w:kern w:val="2"/>
                <w:sz w:val="21"/>
                <w:szCs w:val="21"/>
                <w:lang w:val="en-US" w:eastAsia="zh-CN" w:bidi="ar-SA"/>
              </w:rPr>
            </w:pPr>
          </w:p>
        </w:tc>
        <w:tc>
          <w:tcPr>
            <w:tcW w:w="1737" w:type="dxa"/>
            <w:shd w:val="clear" w:color="auto" w:fill="auto"/>
            <w:vAlign w:val="top"/>
          </w:tcPr>
          <w:p w14:paraId="0ABE97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C7CCC3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28C5170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0A69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1101" w:type="dxa"/>
          </w:tcPr>
          <w:p w14:paraId="66E8E381">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3</w:t>
            </w:r>
          </w:p>
        </w:tc>
        <w:tc>
          <w:tcPr>
            <w:tcW w:w="2371" w:type="dxa"/>
          </w:tcPr>
          <w:p w14:paraId="379FCF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加热盘组件</w:t>
            </w:r>
          </w:p>
        </w:tc>
        <w:tc>
          <w:tcPr>
            <w:tcW w:w="1737" w:type="dxa"/>
            <w:shd w:val="clear" w:color="auto" w:fill="auto"/>
            <w:vAlign w:val="top"/>
          </w:tcPr>
          <w:p w14:paraId="1FB46E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2C94CF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0D4C49E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0C3BD2E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5097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01" w:type="dxa"/>
          </w:tcPr>
          <w:p w14:paraId="20060AB6">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4</w:t>
            </w:r>
          </w:p>
        </w:tc>
        <w:tc>
          <w:tcPr>
            <w:tcW w:w="2371" w:type="dxa"/>
          </w:tcPr>
          <w:p w14:paraId="568B6AB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氧压力板</w:t>
            </w:r>
          </w:p>
        </w:tc>
        <w:tc>
          <w:tcPr>
            <w:tcW w:w="1737" w:type="dxa"/>
            <w:shd w:val="clear" w:color="auto" w:fill="auto"/>
            <w:vAlign w:val="top"/>
          </w:tcPr>
          <w:p w14:paraId="637F354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5528A56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684ABD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5168528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r w14:paraId="010D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101" w:type="dxa"/>
          </w:tcPr>
          <w:p w14:paraId="3A08EC42">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5</w:t>
            </w:r>
          </w:p>
        </w:tc>
        <w:tc>
          <w:tcPr>
            <w:tcW w:w="2371" w:type="dxa"/>
          </w:tcPr>
          <w:p w14:paraId="29D390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对插头组件</w:t>
            </w:r>
          </w:p>
        </w:tc>
        <w:tc>
          <w:tcPr>
            <w:tcW w:w="1737" w:type="dxa"/>
            <w:shd w:val="clear" w:color="auto" w:fill="auto"/>
            <w:vAlign w:val="top"/>
          </w:tcPr>
          <w:p w14:paraId="3285397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3B42B1E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shd w:val="clear" w:color="auto" w:fill="auto"/>
            <w:vAlign w:val="top"/>
          </w:tcPr>
          <w:p w14:paraId="4C864CB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1"/>
                <w:szCs w:val="21"/>
                <w:lang w:val="en-US" w:eastAsia="zh-CN" w:bidi="ar-SA"/>
              </w:rPr>
            </w:pPr>
          </w:p>
        </w:tc>
        <w:tc>
          <w:tcPr>
            <w:tcW w:w="1737" w:type="dxa"/>
          </w:tcPr>
          <w:p w14:paraId="76C425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1"/>
                <w:szCs w:val="21"/>
                <w:lang w:val="en-US" w:eastAsia="zh-CN"/>
              </w:rPr>
            </w:pPr>
          </w:p>
        </w:tc>
      </w:tr>
    </w:tbl>
    <w:p w14:paraId="4B2B6314">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109"/>
        <w:gridCol w:w="2605"/>
        <w:gridCol w:w="2605"/>
      </w:tblGrid>
      <w:tr w14:paraId="0D48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101" w:type="dxa"/>
            <w:vAlign w:val="center"/>
          </w:tcPr>
          <w:p w14:paraId="1F20317D">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0DA6CCDA">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3A8EAFC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29495F87">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7AF3E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01" w:type="dxa"/>
            <w:vAlign w:val="center"/>
          </w:tcPr>
          <w:p w14:paraId="5BC1E0ED">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37C6FDBB">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4C8D4802">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定期维护保养</w:t>
            </w:r>
          </w:p>
        </w:tc>
        <w:tc>
          <w:tcPr>
            <w:tcW w:w="2605" w:type="dxa"/>
            <w:vAlign w:val="center"/>
          </w:tcPr>
          <w:p w14:paraId="7A673FD7">
            <w:pPr>
              <w:widowControl/>
              <w:jc w:val="center"/>
              <w:rPr>
                <w:rFonts w:hint="default" w:cs="方正小标宋简体" w:asciiTheme="majorEastAsia" w:hAnsiTheme="majorEastAsia" w:eastAsiaTheme="majorEastAsia"/>
                <w:sz w:val="24"/>
                <w:lang w:val="en-US" w:eastAsia="zh-CN"/>
              </w:rPr>
            </w:pPr>
          </w:p>
        </w:tc>
      </w:tr>
    </w:tbl>
    <w:p w14:paraId="11D0FF9A">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项零配件、消耗品和延续保修合同的明细需填写于此表。</w:t>
      </w:r>
    </w:p>
    <w:p w14:paraId="78105BA4">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呼吸管路组件</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200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390、280</w:t>
            </w:r>
          </w:p>
        </w:tc>
      </w:tr>
    </w:tbl>
    <w:p w14:paraId="4194137C">
      <w:pPr>
        <w:rPr>
          <w:rFonts w:cs="方正小标宋简体" w:asciiTheme="majorEastAsia" w:hAnsiTheme="majorEastAsia" w:eastAsiaTheme="majorEastAsia"/>
          <w:sz w:val="36"/>
          <w:szCs w:val="36"/>
        </w:rPr>
      </w:pPr>
      <w:bookmarkStart w:id="0" w:name="_GoBack"/>
      <w:bookmarkEnd w:id="0"/>
    </w:p>
    <w:sectPr>
      <w:pgSz w:w="11906" w:h="16838"/>
      <w:pgMar w:top="1077" w:right="851" w:bottom="1077"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F7266"/>
    <w:rsid w:val="07ED1E7A"/>
    <w:rsid w:val="09CD25C7"/>
    <w:rsid w:val="0D2A20E2"/>
    <w:rsid w:val="189027F1"/>
    <w:rsid w:val="272649EE"/>
    <w:rsid w:val="2DCA1345"/>
    <w:rsid w:val="313F32EC"/>
    <w:rsid w:val="3EBA0E03"/>
    <w:rsid w:val="461E585C"/>
    <w:rsid w:val="491A092A"/>
    <w:rsid w:val="4D043C9F"/>
    <w:rsid w:val="4FB664D2"/>
    <w:rsid w:val="52BE5550"/>
    <w:rsid w:val="590E70D9"/>
    <w:rsid w:val="59C46803"/>
    <w:rsid w:val="5BF154A0"/>
    <w:rsid w:val="5EA85533"/>
    <w:rsid w:val="62736511"/>
    <w:rsid w:val="715D0345"/>
    <w:rsid w:val="7310547F"/>
    <w:rsid w:val="731D0F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customStyle="1"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semiHidden/>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table" w:customStyle="1" w:styleId="24">
    <w:name w:val="Table Normal"/>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5567</Words>
  <Characters>5822</Characters>
  <Lines>15</Lines>
  <Paragraphs>4</Paragraphs>
  <TotalTime>1</TotalTime>
  <ScaleCrop>false</ScaleCrop>
  <LinksUpToDate>false</LinksUpToDate>
  <CharactersWithSpaces>5926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2021-12-23T15:27:00Z</dcterms:created>
  <dc:creator>陈蕾</dc:creator>
  <cp:lastModifiedBy>5J1</cp:lastModifiedBy>
  <dcterms:modified xsi:type="dcterms:W3CDTF">2026-04-14T08:03:11Z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7339182AB34F43E587B86C2CDD4E592B_13</vt:lpwstr>
  </property>
</Properties>
</file>