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1"/>
        <w:spacing w:line="360" w:lineRule="auto"/>
        <w:rPr>
          <w:rFonts w:eastAsia="方正小标宋简体"/>
          <w:sz w:val="32"/>
        </w:rPr>
      </w:pPr>
    </w:p>
    <w:p w14:paraId="51D0CC2A">
      <w:pPr>
        <w:pStyle w:val="11"/>
        <w:spacing w:line="360" w:lineRule="auto"/>
        <w:ind w:firstLine="422" w:firstLineChars="132"/>
        <w:rPr>
          <w:rFonts w:eastAsia="方正小标宋简体"/>
          <w:sz w:val="32"/>
        </w:rPr>
      </w:pPr>
    </w:p>
    <w:p w14:paraId="1C72A75F">
      <w:pPr>
        <w:pStyle w:val="11"/>
        <w:spacing w:line="360" w:lineRule="auto"/>
        <w:ind w:firstLine="422" w:firstLineChars="132"/>
        <w:rPr>
          <w:rFonts w:eastAsia="方正小标宋简体"/>
          <w:sz w:val="32"/>
        </w:rPr>
      </w:pPr>
    </w:p>
    <w:p w14:paraId="3625BFF4">
      <w:pPr>
        <w:pStyle w:val="25"/>
        <w:ind w:left="0" w:firstLine="640"/>
        <w:rPr>
          <w:rFonts w:hint="eastAsia"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rPr>
        <w:t>0</w:t>
      </w:r>
      <w:r>
        <w:rPr>
          <w:rFonts w:hint="eastAsia" w:eastAsia="方正小标宋简体"/>
          <w:sz w:val="32"/>
          <w:lang w:val="en-US" w:eastAsia="zh-CN"/>
        </w:rPr>
        <w:t>06</w:t>
      </w:r>
    </w:p>
    <w:p w14:paraId="1E200932">
      <w:pPr>
        <w:pStyle w:val="25"/>
        <w:ind w:left="0" w:firstLine="640"/>
        <w:rPr>
          <w:rFonts w:eastAsia="方正小标宋简体"/>
          <w:sz w:val="32"/>
        </w:rPr>
      </w:pPr>
      <w:r>
        <w:rPr>
          <w:rFonts w:eastAsia="方正小标宋简体"/>
          <w:sz w:val="32"/>
        </w:rPr>
        <w:t>项目名称：清之方颗粒对DIO肥胖模型小鼠的影响试验</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6</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11"/>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1"/>
        <w:spacing w:line="360" w:lineRule="auto"/>
        <w:ind w:firstLine="643"/>
        <w:rPr>
          <w:rFonts w:eastAsiaTheme="majorEastAsia"/>
          <w:b/>
          <w:sz w:val="32"/>
        </w:rPr>
      </w:pPr>
      <w:r>
        <w:rPr>
          <w:rFonts w:eastAsiaTheme="majorEastAsia"/>
          <w:b/>
          <w:sz w:val="32"/>
        </w:rPr>
        <w:t>第一章  采购邀请函</w:t>
      </w:r>
    </w:p>
    <w:p w14:paraId="594E0920">
      <w:pPr>
        <w:pStyle w:val="11"/>
        <w:spacing w:line="360" w:lineRule="auto"/>
        <w:ind w:left="1772" w:leftChars="232" w:hanging="1285" w:hangingChars="400"/>
        <w:rPr>
          <w:rFonts w:eastAsiaTheme="majorEastAsia"/>
          <w:b/>
          <w:sz w:val="32"/>
        </w:rPr>
      </w:pPr>
    </w:p>
    <w:p w14:paraId="118611C6">
      <w:pPr>
        <w:pStyle w:val="11"/>
        <w:spacing w:line="360" w:lineRule="auto"/>
        <w:ind w:firstLine="643"/>
        <w:rPr>
          <w:rFonts w:eastAsiaTheme="majorEastAsia"/>
          <w:b/>
          <w:sz w:val="32"/>
        </w:rPr>
      </w:pPr>
      <w:r>
        <w:rPr>
          <w:rFonts w:eastAsiaTheme="majorEastAsia"/>
          <w:b/>
          <w:sz w:val="32"/>
        </w:rPr>
        <w:t>第二章  采购项目需求</w:t>
      </w:r>
    </w:p>
    <w:p w14:paraId="36A54C1D">
      <w:pPr>
        <w:pStyle w:val="11"/>
        <w:spacing w:line="360" w:lineRule="auto"/>
        <w:ind w:left="1772" w:leftChars="232" w:hanging="1285" w:hangingChars="400"/>
        <w:rPr>
          <w:rFonts w:eastAsiaTheme="majorEastAsia"/>
          <w:b/>
          <w:sz w:val="32"/>
        </w:rPr>
      </w:pPr>
    </w:p>
    <w:p w14:paraId="6AED914D">
      <w:pPr>
        <w:pStyle w:val="11"/>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highlight w:val="none"/>
        </w:rPr>
      </w:pPr>
      <w:r>
        <w:rPr>
          <w:kern w:val="0"/>
          <w:sz w:val="24"/>
          <w:szCs w:val="22"/>
          <w:highlight w:val="none"/>
        </w:rPr>
        <w:t>中山大学附属第八医院（深圳福田）清之方颗粒对DIO肥胖模型小鼠的影响试验</w:t>
      </w:r>
      <w:r>
        <w:rPr>
          <w:rFonts w:hint="eastAsia"/>
          <w:kern w:val="0"/>
          <w:sz w:val="24"/>
          <w:szCs w:val="22"/>
          <w:highlight w:val="none"/>
        </w:rPr>
        <w:t>服务</w:t>
      </w:r>
      <w:r>
        <w:rPr>
          <w:kern w:val="0"/>
          <w:sz w:val="24"/>
          <w:szCs w:val="22"/>
          <w:highlight w:val="none"/>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highlight w:val="none"/>
          <w:lang w:val="en-US" w:eastAsia="zh-CN"/>
        </w:rPr>
      </w:pPr>
      <w:r>
        <w:rPr>
          <w:kern w:val="0"/>
          <w:sz w:val="24"/>
          <w:szCs w:val="22"/>
          <w:highlight w:val="none"/>
        </w:rPr>
        <w:t>一、采购项目编号：ZCB-202</w:t>
      </w:r>
      <w:r>
        <w:rPr>
          <w:rFonts w:hint="eastAsia"/>
          <w:kern w:val="0"/>
          <w:sz w:val="24"/>
          <w:szCs w:val="22"/>
          <w:highlight w:val="none"/>
          <w:lang w:val="en-US" w:eastAsia="zh-CN"/>
        </w:rPr>
        <w:t>6</w:t>
      </w:r>
      <w:r>
        <w:rPr>
          <w:kern w:val="0"/>
          <w:sz w:val="24"/>
          <w:szCs w:val="22"/>
          <w:highlight w:val="none"/>
        </w:rPr>
        <w:t>-HQ-</w:t>
      </w:r>
      <w:r>
        <w:rPr>
          <w:rFonts w:hint="eastAsia"/>
          <w:kern w:val="0"/>
          <w:sz w:val="24"/>
          <w:szCs w:val="22"/>
          <w:highlight w:val="none"/>
          <w:lang w:val="en-US" w:eastAsia="zh-CN"/>
        </w:rPr>
        <w:t>006</w:t>
      </w:r>
    </w:p>
    <w:p w14:paraId="5B53957D">
      <w:pPr>
        <w:widowControl/>
        <w:adjustRightInd w:val="0"/>
        <w:snapToGrid w:val="0"/>
        <w:spacing w:line="400" w:lineRule="atLeast"/>
        <w:ind w:firstLine="480" w:firstLineChars="200"/>
        <w:rPr>
          <w:kern w:val="0"/>
          <w:sz w:val="24"/>
          <w:szCs w:val="22"/>
          <w:highlight w:val="none"/>
        </w:rPr>
      </w:pPr>
      <w:r>
        <w:rPr>
          <w:kern w:val="0"/>
          <w:sz w:val="24"/>
          <w:szCs w:val="22"/>
          <w:highlight w:val="none"/>
        </w:rPr>
        <w:t>二、采购项目名称：清之方颗粒对DIO肥胖模型小鼠的影响试验</w:t>
      </w:r>
    </w:p>
    <w:p w14:paraId="5C47ABA4">
      <w:pPr>
        <w:widowControl/>
        <w:adjustRightInd w:val="0"/>
        <w:snapToGrid w:val="0"/>
        <w:spacing w:line="400" w:lineRule="atLeast"/>
        <w:ind w:firstLine="480" w:firstLineChars="200"/>
        <w:rPr>
          <w:kern w:val="0"/>
          <w:sz w:val="24"/>
          <w:szCs w:val="22"/>
          <w:highlight w:val="none"/>
        </w:rPr>
      </w:pPr>
      <w:r>
        <w:rPr>
          <w:kern w:val="0"/>
          <w:sz w:val="24"/>
          <w:szCs w:val="22"/>
          <w:highlight w:val="none"/>
        </w:rPr>
        <w:t>三、项目类别：</w:t>
      </w:r>
      <w:r>
        <w:rPr>
          <w:rFonts w:hint="eastAsia"/>
          <w:kern w:val="0"/>
          <w:sz w:val="24"/>
          <w:szCs w:val="22"/>
          <w:highlight w:val="none"/>
        </w:rPr>
        <w:t>服务类</w:t>
      </w:r>
    </w:p>
    <w:p w14:paraId="1B076CDC">
      <w:pPr>
        <w:widowControl/>
        <w:adjustRightInd w:val="0"/>
        <w:snapToGrid w:val="0"/>
        <w:spacing w:line="400" w:lineRule="atLeast"/>
        <w:ind w:firstLine="480" w:firstLineChars="200"/>
        <w:rPr>
          <w:kern w:val="0"/>
          <w:sz w:val="24"/>
          <w:szCs w:val="22"/>
          <w:highlight w:val="none"/>
        </w:rPr>
      </w:pPr>
      <w:r>
        <w:rPr>
          <w:kern w:val="0"/>
          <w:sz w:val="24"/>
          <w:szCs w:val="22"/>
          <w:highlight w:val="none"/>
        </w:rPr>
        <w:t>四、采购方式：议价采购</w:t>
      </w:r>
    </w:p>
    <w:p w14:paraId="48F28842">
      <w:pPr>
        <w:widowControl/>
        <w:adjustRightInd w:val="0"/>
        <w:snapToGrid w:val="0"/>
        <w:spacing w:line="400" w:lineRule="atLeast"/>
        <w:ind w:firstLine="480" w:firstLineChars="200"/>
        <w:rPr>
          <w:kern w:val="0"/>
          <w:sz w:val="24"/>
          <w:szCs w:val="22"/>
          <w:highlight w:val="none"/>
        </w:rPr>
      </w:pPr>
      <w:r>
        <w:rPr>
          <w:kern w:val="0"/>
          <w:sz w:val="24"/>
          <w:szCs w:val="22"/>
          <w:highlight w:val="none"/>
        </w:rPr>
        <w:t>五、预算金额：</w:t>
      </w:r>
      <w:r>
        <w:rPr>
          <w:rFonts w:hint="eastAsia"/>
          <w:kern w:val="0"/>
          <w:sz w:val="24"/>
          <w:szCs w:val="22"/>
          <w:highlight w:val="none"/>
          <w:lang w:val="en-US" w:eastAsia="zh-CN"/>
        </w:rPr>
        <w:t>19</w:t>
      </w:r>
      <w:r>
        <w:rPr>
          <w:kern w:val="0"/>
          <w:sz w:val="24"/>
          <w:szCs w:val="22"/>
          <w:highlight w:val="none"/>
        </w:rPr>
        <w:t>万元</w:t>
      </w:r>
    </w:p>
    <w:p w14:paraId="1DA35C6B">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六、最高限价：</w:t>
      </w:r>
      <w:r>
        <w:rPr>
          <w:rFonts w:hint="eastAsia"/>
          <w:kern w:val="0"/>
          <w:sz w:val="24"/>
          <w:szCs w:val="22"/>
          <w:highlight w:val="none"/>
          <w:lang w:val="en-US" w:eastAsia="zh-CN"/>
        </w:rPr>
        <w:t>19</w:t>
      </w:r>
      <w:r>
        <w:rPr>
          <w:kern w:val="0"/>
          <w:sz w:val="24"/>
          <w:szCs w:val="22"/>
          <w:highlight w:val="none"/>
        </w:rPr>
        <w:t>万元</w:t>
      </w:r>
    </w:p>
    <w:p w14:paraId="49D050A5">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七</w:t>
      </w:r>
      <w:r>
        <w:rPr>
          <w:kern w:val="0"/>
          <w:sz w:val="24"/>
          <w:szCs w:val="22"/>
          <w:highlight w:val="none"/>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highlight w:val="none"/>
              </w:rPr>
            </w:pPr>
            <w:r>
              <w:rPr>
                <w:sz w:val="24"/>
                <w:highlight w:val="none"/>
              </w:rPr>
              <w:t>采购项目名称</w:t>
            </w:r>
          </w:p>
        </w:tc>
        <w:tc>
          <w:tcPr>
            <w:tcW w:w="1092" w:type="dxa"/>
            <w:vAlign w:val="center"/>
          </w:tcPr>
          <w:p w14:paraId="6464AA2B">
            <w:pPr>
              <w:adjustRightInd w:val="0"/>
              <w:snapToGrid w:val="0"/>
              <w:spacing w:line="400" w:lineRule="atLeast"/>
              <w:jc w:val="center"/>
              <w:rPr>
                <w:sz w:val="24"/>
                <w:highlight w:val="none"/>
              </w:rPr>
            </w:pPr>
            <w:r>
              <w:rPr>
                <w:sz w:val="24"/>
                <w:highlight w:val="none"/>
              </w:rPr>
              <w:t>数量</w:t>
            </w:r>
          </w:p>
        </w:tc>
        <w:tc>
          <w:tcPr>
            <w:tcW w:w="2339" w:type="dxa"/>
            <w:vAlign w:val="center"/>
          </w:tcPr>
          <w:p w14:paraId="069A3466">
            <w:pPr>
              <w:adjustRightInd w:val="0"/>
              <w:snapToGrid w:val="0"/>
              <w:spacing w:line="400" w:lineRule="atLeast"/>
              <w:jc w:val="center"/>
              <w:rPr>
                <w:sz w:val="24"/>
                <w:highlight w:val="none"/>
              </w:rPr>
            </w:pPr>
            <w:r>
              <w:rPr>
                <w:sz w:val="24"/>
                <w:highlight w:val="none"/>
              </w:rPr>
              <w:t>项目需求</w:t>
            </w:r>
          </w:p>
        </w:tc>
        <w:tc>
          <w:tcPr>
            <w:tcW w:w="1062" w:type="dxa"/>
            <w:vAlign w:val="center"/>
          </w:tcPr>
          <w:p w14:paraId="1F628EAA">
            <w:pPr>
              <w:adjustRightInd w:val="0"/>
              <w:snapToGrid w:val="0"/>
              <w:spacing w:line="400" w:lineRule="atLeast"/>
              <w:jc w:val="center"/>
              <w:rPr>
                <w:sz w:val="24"/>
                <w:highlight w:val="none"/>
              </w:rPr>
            </w:pPr>
            <w:r>
              <w:rPr>
                <w:sz w:val="24"/>
                <w:highlight w:val="none"/>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highlight w:val="none"/>
              </w:rPr>
            </w:pPr>
            <w:r>
              <w:rPr>
                <w:rFonts w:hint="eastAsia" w:ascii="宋体" w:hAnsi="宋体" w:eastAsia="宋体" w:cs="宋体"/>
                <w:bCs/>
                <w:sz w:val="24"/>
                <w:highlight w:val="none"/>
              </w:rPr>
              <w:t>清之方颗粒对DIO肥胖模型小鼠的影响试验</w:t>
            </w:r>
          </w:p>
        </w:tc>
        <w:tc>
          <w:tcPr>
            <w:tcW w:w="1092" w:type="dxa"/>
            <w:vAlign w:val="center"/>
          </w:tcPr>
          <w:p w14:paraId="3ED7B4D1">
            <w:pPr>
              <w:adjustRightInd w:val="0"/>
              <w:snapToGrid w:val="0"/>
              <w:spacing w:line="400" w:lineRule="atLeast"/>
              <w:jc w:val="center"/>
              <w:rPr>
                <w:sz w:val="24"/>
                <w:highlight w:val="none"/>
              </w:rPr>
            </w:pPr>
            <w:r>
              <w:rPr>
                <w:rFonts w:hint="eastAsia"/>
                <w:sz w:val="24"/>
                <w:highlight w:val="none"/>
              </w:rPr>
              <w:t>1项</w:t>
            </w:r>
          </w:p>
        </w:tc>
        <w:tc>
          <w:tcPr>
            <w:tcW w:w="2339" w:type="dxa"/>
            <w:vAlign w:val="center"/>
          </w:tcPr>
          <w:p w14:paraId="40B1F5F4">
            <w:pPr>
              <w:adjustRightInd w:val="0"/>
              <w:snapToGrid w:val="0"/>
              <w:spacing w:line="400" w:lineRule="atLeast"/>
              <w:jc w:val="center"/>
              <w:rPr>
                <w:sz w:val="24"/>
                <w:highlight w:val="none"/>
              </w:rPr>
            </w:pPr>
            <w:r>
              <w:rPr>
                <w:sz w:val="24"/>
                <w:highlight w:val="none"/>
              </w:rPr>
              <w:t>详见采购文件内容</w:t>
            </w:r>
          </w:p>
        </w:tc>
        <w:tc>
          <w:tcPr>
            <w:tcW w:w="1062" w:type="dxa"/>
            <w:vAlign w:val="center"/>
          </w:tcPr>
          <w:p w14:paraId="5AB5A6A2">
            <w:pPr>
              <w:adjustRightInd w:val="0"/>
              <w:snapToGrid w:val="0"/>
              <w:spacing w:line="400" w:lineRule="atLeast"/>
              <w:jc w:val="center"/>
              <w:rPr>
                <w:sz w:val="24"/>
                <w:highlight w:val="none"/>
              </w:rPr>
            </w:pPr>
            <w:r>
              <w:rPr>
                <w:rFonts w:hint="eastAsia"/>
                <w:sz w:val="24"/>
                <w:highlight w:val="none"/>
              </w:rPr>
              <w:t>服务类</w:t>
            </w:r>
          </w:p>
        </w:tc>
      </w:tr>
    </w:tbl>
    <w:p w14:paraId="48FB966C">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八、服务期限：</w:t>
      </w:r>
      <w:r>
        <w:rPr>
          <w:rFonts w:hint="eastAsia" w:ascii="宋体" w:hAnsi="宋体" w:eastAsia="宋体" w:cs="宋体"/>
          <w:b w:val="0"/>
          <w:bCs w:val="0"/>
          <w:sz w:val="24"/>
          <w:szCs w:val="24"/>
          <w:highlight w:val="none"/>
          <w:lang w:eastAsia="zh-CN"/>
        </w:rPr>
        <w:t>自</w:t>
      </w:r>
      <w:r>
        <w:rPr>
          <w:rFonts w:hint="eastAsia" w:ascii="宋体" w:hAnsi="宋体" w:eastAsia="宋体" w:cs="宋体"/>
          <w:bCs/>
          <w:sz w:val="24"/>
          <w:szCs w:val="24"/>
          <w:highlight w:val="none"/>
        </w:rPr>
        <w:t>合同签订之日起</w:t>
      </w:r>
      <w:r>
        <w:rPr>
          <w:rFonts w:hint="eastAsia" w:ascii="宋体" w:hAnsi="宋体" w:eastAsia="宋体" w:cs="宋体"/>
          <w:bCs/>
          <w:sz w:val="24"/>
          <w:szCs w:val="24"/>
          <w:highlight w:val="none"/>
          <w:lang w:val="en-US" w:eastAsia="zh-CN"/>
        </w:rPr>
        <w:t>至2026年12月31日</w:t>
      </w:r>
      <w:r>
        <w:rPr>
          <w:rFonts w:ascii="宋体" w:hAnsi="宋体" w:eastAsia="宋体" w:cs="宋体"/>
          <w:sz w:val="24"/>
          <w:highlight w:val="none"/>
        </w:rPr>
        <w:t>。</w:t>
      </w:r>
    </w:p>
    <w:p w14:paraId="3B3AD5DB">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九</w:t>
      </w:r>
      <w:r>
        <w:rPr>
          <w:kern w:val="0"/>
          <w:sz w:val="24"/>
          <w:szCs w:val="22"/>
          <w:highlight w:val="none"/>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rPr>
        <w:t>。</w:t>
      </w:r>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highlight w:val="none"/>
        </w:rPr>
      </w:pPr>
      <w:r>
        <w:rPr>
          <w:color w:val="000000"/>
          <w:kern w:val="0"/>
          <w:sz w:val="24"/>
          <w:szCs w:val="22"/>
          <w:highlight w:val="none"/>
        </w:rPr>
        <w:t>本项目不接受联合体投标，不允许转包、分包</w:t>
      </w:r>
      <w:r>
        <w:rPr>
          <w:kern w:val="0"/>
          <w:sz w:val="24"/>
          <w:szCs w:val="22"/>
          <w:highlight w:val="none"/>
        </w:rPr>
        <w:t>。</w:t>
      </w:r>
    </w:p>
    <w:p w14:paraId="42A64D88">
      <w:pPr>
        <w:widowControl/>
        <w:adjustRightInd w:val="0"/>
        <w:snapToGrid w:val="0"/>
        <w:spacing w:line="400" w:lineRule="atLeast"/>
        <w:ind w:firstLine="480" w:firstLineChars="200"/>
        <w:rPr>
          <w:kern w:val="0"/>
          <w:sz w:val="24"/>
          <w:szCs w:val="22"/>
          <w:highlight w:val="none"/>
        </w:rPr>
      </w:pPr>
      <w:r>
        <w:rPr>
          <w:rFonts w:hint="eastAsia"/>
          <w:kern w:val="0"/>
          <w:sz w:val="24"/>
          <w:szCs w:val="22"/>
          <w:highlight w:val="none"/>
        </w:rPr>
        <w:t>十</w:t>
      </w:r>
      <w:r>
        <w:rPr>
          <w:kern w:val="0"/>
          <w:sz w:val="24"/>
          <w:szCs w:val="22"/>
          <w:highlight w:val="none"/>
        </w:rPr>
        <w:t>、报名时间及方式：</w:t>
      </w:r>
      <w:r>
        <w:rPr>
          <w:rFonts w:hint="eastAsia"/>
          <w:kern w:val="0"/>
          <w:sz w:val="24"/>
          <w:szCs w:val="22"/>
          <w:highlight w:val="none"/>
        </w:rPr>
        <w:t>公告发布之日起</w:t>
      </w:r>
      <w:r>
        <w:rPr>
          <w:rFonts w:hint="eastAsia"/>
          <w:kern w:val="0"/>
          <w:sz w:val="24"/>
          <w:szCs w:val="22"/>
          <w:highlight w:val="none"/>
          <w:lang w:val="en-US" w:eastAsia="zh-CN"/>
        </w:rPr>
        <w:t>三个工作日，即3月19日</w:t>
      </w:r>
      <w:r>
        <w:rPr>
          <w:rFonts w:hint="eastAsia"/>
          <w:kern w:val="0"/>
          <w:sz w:val="24"/>
          <w:szCs w:val="22"/>
          <w:highlight w:val="none"/>
        </w:rPr>
        <w:t>至</w:t>
      </w:r>
      <w:r>
        <w:rPr>
          <w:rFonts w:hint="eastAsia"/>
          <w:kern w:val="0"/>
          <w:sz w:val="24"/>
          <w:szCs w:val="22"/>
          <w:highlight w:val="none"/>
          <w:lang w:val="en-US" w:eastAsia="zh-CN"/>
        </w:rPr>
        <w:t>3</w:t>
      </w:r>
      <w:r>
        <w:rPr>
          <w:rFonts w:hint="eastAsia"/>
          <w:kern w:val="0"/>
          <w:sz w:val="24"/>
          <w:szCs w:val="22"/>
          <w:highlight w:val="none"/>
        </w:rPr>
        <w:t>月</w:t>
      </w:r>
      <w:r>
        <w:rPr>
          <w:rFonts w:hint="eastAsia"/>
          <w:kern w:val="0"/>
          <w:sz w:val="24"/>
          <w:szCs w:val="22"/>
          <w:highlight w:val="none"/>
          <w:lang w:val="en-US" w:eastAsia="zh-CN"/>
        </w:rPr>
        <w:t>23</w:t>
      </w:r>
      <w:r>
        <w:rPr>
          <w:kern w:val="0"/>
          <w:sz w:val="24"/>
          <w:szCs w:val="22"/>
          <w:highlight w:val="none"/>
        </w:rPr>
        <w:t>日</w:t>
      </w:r>
      <w:r>
        <w:rPr>
          <w:rFonts w:hint="eastAsia"/>
          <w:kern w:val="0"/>
          <w:sz w:val="24"/>
          <w:szCs w:val="22"/>
          <w:highlight w:val="none"/>
          <w:lang w:val="en-US" w:eastAsia="zh-CN"/>
        </w:rPr>
        <w:t>17</w:t>
      </w:r>
      <w:r>
        <w:rPr>
          <w:rFonts w:hint="eastAsia"/>
          <w:kern w:val="0"/>
          <w:sz w:val="24"/>
          <w:szCs w:val="22"/>
          <w:highlight w:val="none"/>
          <w:lang w:eastAsia="zh-CN"/>
        </w:rPr>
        <w:t>：</w:t>
      </w:r>
      <w:r>
        <w:rPr>
          <w:kern w:val="0"/>
          <w:sz w:val="24"/>
          <w:szCs w:val="22"/>
          <w:highlight w:val="none"/>
        </w:rPr>
        <w:t>00截止。拟参与议价的供应商须将报名表（盖公章扫描件及电子版）及营业执照、授权委托书、法人身份证、被授权人身份证、声明函等材料以“项目名称+供应商”命名并以文件压缩包形式发送至邮箱：zdbysbk@163.com，报名表见附件。</w:t>
      </w:r>
    </w:p>
    <w:p w14:paraId="2D18ABB8">
      <w:pPr>
        <w:widowControl/>
        <w:adjustRightInd w:val="0"/>
        <w:snapToGrid w:val="0"/>
        <w:spacing w:line="400" w:lineRule="atLeast"/>
        <w:ind w:firstLine="480" w:firstLineChars="200"/>
        <w:rPr>
          <w:kern w:val="0"/>
          <w:sz w:val="24"/>
          <w:szCs w:val="22"/>
          <w:highlight w:val="none"/>
        </w:rPr>
      </w:pPr>
      <w:r>
        <w:rPr>
          <w:kern w:val="0"/>
          <w:sz w:val="24"/>
          <w:szCs w:val="22"/>
          <w:highlight w:val="none"/>
        </w:rPr>
        <w:t>十</w:t>
      </w:r>
      <w:r>
        <w:rPr>
          <w:rFonts w:hint="eastAsia"/>
          <w:kern w:val="0"/>
          <w:sz w:val="24"/>
          <w:szCs w:val="22"/>
          <w:highlight w:val="none"/>
        </w:rPr>
        <w:t>一</w:t>
      </w:r>
      <w:r>
        <w:rPr>
          <w:kern w:val="0"/>
          <w:sz w:val="24"/>
          <w:szCs w:val="22"/>
          <w:highlight w:val="none"/>
        </w:rPr>
        <w:t>、采购文件</w:t>
      </w:r>
      <w:r>
        <w:rPr>
          <w:rFonts w:hint="eastAsia"/>
          <w:kern w:val="0"/>
          <w:sz w:val="24"/>
          <w:szCs w:val="22"/>
          <w:highlight w:val="none"/>
          <w:lang w:val="en-US" w:eastAsia="zh-CN"/>
        </w:rPr>
        <w:t>于公告附件自行下载</w:t>
      </w:r>
      <w:r>
        <w:rPr>
          <w:kern w:val="0"/>
          <w:sz w:val="24"/>
          <w:szCs w:val="22"/>
          <w:highlight w:val="none"/>
        </w:rPr>
        <w:t>。</w:t>
      </w:r>
      <w:r>
        <w:rPr>
          <w:rFonts w:hint="eastAsia"/>
          <w:color w:val="000000"/>
          <w:kern w:val="0"/>
          <w:sz w:val="24"/>
          <w:szCs w:val="22"/>
          <w:highlight w:val="none"/>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highlight w:val="none"/>
        </w:rPr>
      </w:pPr>
      <w:r>
        <w:rPr>
          <w:kern w:val="0"/>
          <w:sz w:val="24"/>
          <w:szCs w:val="22"/>
          <w:highlight w:val="none"/>
        </w:rPr>
        <w:t>十</w:t>
      </w:r>
      <w:r>
        <w:rPr>
          <w:rFonts w:hint="eastAsia"/>
          <w:kern w:val="0"/>
          <w:sz w:val="24"/>
          <w:szCs w:val="22"/>
          <w:highlight w:val="none"/>
        </w:rPr>
        <w:t>二</w:t>
      </w:r>
      <w:r>
        <w:rPr>
          <w:kern w:val="0"/>
          <w:sz w:val="24"/>
          <w:szCs w:val="22"/>
          <w:highlight w:val="none"/>
        </w:rPr>
        <w:t>、</w:t>
      </w:r>
      <w:r>
        <w:rPr>
          <w:rFonts w:hint="eastAsia"/>
          <w:kern w:val="0"/>
          <w:sz w:val="24"/>
          <w:szCs w:val="22"/>
          <w:highlight w:val="none"/>
        </w:rPr>
        <w:t>采购时间及地点</w:t>
      </w:r>
      <w:r>
        <w:rPr>
          <w:kern w:val="0"/>
          <w:sz w:val="24"/>
          <w:szCs w:val="22"/>
          <w:highlight w:val="none"/>
        </w:rPr>
        <w:t>：202</w:t>
      </w:r>
      <w:r>
        <w:rPr>
          <w:rFonts w:hint="eastAsia"/>
          <w:kern w:val="0"/>
          <w:sz w:val="24"/>
          <w:szCs w:val="22"/>
          <w:highlight w:val="none"/>
          <w:lang w:val="en-US" w:eastAsia="zh-CN"/>
        </w:rPr>
        <w:t>6</w:t>
      </w:r>
      <w:r>
        <w:rPr>
          <w:kern w:val="0"/>
          <w:sz w:val="24"/>
          <w:szCs w:val="22"/>
          <w:highlight w:val="none"/>
        </w:rPr>
        <w:t>年</w:t>
      </w:r>
      <w:r>
        <w:rPr>
          <w:rFonts w:hint="eastAsia"/>
          <w:kern w:val="0"/>
          <w:sz w:val="24"/>
          <w:szCs w:val="22"/>
          <w:highlight w:val="none"/>
          <w:lang w:val="en-US" w:eastAsia="zh-CN"/>
        </w:rPr>
        <w:t>3</w:t>
      </w:r>
      <w:r>
        <w:rPr>
          <w:kern w:val="0"/>
          <w:sz w:val="24"/>
          <w:szCs w:val="22"/>
          <w:highlight w:val="none"/>
        </w:rPr>
        <w:t>月</w:t>
      </w:r>
      <w:r>
        <w:rPr>
          <w:rFonts w:hint="eastAsia"/>
          <w:kern w:val="0"/>
          <w:sz w:val="24"/>
          <w:szCs w:val="22"/>
          <w:highlight w:val="none"/>
          <w:lang w:val="en-US" w:eastAsia="zh-CN"/>
        </w:rPr>
        <w:t>25</w:t>
      </w:r>
      <w:r>
        <w:rPr>
          <w:kern w:val="0"/>
          <w:sz w:val="24"/>
          <w:szCs w:val="22"/>
          <w:highlight w:val="none"/>
        </w:rPr>
        <w:t>日（</w:t>
      </w:r>
      <w:r>
        <w:rPr>
          <w:rFonts w:hint="eastAsia"/>
          <w:kern w:val="0"/>
          <w:sz w:val="24"/>
          <w:szCs w:val="22"/>
          <w:highlight w:val="none"/>
        </w:rPr>
        <w:t>周</w:t>
      </w:r>
      <w:r>
        <w:rPr>
          <w:rFonts w:hint="eastAsia"/>
          <w:kern w:val="0"/>
          <w:sz w:val="24"/>
          <w:szCs w:val="22"/>
          <w:highlight w:val="none"/>
          <w:lang w:val="en-US" w:eastAsia="zh-CN"/>
        </w:rPr>
        <w:t>五</w:t>
      </w:r>
      <w:r>
        <w:rPr>
          <w:kern w:val="0"/>
          <w:sz w:val="24"/>
          <w:szCs w:val="22"/>
          <w:highlight w:val="none"/>
        </w:rPr>
        <w:t>）</w:t>
      </w:r>
      <w:r>
        <w:rPr>
          <w:rFonts w:hint="eastAsia"/>
          <w:kern w:val="0"/>
          <w:sz w:val="24"/>
          <w:szCs w:val="22"/>
          <w:highlight w:val="none"/>
          <w:lang w:val="en-US" w:eastAsia="zh-CN"/>
        </w:rPr>
        <w:t>15:00</w:t>
      </w:r>
      <w:r>
        <w:rPr>
          <w:kern w:val="0"/>
          <w:sz w:val="24"/>
          <w:szCs w:val="22"/>
          <w:highlight w:val="none"/>
        </w:rPr>
        <w:t>，福田区福华路福星北小区92号中大八院行政楼</w:t>
      </w:r>
      <w:r>
        <w:rPr>
          <w:rFonts w:hint="eastAsia"/>
          <w:kern w:val="0"/>
          <w:sz w:val="24"/>
          <w:szCs w:val="22"/>
          <w:highlight w:val="none"/>
        </w:rPr>
        <w:t>3</w:t>
      </w:r>
      <w:r>
        <w:rPr>
          <w:kern w:val="0"/>
          <w:sz w:val="24"/>
          <w:szCs w:val="22"/>
          <w:highlight w:val="none"/>
        </w:rPr>
        <w:t>07会议室。</w:t>
      </w:r>
    </w:p>
    <w:p w14:paraId="4F836E65">
      <w:pPr>
        <w:widowControl/>
        <w:adjustRightInd w:val="0"/>
        <w:snapToGrid w:val="0"/>
        <w:spacing w:line="400" w:lineRule="atLeast"/>
        <w:ind w:firstLine="480" w:firstLineChars="200"/>
        <w:rPr>
          <w:kern w:val="0"/>
          <w:sz w:val="24"/>
          <w:szCs w:val="22"/>
          <w:highlight w:val="none"/>
        </w:rPr>
      </w:pPr>
      <w:r>
        <w:rPr>
          <w:kern w:val="0"/>
          <w:sz w:val="24"/>
          <w:szCs w:val="22"/>
          <w:highlight w:val="none"/>
        </w:rPr>
        <w:t>十</w:t>
      </w:r>
      <w:r>
        <w:rPr>
          <w:rFonts w:hint="eastAsia"/>
          <w:kern w:val="0"/>
          <w:sz w:val="24"/>
          <w:szCs w:val="22"/>
          <w:highlight w:val="none"/>
        </w:rPr>
        <w:t>三</w:t>
      </w:r>
      <w:r>
        <w:rPr>
          <w:kern w:val="0"/>
          <w:sz w:val="24"/>
          <w:szCs w:val="22"/>
          <w:highlight w:val="none"/>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highlight w:val="none"/>
          <w:lang w:val="en-US" w:eastAsia="zh-CN"/>
        </w:rPr>
      </w:pPr>
      <w:r>
        <w:rPr>
          <w:kern w:val="0"/>
          <w:sz w:val="24"/>
          <w:szCs w:val="22"/>
          <w:highlight w:val="none"/>
        </w:rPr>
        <w:t>十</w:t>
      </w:r>
      <w:r>
        <w:rPr>
          <w:rFonts w:hint="eastAsia"/>
          <w:kern w:val="0"/>
          <w:sz w:val="24"/>
          <w:szCs w:val="22"/>
          <w:highlight w:val="none"/>
        </w:rPr>
        <w:t>四</w:t>
      </w:r>
      <w:r>
        <w:rPr>
          <w:kern w:val="0"/>
          <w:sz w:val="24"/>
          <w:szCs w:val="22"/>
          <w:highlight w:val="none"/>
        </w:rPr>
        <w:t>、联系地址：深圳市福田区福华路福星北小区92号中大八院行政楼3</w:t>
      </w:r>
      <w:r>
        <w:rPr>
          <w:rFonts w:hint="eastAsia"/>
          <w:kern w:val="0"/>
          <w:sz w:val="24"/>
          <w:szCs w:val="22"/>
          <w:highlight w:val="none"/>
          <w:lang w:val="en-US" w:eastAsia="zh-CN"/>
        </w:rPr>
        <w:t>14</w:t>
      </w:r>
      <w:r>
        <w:rPr>
          <w:kern w:val="0"/>
          <w:sz w:val="24"/>
          <w:szCs w:val="22"/>
          <w:highlight w:val="none"/>
        </w:rPr>
        <w:t>招标采购管理办公室，联系人：</w:t>
      </w:r>
      <w:r>
        <w:rPr>
          <w:rFonts w:hint="eastAsia"/>
          <w:kern w:val="0"/>
          <w:sz w:val="24"/>
          <w:szCs w:val="22"/>
          <w:highlight w:val="none"/>
          <w:lang w:val="en-US" w:eastAsia="zh-CN"/>
        </w:rPr>
        <w:t>刘</w:t>
      </w:r>
      <w:r>
        <w:rPr>
          <w:kern w:val="0"/>
          <w:sz w:val="24"/>
          <w:szCs w:val="22"/>
          <w:highlight w:val="none"/>
        </w:rPr>
        <w:t>老师，联系电话：</w:t>
      </w:r>
      <w:r>
        <w:rPr>
          <w:rFonts w:hint="eastAsia"/>
          <w:kern w:val="0"/>
          <w:sz w:val="24"/>
          <w:szCs w:val="22"/>
          <w:highlight w:val="none"/>
          <w:lang w:val="en-US" w:eastAsia="zh-CN"/>
        </w:rPr>
        <w:t>82711569</w:t>
      </w:r>
    </w:p>
    <w:p w14:paraId="47393B7B">
      <w:pPr>
        <w:pStyle w:val="22"/>
        <w:adjustRightInd w:val="0"/>
        <w:snapToGrid w:val="0"/>
        <w:spacing w:after="0" w:line="440" w:lineRule="atLeast"/>
        <w:ind w:left="266" w:right="-85" w:firstLine="480" w:firstLineChars="200"/>
        <w:rPr>
          <w:rFonts w:ascii="Times New Roman" w:hAnsi="Times New Roman" w:cs="Times New Roman"/>
          <w:highlight w:val="none"/>
        </w:rPr>
      </w:pPr>
    </w:p>
    <w:p w14:paraId="52DEE37A">
      <w:pPr>
        <w:pStyle w:val="22"/>
        <w:adjustRightInd w:val="0"/>
        <w:snapToGrid w:val="0"/>
        <w:spacing w:after="0" w:line="440" w:lineRule="atLeast"/>
        <w:ind w:left="266" w:right="-85" w:firstLine="480" w:firstLineChars="200"/>
        <w:rPr>
          <w:rFonts w:ascii="Times New Roman" w:hAnsi="Times New Roman" w:cs="Times New Roman"/>
          <w:highlight w:val="none"/>
        </w:rPr>
      </w:pPr>
    </w:p>
    <w:p w14:paraId="28627271">
      <w:pPr>
        <w:pStyle w:val="22"/>
        <w:adjustRightInd w:val="0"/>
        <w:snapToGrid w:val="0"/>
        <w:spacing w:after="0" w:line="440" w:lineRule="atLeast"/>
        <w:ind w:left="266" w:right="-85" w:firstLine="480" w:firstLineChars="200"/>
        <w:rPr>
          <w:rFonts w:ascii="Times New Roman" w:hAnsi="Times New Roman" w:cs="Times New Roman"/>
          <w:highlight w:val="none"/>
        </w:rPr>
      </w:pPr>
    </w:p>
    <w:p w14:paraId="78D16413">
      <w:pPr>
        <w:widowControl/>
        <w:adjustRightInd w:val="0"/>
        <w:snapToGrid w:val="0"/>
        <w:spacing w:line="400" w:lineRule="atLeast"/>
        <w:ind w:firstLine="480" w:firstLineChars="200"/>
        <w:jc w:val="right"/>
        <w:rPr>
          <w:kern w:val="0"/>
          <w:sz w:val="24"/>
          <w:szCs w:val="22"/>
          <w:highlight w:val="none"/>
        </w:rPr>
      </w:pPr>
      <w:r>
        <w:rPr>
          <w:kern w:val="0"/>
          <w:sz w:val="24"/>
          <w:szCs w:val="22"/>
          <w:highlight w:val="none"/>
        </w:rPr>
        <w:t>中山大学附属第八医院（深圳福田）</w:t>
      </w:r>
    </w:p>
    <w:p w14:paraId="330FE92B">
      <w:pPr>
        <w:widowControl/>
        <w:adjustRightInd w:val="0"/>
        <w:snapToGrid w:val="0"/>
        <w:spacing w:line="400" w:lineRule="atLeast"/>
        <w:ind w:firstLine="480" w:firstLineChars="200"/>
        <w:jc w:val="center"/>
        <w:rPr>
          <w:rFonts w:hint="default" w:eastAsiaTheme="minorEastAsia"/>
          <w:kern w:val="0"/>
          <w:sz w:val="24"/>
          <w:szCs w:val="22"/>
          <w:highlight w:val="none"/>
          <w:lang w:val="en-US" w:eastAsia="zh-CN"/>
        </w:rPr>
      </w:pPr>
      <w:r>
        <w:rPr>
          <w:rFonts w:hint="eastAsia"/>
          <w:kern w:val="0"/>
          <w:sz w:val="24"/>
          <w:szCs w:val="22"/>
          <w:highlight w:val="none"/>
        </w:rPr>
        <w:t xml:space="preserve">                                         </w:t>
      </w:r>
      <w:r>
        <w:rPr>
          <w:kern w:val="0"/>
          <w:sz w:val="24"/>
          <w:szCs w:val="22"/>
          <w:highlight w:val="none"/>
        </w:rPr>
        <w:t>202</w:t>
      </w:r>
      <w:r>
        <w:rPr>
          <w:rFonts w:hint="eastAsia"/>
          <w:kern w:val="0"/>
          <w:sz w:val="24"/>
          <w:szCs w:val="22"/>
          <w:highlight w:val="none"/>
          <w:lang w:val="en-US" w:eastAsia="zh-CN"/>
        </w:rPr>
        <w:t>6</w:t>
      </w:r>
      <w:r>
        <w:rPr>
          <w:kern w:val="0"/>
          <w:sz w:val="24"/>
          <w:szCs w:val="22"/>
          <w:highlight w:val="none"/>
        </w:rPr>
        <w:t>年</w:t>
      </w:r>
      <w:r>
        <w:rPr>
          <w:rFonts w:hint="eastAsia"/>
          <w:kern w:val="0"/>
          <w:sz w:val="24"/>
          <w:szCs w:val="22"/>
          <w:highlight w:val="none"/>
          <w:lang w:val="en-US" w:eastAsia="zh-CN"/>
        </w:rPr>
        <w:t>3月18日</w:t>
      </w:r>
    </w:p>
    <w:p w14:paraId="3692E778">
      <w:pPr>
        <w:rPr>
          <w:highlight w:val="none"/>
        </w:rPr>
      </w:pPr>
    </w:p>
    <w:p w14:paraId="1BB35F5C">
      <w:pPr>
        <w:pStyle w:val="25"/>
      </w:pPr>
    </w:p>
    <w:p w14:paraId="43E7CD9E"/>
    <w:p w14:paraId="1DBCC152">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在投标文件首页右上角标明正本、副本）。需提供投标文件盖章扫描件，发至邮箱zdbysbk@163.com，文件资料如为复印件需加盖公章。有任何一项遗漏均为废标处理。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7"/>
        </w:numPr>
        <w:adjustRightInd w:val="0"/>
        <w:snapToGrid w:val="0"/>
        <w:spacing w:line="400" w:lineRule="atLeast"/>
        <w:rPr>
          <w:rFonts w:eastAsia="宋体"/>
          <w:b/>
          <w:bCs/>
          <w:sz w:val="24"/>
        </w:rPr>
      </w:pPr>
      <w:r>
        <w:rPr>
          <w:rFonts w:eastAsia="宋体"/>
          <w:b/>
          <w:bCs/>
          <w:sz w:val="24"/>
        </w:rPr>
        <w:t>项目背景</w:t>
      </w:r>
    </w:p>
    <w:p w14:paraId="712BA401">
      <w:pPr>
        <w:numPr>
          <w:ilvl w:val="0"/>
          <w:numId w:val="0"/>
        </w:numPr>
        <w:adjustRightInd w:val="0"/>
        <w:snapToGrid w:val="0"/>
        <w:spacing w:line="400" w:lineRule="atLeast"/>
        <w:ind w:firstLine="480" w:firstLineChars="200"/>
        <w:rPr>
          <w:rFonts w:hint="eastAsia" w:eastAsia="宋体"/>
          <w:b w:val="0"/>
          <w:bCs w:val="0"/>
          <w:sz w:val="24"/>
        </w:rPr>
      </w:pPr>
      <w:r>
        <w:rPr>
          <w:rFonts w:hint="eastAsia" w:eastAsia="宋体"/>
          <w:b w:val="0"/>
          <w:bCs w:val="0"/>
          <w:sz w:val="24"/>
        </w:rPr>
        <w:t>为推进“清之方颗粒”医院制剂的研发与备案注册，根据《广东省医疗机构制剂注册和备案管理细则》及相关技术指导原则的要求，需开展规范的“清之方颗粒”动物药效学试验，通过科学的试验设计与数据验证，为该制剂 有效性提供可靠依据，满足广东省医疗机构制剂注册申报的技术要求，支撑后续规模化生产与临床应用。</w:t>
      </w:r>
    </w:p>
    <w:p w14:paraId="6ABCE2E4">
      <w:pPr>
        <w:numPr>
          <w:ilvl w:val="0"/>
          <w:numId w:val="8"/>
        </w:numPr>
        <w:spacing w:line="400" w:lineRule="exact"/>
        <w:ind w:firstLine="482" w:firstLineChars="200"/>
        <w:rPr>
          <w:rFonts w:ascii="宋体" w:hAnsi="宋体" w:eastAsia="宋体" w:cs="宋体"/>
          <w:b/>
          <w:sz w:val="24"/>
          <w:highlight w:val="none"/>
        </w:rPr>
      </w:pPr>
      <w:r>
        <w:rPr>
          <w:rFonts w:hint="eastAsia" w:ascii="宋体" w:hAnsi="宋体" w:eastAsia="宋体" w:cs="宋体"/>
          <w:b/>
          <w:sz w:val="24"/>
          <w:highlight w:val="none"/>
        </w:rPr>
        <w:t>项目概况</w:t>
      </w:r>
    </w:p>
    <w:p w14:paraId="4648D7CA">
      <w:pPr>
        <w:pStyle w:val="11"/>
        <w:ind w:firstLine="720" w:firstLineChars="300"/>
        <w:rPr>
          <w:rFonts w:hint="eastAsia"/>
        </w:rPr>
      </w:pPr>
      <w:r>
        <w:rPr>
          <w:rFonts w:hint="eastAsia"/>
          <w:sz w:val="24"/>
          <w:szCs w:val="24"/>
          <w:highlight w:val="none"/>
        </w:rPr>
        <w:t>本项目旨在委托具备相应资质和能力的专业技术服务机构，完成“清之方颗粒”医院制剂注册备案所需的全套动物药效学试验，包括但不限于试验方案设计、动物模型建立、给药与观察、样本检测、数据统计分析、研究报告撰写等全流程工作，并形成符合《广东省医疗机构制剂注册和备案管理细则》及相关技术指导原则要求的完整、可直接用于申报的药效学研究资料。</w:t>
      </w:r>
    </w:p>
    <w:p w14:paraId="73F85881">
      <w:pPr>
        <w:numPr>
          <w:ilvl w:val="0"/>
          <w:numId w:val="0"/>
        </w:numPr>
        <w:adjustRightInd w:val="0"/>
        <w:snapToGrid w:val="0"/>
        <w:spacing w:line="400" w:lineRule="atLeast"/>
        <w:ind w:left="426" w:leftChars="0"/>
        <w:rPr>
          <w:rFonts w:hint="eastAsia" w:asciiTheme="minorEastAsia" w:hAnsiTheme="minorEastAsia" w:cstheme="minorEastAsia"/>
          <w:sz w:val="24"/>
        </w:rPr>
      </w:pPr>
      <w:r>
        <w:rPr>
          <w:rFonts w:hint="eastAsia" w:eastAsia="宋体"/>
          <w:b/>
          <w:bCs/>
          <w:sz w:val="24"/>
          <w:lang w:val="en-US" w:eastAsia="zh-CN"/>
        </w:rPr>
        <w:t>（三）服务要求</w:t>
      </w:r>
    </w:p>
    <w:p w14:paraId="74620E71">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技术服务目标：为采购人提供清之方颗粒医院制剂首次注册申报所需的动物药效学试验研究资料，具体包括完整的动物药效学试验方案设计、试验实施、数据统计分析及全套申报用研究资料。</w:t>
      </w:r>
    </w:p>
    <w:p w14:paraId="13F16E42">
      <w:pPr>
        <w:tabs>
          <w:tab w:val="left" w:pos="540"/>
        </w:tabs>
        <w:adjustRightInd w:val="0"/>
        <w:snapToGrid w:val="0"/>
        <w:spacing w:line="360" w:lineRule="auto"/>
        <w:ind w:firstLine="480" w:firstLineChars="200"/>
        <w:rPr>
          <w:sz w:val="24"/>
          <w:highlight w:val="yellow"/>
        </w:rPr>
      </w:pPr>
      <w:r>
        <w:rPr>
          <w:rFonts w:hint="eastAsia"/>
          <w:sz w:val="24"/>
          <w:highlight w:val="yellow"/>
        </w:rPr>
        <w:t>2.技术服务内容：</w:t>
      </w:r>
    </w:p>
    <w:p w14:paraId="0F2B8FC7">
      <w:pPr>
        <w:tabs>
          <w:tab w:val="left" w:pos="540"/>
        </w:tabs>
        <w:adjustRightInd w:val="0"/>
        <w:snapToGrid w:val="0"/>
        <w:spacing w:line="360" w:lineRule="auto"/>
        <w:ind w:firstLine="480" w:firstLineChars="200"/>
        <w:rPr>
          <w:sz w:val="24"/>
          <w:highlight w:val="none"/>
        </w:rPr>
      </w:pPr>
      <w:r>
        <w:rPr>
          <w:rFonts w:hint="eastAsia"/>
          <w:sz w:val="24"/>
          <w:highlight w:val="none"/>
        </w:rPr>
        <w:t>(1) 根据采购人需求，按《广东省医疗机构制剂注册和备案管理细则》完成“清之方颗粒” 动物药效学试验工作；</w:t>
      </w:r>
    </w:p>
    <w:p w14:paraId="7BADC931">
      <w:pPr>
        <w:tabs>
          <w:tab w:val="left" w:pos="540"/>
        </w:tabs>
        <w:adjustRightInd w:val="0"/>
        <w:snapToGrid w:val="0"/>
        <w:spacing w:line="360" w:lineRule="auto"/>
        <w:ind w:firstLine="480" w:firstLineChars="200"/>
        <w:rPr>
          <w:sz w:val="24"/>
          <w:highlight w:val="none"/>
        </w:rPr>
      </w:pPr>
      <w:r>
        <w:rPr>
          <w:rFonts w:hint="eastAsia"/>
          <w:sz w:val="24"/>
          <w:highlight w:val="none"/>
        </w:rPr>
        <w:t>(2) 完成研究资料整理与国家要求的申报资料撰写，包括：①动物药效学试验研究报告（含试验方案、原始数据、统计分析结果、结论等）；②相关文献支持资料、试验机构资质证明文件、实验动物使用许可等配套申报材料。</w:t>
      </w:r>
    </w:p>
    <w:p w14:paraId="3FBE0906">
      <w:pPr>
        <w:tabs>
          <w:tab w:val="left" w:pos="540"/>
        </w:tabs>
        <w:adjustRightInd w:val="0"/>
        <w:snapToGrid w:val="0"/>
        <w:spacing w:line="360" w:lineRule="auto"/>
        <w:ind w:firstLine="480" w:firstLineChars="200"/>
        <w:rPr>
          <w:sz w:val="24"/>
          <w:highlight w:val="none"/>
        </w:rPr>
      </w:pPr>
      <w:r>
        <w:rPr>
          <w:rFonts w:hint="eastAsia"/>
          <w:sz w:val="24"/>
          <w:highlight w:val="none"/>
        </w:rPr>
        <w:t>3.技术服务方式：实验研究。</w:t>
      </w:r>
    </w:p>
    <w:p w14:paraId="588A1F1B">
      <w:pPr>
        <w:tabs>
          <w:tab w:val="left" w:pos="540"/>
        </w:tabs>
        <w:adjustRightInd w:val="0"/>
        <w:snapToGrid w:val="0"/>
        <w:spacing w:line="360" w:lineRule="auto"/>
        <w:ind w:firstLine="480" w:firstLineChars="200"/>
        <w:rPr>
          <w:sz w:val="24"/>
          <w:highlight w:val="none"/>
        </w:rPr>
      </w:pPr>
      <w:r>
        <w:rPr>
          <w:rFonts w:hint="eastAsia"/>
          <w:sz w:val="24"/>
          <w:highlight w:val="none"/>
        </w:rPr>
        <w:t>4.技术服务质量要求：严格按照《广东省医疗机构制剂注册和备案管理细则》及中药药效学研究相关技术指导原则开展试验，确保研究过程规范、数据真实可靠、结论科学严谨，所形成的申报资料符合药品监督管理部门的要求。</w:t>
      </w:r>
    </w:p>
    <w:p w14:paraId="51328208">
      <w:pPr>
        <w:tabs>
          <w:tab w:val="left" w:pos="540"/>
        </w:tabs>
        <w:adjustRightInd w:val="0"/>
        <w:snapToGrid w:val="0"/>
        <w:spacing w:line="360" w:lineRule="auto"/>
        <w:ind w:firstLine="480" w:firstLineChars="200"/>
        <w:rPr>
          <w:sz w:val="24"/>
          <w:highlight w:val="none"/>
        </w:rPr>
      </w:pPr>
      <w:r>
        <w:rPr>
          <w:rFonts w:hint="eastAsia"/>
          <w:sz w:val="24"/>
          <w:highlight w:val="none"/>
        </w:rPr>
        <w:t>5.服务成果交付：所有交付物（动物药效学试验研究报告等申报资料）均需以电子版和纸质盖章版形式提供。</w:t>
      </w:r>
    </w:p>
    <w:p w14:paraId="6AF7F85A">
      <w:pPr>
        <w:adjustRightInd w:val="0"/>
        <w:snapToGrid w:val="0"/>
        <w:spacing w:line="400" w:lineRule="atLeast"/>
        <w:ind w:firstLine="482" w:firstLineChars="200"/>
        <w:rPr>
          <w:rFonts w:eastAsia="宋体"/>
          <w:b/>
          <w:bCs/>
          <w:sz w:val="24"/>
        </w:rPr>
      </w:pPr>
      <w:r>
        <w:rPr>
          <w:rFonts w:eastAsia="宋体"/>
          <w:b/>
          <w:bCs/>
          <w:sz w:val="24"/>
        </w:rPr>
        <w:t>三、★</w:t>
      </w:r>
      <w:r>
        <w:rPr>
          <w:rFonts w:eastAsia="宋体"/>
          <w:b/>
          <w:sz w:val="24"/>
        </w:rPr>
        <w:t>商务要求</w:t>
      </w:r>
    </w:p>
    <w:p w14:paraId="7F00A1E1">
      <w:pPr>
        <w:keepNext w:val="0"/>
        <w:keepLines w:val="0"/>
        <w:pageBreakBefore w:val="0"/>
        <w:numPr>
          <w:ilvl w:val="0"/>
          <w:numId w:val="9"/>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 xml:space="preserve">服务期限: </w:t>
      </w:r>
      <w:r>
        <w:rPr>
          <w:rFonts w:hint="eastAsia" w:ascii="宋体" w:hAnsi="宋体" w:eastAsia="宋体" w:cs="宋体"/>
          <w:b w:val="0"/>
          <w:bCs w:val="0"/>
          <w:sz w:val="24"/>
          <w:szCs w:val="24"/>
          <w:lang w:eastAsia="zh-CN"/>
        </w:rPr>
        <w:t>自</w:t>
      </w:r>
      <w:r>
        <w:rPr>
          <w:rFonts w:hint="eastAsia" w:ascii="宋体" w:hAnsi="宋体" w:eastAsia="宋体" w:cs="宋体"/>
          <w:bCs/>
          <w:sz w:val="24"/>
          <w:szCs w:val="24"/>
          <w:highlight w:val="none"/>
        </w:rPr>
        <w:t>合同签订之日起</w:t>
      </w:r>
      <w:r>
        <w:rPr>
          <w:rFonts w:hint="eastAsia" w:ascii="宋体" w:hAnsi="宋体" w:eastAsia="宋体" w:cs="宋体"/>
          <w:bCs/>
          <w:sz w:val="24"/>
          <w:szCs w:val="24"/>
          <w:highlight w:val="none"/>
          <w:lang w:val="en-US" w:eastAsia="zh-CN"/>
        </w:rPr>
        <w:t>至</w:t>
      </w:r>
      <w:r>
        <w:rPr>
          <w:rFonts w:hint="eastAsia" w:ascii="宋体" w:hAnsi="宋体" w:eastAsia="宋体" w:cs="宋体"/>
          <w:bCs/>
          <w:sz w:val="24"/>
          <w:szCs w:val="24"/>
          <w:lang w:val="en-US" w:eastAsia="zh-CN"/>
        </w:rPr>
        <w:t>2026年12月31日</w:t>
      </w:r>
      <w:r>
        <w:rPr>
          <w:rFonts w:hint="eastAsia" w:asciiTheme="minorEastAsia" w:hAnsiTheme="minorEastAsia" w:eastAsiaTheme="minorEastAsia" w:cstheme="minorEastAsia"/>
          <w:color w:val="auto"/>
          <w:sz w:val="24"/>
        </w:rPr>
        <w:t>。</w:t>
      </w:r>
    </w:p>
    <w:p w14:paraId="56C53118">
      <w:pPr>
        <w:keepNext w:val="0"/>
        <w:keepLines w:val="0"/>
        <w:pageBreakBefore w:val="0"/>
        <w:numPr>
          <w:ilvl w:val="0"/>
          <w:numId w:val="9"/>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服务地点：</w:t>
      </w:r>
      <w:r>
        <w:rPr>
          <w:rFonts w:hint="eastAsia" w:ascii="宋体" w:hAnsi="宋体" w:cs="宋体"/>
          <w:kern w:val="0"/>
          <w:sz w:val="24"/>
        </w:rPr>
        <w:t>主要工作在受托方（中标人）所在地完成，但成果交付、验收等相关活动在中山大学附属第八医院（深圳福田）进行</w:t>
      </w:r>
    </w:p>
    <w:p w14:paraId="50AACA16">
      <w:pPr>
        <w:keepNext w:val="0"/>
        <w:keepLines w:val="0"/>
        <w:pageBreakBefore w:val="0"/>
        <w:numPr>
          <w:ilvl w:val="0"/>
          <w:numId w:val="9"/>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投标报价要求</w:t>
      </w:r>
    </w:p>
    <w:p w14:paraId="75E86240">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1</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本项目服务费采用包干制，应包括服务成本、法定税费和企业的利润。由企业根据招标文件所提供的资料自行测算投标报价；一经中标，投标报价总价作为中标单位与采购单位签定的合同金额，合同期限内不做调整；</w:t>
      </w:r>
    </w:p>
    <w:p w14:paraId="6D9AD364">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2</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E7C2143">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3</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投标人的投标报价不得超过财政预算限额；</w:t>
      </w:r>
    </w:p>
    <w:p w14:paraId="5747F855">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4</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投标人的投标报价，应是本项目招标范围和招标文件及合同条款上所列的各项内容中所述的全部，不得以任何理由予以重复，并以投标人在中提出的综合单价或总价为依据；</w:t>
      </w:r>
    </w:p>
    <w:p w14:paraId="38FF23BF">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5</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除非</w:t>
      </w:r>
      <w:r>
        <w:rPr>
          <w:rFonts w:hint="eastAsia" w:ascii="宋体" w:hAnsi="宋体" w:cs="宋体" w:eastAsiaTheme="minorEastAsia"/>
          <w:snapToGrid/>
          <w:kern w:val="0"/>
          <w:sz w:val="24"/>
          <w:szCs w:val="24"/>
          <w:lang w:val="en-US" w:eastAsia="zh-CN"/>
        </w:rPr>
        <w:t>采购人</w:t>
      </w:r>
      <w:r>
        <w:rPr>
          <w:rFonts w:hint="eastAsia" w:ascii="宋体" w:hAnsi="宋体" w:cs="宋体" w:eastAsiaTheme="minorEastAsia"/>
          <w:snapToGrid/>
          <w:kern w:val="0"/>
          <w:sz w:val="24"/>
          <w:szCs w:val="24"/>
        </w:rPr>
        <w:t>通过修改招标文件予以更正，否则，投标人应毫无例外地按招标文件所列的清单中项目和数量填报综合单价和合价。投标人未填综合单价或合价的项目，在实施后，将不得以支付，并视作该项费用已包括在其它有价款的综合单价或合价内；</w:t>
      </w:r>
    </w:p>
    <w:p w14:paraId="28F794C9">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Theme="minorEastAsia" w:hAnsiTheme="minorEastAsia" w:eastAsiaTheme="minorEastAsia" w:cstheme="minorEastAsia"/>
          <w:color w:val="auto"/>
          <w:kern w:val="0"/>
          <w:sz w:val="24"/>
        </w:rPr>
      </w:pPr>
      <w:r>
        <w:rPr>
          <w:rFonts w:hint="eastAsia" w:ascii="宋体" w:hAnsi="宋体" w:cs="宋体" w:eastAsiaTheme="minorEastAsia"/>
          <w:snapToGrid/>
          <w:kern w:val="0"/>
          <w:sz w:val="24"/>
          <w:szCs w:val="24"/>
        </w:rPr>
        <w:t>6</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投标人不得期望通过索赔等方式获取补偿，否则，除可能遭到拒绝外，还可能将被作为不良行为记录在案，并可能影响其以后参加政府采购的项目投标。各投标人在投标报价时，应充分考虑投标报价的风险</w:t>
      </w:r>
      <w:r>
        <w:rPr>
          <w:rFonts w:hint="eastAsia" w:asciiTheme="minorEastAsia" w:hAnsiTheme="minorEastAsia" w:eastAsiaTheme="minorEastAsia" w:cstheme="minorEastAsia"/>
          <w:color w:val="auto"/>
          <w:kern w:val="0"/>
          <w:sz w:val="24"/>
        </w:rPr>
        <w:t>。</w:t>
      </w:r>
    </w:p>
    <w:p w14:paraId="1BD253B4">
      <w:pPr>
        <w:keepNext w:val="0"/>
        <w:keepLines w:val="0"/>
        <w:pageBreakBefore w:val="0"/>
        <w:numPr>
          <w:ilvl w:val="0"/>
          <w:numId w:val="9"/>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付款方式</w:t>
      </w:r>
    </w:p>
    <w:p w14:paraId="03EC8D6F">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 w:val="0"/>
          <w:bCs w:val="0"/>
          <w:sz w:val="24"/>
          <w:szCs w:val="24"/>
          <w:highlight w:val="yellow"/>
        </w:rPr>
      </w:pPr>
      <w:r>
        <w:rPr>
          <w:rFonts w:hint="eastAsia" w:ascii="宋体" w:hAnsi="宋体" w:eastAsia="宋体" w:cs="宋体"/>
          <w:b w:val="0"/>
          <w:bCs w:val="0"/>
          <w:sz w:val="24"/>
          <w:szCs w:val="24"/>
          <w:highlight w:val="yellow"/>
        </w:rPr>
        <w:t>按照中山大学附属第八医院（深圳福田）有关规定</w:t>
      </w:r>
      <w:r>
        <w:rPr>
          <w:rFonts w:hint="eastAsia" w:ascii="宋体" w:hAnsi="宋体" w:eastAsia="宋体" w:cs="宋体"/>
          <w:b w:val="0"/>
          <w:bCs w:val="0"/>
          <w:sz w:val="24"/>
          <w:szCs w:val="24"/>
          <w:highlight w:val="yellow"/>
          <w:lang w:val="en-US" w:eastAsia="zh-CN"/>
        </w:rPr>
        <w:t>和合同条款执行</w:t>
      </w:r>
      <w:r>
        <w:rPr>
          <w:rFonts w:hint="eastAsia" w:ascii="宋体" w:hAnsi="宋体" w:eastAsia="宋体" w:cs="宋体"/>
          <w:b w:val="0"/>
          <w:bCs w:val="0"/>
          <w:sz w:val="24"/>
          <w:szCs w:val="24"/>
          <w:highlight w:val="yellow"/>
        </w:rPr>
        <w:t>付款。</w:t>
      </w:r>
    </w:p>
    <w:p w14:paraId="3B342E81">
      <w:pPr>
        <w:numPr>
          <w:ilvl w:val="255"/>
          <w:numId w:val="0"/>
        </w:numPr>
        <w:spacing w:line="360" w:lineRule="auto"/>
        <w:ind w:firstLine="480" w:firstLineChars="200"/>
        <w:jc w:val="left"/>
        <w:rPr>
          <w:rFonts w:hint="eastAsia" w:asciiTheme="minorEastAsia" w:hAnsiTheme="minorEastAsia" w:eastAsiaTheme="minorEastAsia" w:cstheme="minorEastAsia"/>
          <w:color w:val="auto"/>
          <w:kern w:val="0"/>
          <w:sz w:val="24"/>
          <w:highlight w:val="yellow"/>
        </w:rPr>
      </w:pPr>
      <w:r>
        <w:rPr>
          <w:rFonts w:hint="eastAsia" w:ascii="宋体" w:hAnsi="宋体" w:cs="宋体"/>
          <w:kern w:val="0"/>
          <w:sz w:val="24"/>
          <w:highlight w:val="yellow"/>
          <w:lang w:val="en-US" w:eastAsia="zh-CN"/>
        </w:rPr>
        <w:t>合同签订之日起5个工作日内，中标方向采购方开具合同总金额30%的发票，采购方财务科收到发票及相关付款资料后10个工作日内向中标方支付与发票金额一致的款项；动物实验模型及检验病理检测完成后，中标方向采购方开具合同总金额40%的发票，采购方财务科收到发票及相关付款资料后10个工作日内向中标方支付与发票金额一致的款项，完成数据分析以及提供符合《广东省医疗机构制剂注册和备案实施细则》及中药研发有关技术指导原则要求的备案资料后，中标方出具剩余30%的合同款的发票，采购方财务科收到发票及相关付款资料后10个工作日内向中标方支付与发票金额一致的款项。</w:t>
      </w:r>
      <w:bookmarkStart w:id="26" w:name="_GoBack"/>
      <w:bookmarkEnd w:id="26"/>
    </w:p>
    <w:p w14:paraId="42D6F5BF">
      <w:pPr>
        <w:numPr>
          <w:ilvl w:val="255"/>
          <w:numId w:val="0"/>
        </w:numPr>
        <w:spacing w:line="360" w:lineRule="auto"/>
        <w:ind w:firstLine="482" w:firstLineChars="200"/>
        <w:jc w:val="left"/>
        <w:rPr>
          <w:rFonts w:ascii="宋体" w:hAnsi="宋体" w:cs="宋体"/>
          <w:kern w:val="0"/>
          <w:sz w:val="24"/>
        </w:rPr>
      </w:pPr>
      <w:r>
        <w:rPr>
          <w:rFonts w:hint="eastAsia" w:ascii="宋体" w:hAnsi="宋体" w:eastAsia="宋体" w:cs="宋体"/>
          <w:b/>
          <w:bCs/>
          <w:sz w:val="24"/>
        </w:rPr>
        <w:t>（五）关于验收;</w:t>
      </w:r>
      <w:r>
        <w:rPr>
          <w:rFonts w:hint="eastAsia" w:ascii="宋体" w:hAnsi="宋体" w:cs="宋体"/>
          <w:kern w:val="0"/>
          <w:sz w:val="24"/>
        </w:rPr>
        <w:t>服务验收需符合医院质量要求，填写验收报告提交医院审核。服务完成后，中标人应提请采购人对其交付的服务成果进行验收。验收合格后，向采购人提交正式发票及验收合格证明文件等付款资料提请采购人付款。</w:t>
      </w:r>
    </w:p>
    <w:p w14:paraId="7CFF4630">
      <w:pPr>
        <w:numPr>
          <w:ilvl w:val="255"/>
          <w:numId w:val="0"/>
        </w:numPr>
        <w:spacing w:line="360" w:lineRule="auto"/>
        <w:ind w:firstLine="480" w:firstLineChars="200"/>
        <w:jc w:val="left"/>
        <w:rPr>
          <w:rFonts w:hint="eastAsia" w:ascii="宋体" w:hAnsi="宋体" w:eastAsia="宋体" w:cs="宋体"/>
          <w:bCs/>
          <w:sz w:val="24"/>
          <w:szCs w:val="24"/>
        </w:rPr>
      </w:pPr>
      <w:r>
        <w:rPr>
          <w:rFonts w:hint="eastAsia" w:ascii="宋体" w:hAnsi="宋体" w:cs="宋体"/>
          <w:kern w:val="0"/>
          <w:sz w:val="24"/>
          <w:highlight w:val="yellow"/>
        </w:rPr>
        <w:t>验收</w:t>
      </w:r>
      <w:r>
        <w:rPr>
          <w:rFonts w:ascii="宋体" w:hAnsi="宋体" w:cs="宋体"/>
          <w:kern w:val="0"/>
          <w:sz w:val="24"/>
          <w:highlight w:val="yellow"/>
        </w:rPr>
        <w:t>符合《广东省医疗机构制剂注册和备案管理细则》及中药研发有关技术指导原则的要求</w:t>
      </w:r>
      <w:r>
        <w:rPr>
          <w:rFonts w:hint="eastAsia" w:ascii="宋体" w:hAnsi="宋体" w:cs="宋体"/>
          <w:kern w:val="0"/>
          <w:sz w:val="24"/>
          <w:highlight w:val="yellow"/>
        </w:rPr>
        <w:t>。</w:t>
      </w:r>
    </w:p>
    <w:p w14:paraId="7FACEA28">
      <w:pPr>
        <w:spacing w:line="360" w:lineRule="auto"/>
        <w:ind w:firstLine="482" w:firstLineChars="200"/>
      </w:pPr>
      <w:r>
        <w:rPr>
          <w:rFonts w:hint="eastAsia" w:ascii="宋体" w:hAnsi="宋体" w:eastAsia="宋体" w:cs="宋体"/>
          <w:b/>
          <w:bCs/>
          <w:sz w:val="24"/>
        </w:rPr>
        <w:t>（六）违约责任</w:t>
      </w:r>
    </w:p>
    <w:p w14:paraId="5931BA5D">
      <w:pPr>
        <w:pStyle w:val="11"/>
        <w:numPr>
          <w:ilvl w:val="0"/>
          <w:numId w:val="10"/>
        </w:numPr>
        <w:adjustRightInd w:val="0"/>
        <w:snapToGrid w:val="0"/>
        <w:ind w:firstLine="480" w:firstLineChars="200"/>
        <w:rPr>
          <w:rFonts w:ascii="宋体" w:hAnsi="宋体" w:cs="宋体"/>
          <w:sz w:val="24"/>
        </w:rPr>
      </w:pPr>
      <w:r>
        <w:rPr>
          <w:rFonts w:hint="eastAsia" w:ascii="宋体" w:hAnsi="宋体" w:cs="宋体"/>
          <w:sz w:val="24"/>
        </w:rPr>
        <w:t>服务期间内，如因中标人丧失为提供该项目服务所必需的资质或其他中标人方面的原因导致项目无法进行的，中标人应在丧失资质或相关事由发生的当天立即通知采购人，中标人无法在3天内恢复资质或消除事由的，采购人有权单方解除合同，不再向中标人支付未支付的款项，并要求中标人支付合同总金额1</w:t>
      </w:r>
      <w:r>
        <w:rPr>
          <w:rFonts w:ascii="宋体" w:hAnsi="宋体" w:cs="宋体"/>
          <w:sz w:val="24"/>
        </w:rPr>
        <w:t>0</w:t>
      </w:r>
      <w:r>
        <w:rPr>
          <w:rFonts w:hint="eastAsia" w:ascii="宋体" w:hAnsi="宋体" w:cs="宋体"/>
          <w:sz w:val="24"/>
        </w:rPr>
        <w:t>%的违约金。</w:t>
      </w:r>
    </w:p>
    <w:p w14:paraId="204965C1">
      <w:pPr>
        <w:pStyle w:val="11"/>
        <w:numPr>
          <w:ilvl w:val="0"/>
          <w:numId w:val="10"/>
        </w:numPr>
        <w:adjustRightInd w:val="0"/>
        <w:snapToGrid w:val="0"/>
        <w:ind w:firstLine="480" w:firstLineChars="200"/>
        <w:rPr>
          <w:rFonts w:ascii="宋体" w:hAnsi="宋体" w:cs="宋体"/>
          <w:sz w:val="24"/>
        </w:rPr>
      </w:pPr>
      <w:r>
        <w:rPr>
          <w:rFonts w:hint="eastAsia" w:ascii="宋体" w:hAnsi="宋体" w:cs="宋体"/>
          <w:sz w:val="24"/>
        </w:rPr>
        <w:t>如中标人未按采购人需求或采购文件、投标文件、合同约定时间提供服务，经采购人催告后无正当理由仍不履行义务的，自催告后每逾期一日，应每日按该项目合同约定的服务费用总额的5‰向采购人支付违约金；且自中标人逾期之日起，采购人有权自行委托第三方提供采购人所需要的服务，因此产生的费用由中标人承担，因此造成采购人损失的，中标人应承担赔偿责任。逾期超过1</w:t>
      </w:r>
      <w:r>
        <w:rPr>
          <w:rFonts w:ascii="宋体" w:hAnsi="宋体" w:cs="宋体"/>
          <w:sz w:val="24"/>
        </w:rPr>
        <w:t>0</w:t>
      </w:r>
      <w:r>
        <w:rPr>
          <w:rFonts w:hint="eastAsia" w:ascii="宋体" w:hAnsi="宋体" w:cs="宋体"/>
          <w:sz w:val="24"/>
        </w:rPr>
        <w:t>日的，采购人有权单方解除合同。</w:t>
      </w:r>
    </w:p>
    <w:p w14:paraId="68B6B334">
      <w:pPr>
        <w:pStyle w:val="11"/>
        <w:numPr>
          <w:ilvl w:val="0"/>
          <w:numId w:val="10"/>
        </w:numPr>
        <w:adjustRightInd w:val="0"/>
        <w:snapToGrid w:val="0"/>
        <w:ind w:firstLine="480" w:firstLineChars="200"/>
        <w:rPr>
          <w:rFonts w:ascii="宋体" w:hAnsi="宋体" w:cs="宋体"/>
          <w:sz w:val="24"/>
        </w:rPr>
      </w:pPr>
      <w:r>
        <w:rPr>
          <w:rFonts w:hint="eastAsia" w:ascii="宋体" w:hAnsi="宋体" w:cs="宋体"/>
          <w:sz w:val="24"/>
        </w:rPr>
        <w:t>中标人提供的服务未能满足采购文件、投标文件、合同约定的服务要求和标准的，采购人有权拒绝验收并要求中标人立即整改；中标人整改后仍未能满足前述条件的或中标人拒绝整改的，采购人有权单方解除合同，并要求中标人向采购人支付该项目总费用的3</w:t>
      </w:r>
      <w:r>
        <w:rPr>
          <w:rFonts w:ascii="宋体" w:hAnsi="宋体" w:cs="宋体"/>
          <w:sz w:val="24"/>
        </w:rPr>
        <w:t>0</w:t>
      </w:r>
      <w:r>
        <w:rPr>
          <w:rFonts w:hint="eastAsia" w:ascii="宋体" w:hAnsi="宋体" w:cs="宋体"/>
          <w:sz w:val="24"/>
        </w:rPr>
        <w:t>%的违约金。如因此给采购人造成损失的，中标人应当承担赔偿责任。</w:t>
      </w:r>
    </w:p>
    <w:p w14:paraId="291DF63B">
      <w:pPr>
        <w:pStyle w:val="11"/>
        <w:adjustRightInd w:val="0"/>
        <w:snapToGrid w:val="0"/>
        <w:ind w:firstLine="480" w:firstLineChars="200"/>
        <w:rPr>
          <w:rFonts w:ascii="宋体" w:hAnsi="宋体" w:cs="宋体"/>
          <w:sz w:val="24"/>
        </w:rPr>
      </w:pPr>
      <w:r>
        <w:rPr>
          <w:rFonts w:hint="eastAsia" w:ascii="宋体" w:hAnsi="宋体" w:cs="宋体"/>
          <w:sz w:val="24"/>
        </w:rPr>
        <w:t>4.合同生效后，双方不得任意中止合同，否则支付对方合同总价款的5%作为违约金。</w:t>
      </w:r>
    </w:p>
    <w:p w14:paraId="2E08FCA1">
      <w:pPr>
        <w:pStyle w:val="11"/>
        <w:adjustRightInd w:val="0"/>
        <w:snapToGrid w:val="0"/>
        <w:ind w:firstLine="480" w:firstLineChars="200"/>
        <w:rPr>
          <w:rFonts w:ascii="宋体" w:hAnsi="宋体" w:cs="宋体"/>
          <w:sz w:val="24"/>
        </w:rPr>
      </w:pPr>
      <w:r>
        <w:rPr>
          <w:rFonts w:hint="eastAsia" w:ascii="宋体" w:hAnsi="宋体" w:cs="宋体"/>
          <w:sz w:val="24"/>
        </w:rPr>
        <w:t xml:space="preserve">5.因采购人原因造成的拖期，调试、验收中的产品更改费用由采购人承担。因中标人原因造成的拖期，责任由中标人承担，每拖期一天乙方按合同总价的0.5%向采购人支付违约金，违约金从合同总价款中直接扣除。 </w:t>
      </w:r>
    </w:p>
    <w:p w14:paraId="7A592A5A">
      <w:pPr>
        <w:pStyle w:val="11"/>
        <w:adjustRightInd w:val="0"/>
        <w:snapToGrid w:val="0"/>
        <w:ind w:firstLine="480" w:firstLineChars="200"/>
        <w:rPr>
          <w:rFonts w:ascii="宋体" w:hAnsi="宋体" w:cs="宋体"/>
          <w:sz w:val="24"/>
        </w:rPr>
      </w:pPr>
      <w:r>
        <w:rPr>
          <w:rFonts w:hint="eastAsia" w:ascii="宋体" w:hAnsi="宋体" w:cs="宋体"/>
          <w:sz w:val="24"/>
        </w:rPr>
        <w:t>6.其他违约责任按《中华人民共和国民法典》的规定，双方协商解决。</w:t>
      </w:r>
    </w:p>
    <w:p w14:paraId="0498FF62">
      <w:pPr>
        <w:spacing w:line="360" w:lineRule="auto"/>
        <w:ind w:left="420" w:firstLine="210" w:firstLineChars="100"/>
      </w:pPr>
    </w:p>
    <w:p w14:paraId="5D068B69">
      <w:pPr>
        <w:pStyle w:val="11"/>
      </w:pPr>
    </w:p>
    <w:p w14:paraId="074F738D"/>
    <w:p w14:paraId="133056E8">
      <w:pPr>
        <w:pStyle w:val="11"/>
      </w:pPr>
    </w:p>
    <w:p w14:paraId="2CCD7DB9"/>
    <w:p w14:paraId="64881246">
      <w:pPr>
        <w:pStyle w:val="2"/>
      </w:pPr>
    </w:p>
    <w:p w14:paraId="515E573B">
      <w:pPr>
        <w:adjustRightInd w:val="0"/>
        <w:snapToGrid w:val="0"/>
        <w:spacing w:line="520" w:lineRule="atLeast"/>
        <w:rPr>
          <w:rFonts w:eastAsia="方正小标宋简体"/>
          <w:kern w:val="0"/>
          <w:sz w:val="44"/>
          <w:szCs w:val="36"/>
        </w:rPr>
      </w:pPr>
      <w:bookmarkStart w:id="0" w:name="_Toc435115056"/>
      <w:bookmarkStart w:id="1" w:name="_Toc8307306"/>
      <w:bookmarkStart w:id="2" w:name="_Toc9128_WPSOffice_Level1"/>
      <w:bookmarkStart w:id="3" w:name="_Toc22206"/>
      <w:bookmarkStart w:id="4" w:name="_Toc24338"/>
      <w:bookmarkStart w:id="5" w:name="_Toc57128626"/>
      <w:bookmarkStart w:id="6" w:name="_Toc435514851"/>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2"/>
        <w:ind w:left="420"/>
        <w:jc w:val="center"/>
        <w:rPr>
          <w:rFonts w:ascii="Times New Roman" w:hAnsi="Times New Roman" w:cs="Times New Roman"/>
          <w:sz w:val="30"/>
          <w:szCs w:val="30"/>
        </w:rPr>
      </w:pPr>
      <w:bookmarkStart w:id="7" w:name="_Toc435514852"/>
      <w:bookmarkStart w:id="8" w:name="_Toc435515292"/>
      <w:bookmarkStart w:id="9" w:name="_Toc8080"/>
      <w:bookmarkStart w:id="10" w:name="_Toc57128627"/>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1"/>
              <w:spacing w:line="360" w:lineRule="auto"/>
              <w:ind w:firstLine="482" w:firstLineChars="150"/>
              <w:rPr>
                <w:rFonts w:eastAsia="仿宋_GB2312"/>
                <w:b/>
                <w:sz w:val="32"/>
              </w:rPr>
            </w:pPr>
          </w:p>
          <w:p w14:paraId="262440B5">
            <w:pPr>
              <w:pStyle w:val="11"/>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1"/>
              <w:spacing w:line="360" w:lineRule="auto"/>
              <w:ind w:firstLine="482" w:firstLineChars="150"/>
              <w:rPr>
                <w:rFonts w:eastAsia="仿宋_GB2312"/>
                <w:b/>
                <w:sz w:val="32"/>
              </w:rPr>
            </w:pPr>
          </w:p>
          <w:p w14:paraId="3C98659B">
            <w:pPr>
              <w:pStyle w:val="11"/>
              <w:spacing w:line="360" w:lineRule="auto"/>
              <w:ind w:firstLine="482" w:firstLineChars="150"/>
              <w:rPr>
                <w:rFonts w:eastAsia="仿宋_GB2312"/>
                <w:b/>
                <w:sz w:val="32"/>
              </w:rPr>
            </w:pPr>
            <w:r>
              <w:rPr>
                <w:rFonts w:eastAsia="仿宋_GB2312"/>
                <w:b/>
                <w:sz w:val="32"/>
              </w:rPr>
              <w:t xml:space="preserve">项目编号： </w:t>
            </w:r>
          </w:p>
          <w:p w14:paraId="7FED4671">
            <w:pPr>
              <w:pStyle w:val="11"/>
              <w:spacing w:line="360" w:lineRule="auto"/>
              <w:ind w:firstLine="482" w:firstLineChars="150"/>
              <w:rPr>
                <w:rFonts w:eastAsia="仿宋_GB2312"/>
                <w:b/>
                <w:sz w:val="32"/>
              </w:rPr>
            </w:pPr>
            <w:r>
              <w:rPr>
                <w:rFonts w:eastAsia="仿宋_GB2312"/>
                <w:b/>
                <w:sz w:val="32"/>
              </w:rPr>
              <w:t xml:space="preserve">项目名称： </w:t>
            </w:r>
          </w:p>
          <w:p w14:paraId="6759F195">
            <w:pPr>
              <w:pStyle w:val="11"/>
              <w:spacing w:line="360" w:lineRule="auto"/>
              <w:ind w:firstLine="482" w:firstLineChars="150"/>
              <w:rPr>
                <w:rFonts w:eastAsia="仿宋_GB2312"/>
                <w:b/>
                <w:sz w:val="32"/>
              </w:rPr>
            </w:pPr>
            <w:r>
              <w:rPr>
                <w:rFonts w:eastAsia="仿宋_GB2312"/>
                <w:b/>
                <w:sz w:val="32"/>
              </w:rPr>
              <w:t>投标供应商：</w:t>
            </w:r>
          </w:p>
          <w:p w14:paraId="08718889">
            <w:pPr>
              <w:pStyle w:val="11"/>
              <w:spacing w:line="360" w:lineRule="auto"/>
              <w:ind w:firstLine="482" w:firstLineChars="150"/>
              <w:rPr>
                <w:rFonts w:eastAsia="仿宋_GB2312"/>
                <w:b/>
                <w:sz w:val="32"/>
              </w:rPr>
            </w:pPr>
            <w:r>
              <w:rPr>
                <w:rFonts w:eastAsia="仿宋_GB2312"/>
                <w:b/>
                <w:sz w:val="32"/>
              </w:rPr>
              <w:t xml:space="preserve">法人代表:                                    </w:t>
            </w:r>
          </w:p>
          <w:p w14:paraId="01C82636">
            <w:pPr>
              <w:pStyle w:val="11"/>
              <w:spacing w:line="360" w:lineRule="auto"/>
              <w:ind w:firstLine="482" w:firstLineChars="150"/>
              <w:rPr>
                <w:rFonts w:eastAsia="仿宋_GB2312"/>
                <w:b/>
                <w:sz w:val="32"/>
              </w:rPr>
            </w:pPr>
            <w:r>
              <w:rPr>
                <w:rFonts w:eastAsia="仿宋_GB2312"/>
                <w:b/>
                <w:sz w:val="32"/>
              </w:rPr>
              <w:t xml:space="preserve">投标联系人：                                     </w:t>
            </w:r>
          </w:p>
          <w:p w14:paraId="3434B51F">
            <w:pPr>
              <w:pStyle w:val="11"/>
              <w:spacing w:line="360" w:lineRule="auto"/>
              <w:ind w:firstLine="482" w:firstLineChars="150"/>
              <w:rPr>
                <w:rFonts w:eastAsia="仿宋_GB2312"/>
                <w:b/>
                <w:sz w:val="32"/>
              </w:rPr>
            </w:pPr>
            <w:r>
              <w:rPr>
                <w:rFonts w:eastAsia="仿宋_GB2312"/>
                <w:b/>
                <w:sz w:val="32"/>
              </w:rPr>
              <w:t xml:space="preserve">手机：               公司电话：     </w:t>
            </w:r>
          </w:p>
          <w:p w14:paraId="61402717">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6</w:t>
            </w:r>
            <w:r>
              <w:rPr>
                <w:rFonts w:eastAsia="仿宋_GB2312"/>
                <w:b/>
                <w:sz w:val="32"/>
              </w:rPr>
              <w:t>年X月X日</w:t>
            </w:r>
          </w:p>
          <w:p w14:paraId="4BD60F7E">
            <w:pPr>
              <w:pStyle w:val="11"/>
              <w:spacing w:line="360" w:lineRule="auto"/>
              <w:ind w:firstLine="482" w:firstLineChars="150"/>
              <w:rPr>
                <w:rFonts w:eastAsia="仿宋_GB2312"/>
                <w:b/>
                <w:sz w:val="32"/>
              </w:rPr>
            </w:pPr>
            <w:r>
              <w:rPr>
                <w:rFonts w:eastAsia="仿宋_GB2312"/>
                <w:b/>
                <w:sz w:val="32"/>
              </w:rPr>
              <w:t>开标之前不得启封</w:t>
            </w:r>
          </w:p>
        </w:tc>
      </w:tr>
    </w:tbl>
    <w:p w14:paraId="22C40325">
      <w:pPr>
        <w:pStyle w:val="2"/>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2"/>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1"/>
        <w:numPr>
          <w:ilvl w:val="0"/>
          <w:numId w:val="11"/>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11"/>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11"/>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1"/>
        <w:numPr>
          <w:ilvl w:val="0"/>
          <w:numId w:val="11"/>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11"/>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1"/>
        <w:numPr>
          <w:ilvl w:val="0"/>
          <w:numId w:val="11"/>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11"/>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11"/>
        </w:numPr>
        <w:adjustRightInd w:val="0"/>
        <w:spacing w:line="360" w:lineRule="auto"/>
        <w:rPr>
          <w:rFonts w:eastAsia="黑体"/>
          <w:bCs/>
          <w:sz w:val="28"/>
          <w:szCs w:val="28"/>
        </w:rPr>
      </w:pPr>
      <w:r>
        <w:rPr>
          <w:rFonts w:eastAsia="黑体"/>
          <w:bCs/>
          <w:sz w:val="28"/>
          <w:szCs w:val="28"/>
        </w:rPr>
        <w:t>实施方案</w:t>
      </w:r>
    </w:p>
    <w:p w14:paraId="5122C42D">
      <w:pPr>
        <w:numPr>
          <w:ilvl w:val="0"/>
          <w:numId w:val="11"/>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11"/>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11"/>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11"/>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1"/>
        <w:numPr>
          <w:ilvl w:val="0"/>
          <w:numId w:val="11"/>
        </w:numPr>
        <w:rPr>
          <w:rFonts w:eastAsia="黑体"/>
          <w:snapToGrid w:val="0"/>
          <w:kern w:val="0"/>
          <w:sz w:val="28"/>
          <w:szCs w:val="28"/>
        </w:rPr>
      </w:pPr>
      <w:r>
        <w:rPr>
          <w:rFonts w:eastAsia="黑体"/>
          <w:snapToGrid w:val="0"/>
          <w:kern w:val="0"/>
          <w:sz w:val="28"/>
          <w:szCs w:val="28"/>
        </w:rPr>
        <w:t>履约承诺函</w:t>
      </w:r>
    </w:p>
    <w:p w14:paraId="2A2E4456">
      <w:pPr>
        <w:pStyle w:val="11"/>
        <w:numPr>
          <w:ilvl w:val="0"/>
          <w:numId w:val="11"/>
        </w:numPr>
        <w:rPr>
          <w:rFonts w:eastAsia="黑体"/>
          <w:snapToGrid w:val="0"/>
          <w:kern w:val="0"/>
          <w:sz w:val="28"/>
          <w:szCs w:val="28"/>
        </w:rPr>
      </w:pPr>
      <w:r>
        <w:rPr>
          <w:rFonts w:eastAsia="黑体"/>
          <w:snapToGrid w:val="0"/>
          <w:kern w:val="0"/>
          <w:sz w:val="28"/>
          <w:szCs w:val="28"/>
        </w:rPr>
        <w:t>签约承诺函</w:t>
      </w:r>
    </w:p>
    <w:p w14:paraId="32EAEB4F">
      <w:pPr>
        <w:pStyle w:val="11"/>
        <w:numPr>
          <w:ilvl w:val="0"/>
          <w:numId w:val="11"/>
        </w:numPr>
        <w:rPr>
          <w:rFonts w:eastAsia="黑体"/>
          <w:snapToGrid w:val="0"/>
          <w:kern w:val="0"/>
          <w:sz w:val="28"/>
          <w:szCs w:val="28"/>
        </w:rPr>
      </w:pPr>
      <w:r>
        <w:rPr>
          <w:rFonts w:eastAsia="黑体"/>
          <w:snapToGrid w:val="0"/>
          <w:kern w:val="0"/>
          <w:sz w:val="28"/>
          <w:szCs w:val="28"/>
        </w:rPr>
        <w:t>诚信承诺函</w:t>
      </w:r>
    </w:p>
    <w:p w14:paraId="78926F46">
      <w:pPr>
        <w:pStyle w:val="11"/>
        <w:numPr>
          <w:ilvl w:val="0"/>
          <w:numId w:val="11"/>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48E1560C">
      <w:pPr>
        <w:pStyle w:val="11"/>
        <w:rPr>
          <w:b/>
          <w:sz w:val="24"/>
        </w:rPr>
      </w:pPr>
      <w:r>
        <w:rPr>
          <w:b/>
          <w:bCs/>
          <w:szCs w:val="21"/>
        </w:rPr>
        <w:t>注：请投标人按照以下文件的要求格式、内容，顺序制作投标文件，并请编制目录及页码，否则可能将影响对投标文件的评价。</w:t>
      </w:r>
    </w:p>
    <w:p w14:paraId="2408E8E7">
      <w:pPr>
        <w:pStyle w:val="41"/>
        <w:numPr>
          <w:ilvl w:val="0"/>
          <w:numId w:val="11"/>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1"/>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12"/>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12"/>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2"/>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3"/>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2"/>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2"/>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349"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r w14:paraId="3B3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7A2C670A">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2</w:t>
            </w:r>
          </w:p>
        </w:tc>
        <w:tc>
          <w:tcPr>
            <w:tcW w:w="2260" w:type="dxa"/>
            <w:noWrap w:val="0"/>
            <w:vAlign w:val="center"/>
          </w:tcPr>
          <w:p w14:paraId="36FADA8E">
            <w:pPr>
              <w:widowControl/>
              <w:jc w:val="left"/>
              <w:textAlignment w:val="center"/>
              <w:rPr>
                <w:rFonts w:ascii="宋体" w:hAnsi="宋体" w:cs="宋体"/>
                <w:color w:val="000000"/>
                <w:kern w:val="0"/>
                <w:sz w:val="18"/>
                <w:szCs w:val="18"/>
              </w:rPr>
            </w:pPr>
          </w:p>
        </w:tc>
        <w:tc>
          <w:tcPr>
            <w:tcW w:w="1230" w:type="dxa"/>
            <w:noWrap w:val="0"/>
            <w:vAlign w:val="center"/>
          </w:tcPr>
          <w:p w14:paraId="68B913F1">
            <w:pPr>
              <w:widowControl/>
              <w:jc w:val="left"/>
              <w:textAlignment w:val="center"/>
              <w:rPr>
                <w:rFonts w:ascii="宋体" w:hAnsi="宋体" w:cs="宋体"/>
                <w:color w:val="000000"/>
                <w:kern w:val="0"/>
                <w:sz w:val="18"/>
                <w:szCs w:val="18"/>
              </w:rPr>
            </w:pPr>
          </w:p>
        </w:tc>
        <w:tc>
          <w:tcPr>
            <w:tcW w:w="1290" w:type="dxa"/>
            <w:noWrap w:val="0"/>
            <w:vAlign w:val="center"/>
          </w:tcPr>
          <w:p w14:paraId="27608108">
            <w:pPr>
              <w:widowControl/>
              <w:jc w:val="left"/>
              <w:textAlignment w:val="center"/>
              <w:rPr>
                <w:rFonts w:ascii="宋体" w:hAnsi="宋体" w:cs="宋体"/>
                <w:color w:val="000000"/>
                <w:kern w:val="0"/>
                <w:sz w:val="18"/>
                <w:szCs w:val="18"/>
              </w:rPr>
            </w:pPr>
          </w:p>
        </w:tc>
        <w:tc>
          <w:tcPr>
            <w:tcW w:w="2349" w:type="dxa"/>
            <w:noWrap w:val="0"/>
            <w:vAlign w:val="center"/>
          </w:tcPr>
          <w:p w14:paraId="4EC68B7A">
            <w:pPr>
              <w:widowControl/>
              <w:jc w:val="left"/>
              <w:textAlignment w:val="center"/>
              <w:rPr>
                <w:rFonts w:ascii="宋体" w:hAnsi="宋体" w:cs="宋体"/>
                <w:bCs/>
                <w:sz w:val="18"/>
                <w:szCs w:val="18"/>
              </w:rPr>
            </w:pPr>
          </w:p>
        </w:tc>
        <w:tc>
          <w:tcPr>
            <w:tcW w:w="1309" w:type="dxa"/>
            <w:noWrap w:val="0"/>
            <w:vAlign w:val="center"/>
          </w:tcPr>
          <w:p w14:paraId="3DA7CD1E">
            <w:pPr>
              <w:widowControl/>
              <w:jc w:val="left"/>
              <w:textAlignment w:val="center"/>
              <w:rPr>
                <w:rFonts w:ascii="宋体" w:hAnsi="宋体" w:cs="宋体"/>
                <w:bCs/>
                <w:sz w:val="18"/>
                <w:szCs w:val="18"/>
              </w:rPr>
            </w:pPr>
          </w:p>
        </w:tc>
      </w:tr>
      <w:tr w14:paraId="3251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21B4A351">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260" w:type="dxa"/>
            <w:noWrap w:val="0"/>
            <w:vAlign w:val="center"/>
          </w:tcPr>
          <w:p w14:paraId="3BBBA49F">
            <w:pPr>
              <w:widowControl/>
              <w:jc w:val="left"/>
              <w:textAlignment w:val="center"/>
              <w:rPr>
                <w:rFonts w:ascii="宋体" w:hAnsi="宋体" w:cs="宋体"/>
                <w:color w:val="000000"/>
                <w:kern w:val="0"/>
                <w:sz w:val="18"/>
                <w:szCs w:val="18"/>
              </w:rPr>
            </w:pPr>
          </w:p>
        </w:tc>
        <w:tc>
          <w:tcPr>
            <w:tcW w:w="1230" w:type="dxa"/>
            <w:noWrap w:val="0"/>
            <w:vAlign w:val="center"/>
          </w:tcPr>
          <w:p w14:paraId="20D7E432">
            <w:pPr>
              <w:widowControl/>
              <w:jc w:val="left"/>
              <w:textAlignment w:val="center"/>
              <w:rPr>
                <w:rFonts w:ascii="宋体" w:hAnsi="宋体" w:cs="宋体"/>
                <w:color w:val="000000"/>
                <w:kern w:val="0"/>
                <w:sz w:val="18"/>
                <w:szCs w:val="18"/>
              </w:rPr>
            </w:pPr>
          </w:p>
        </w:tc>
        <w:tc>
          <w:tcPr>
            <w:tcW w:w="1290" w:type="dxa"/>
            <w:noWrap w:val="0"/>
            <w:vAlign w:val="center"/>
          </w:tcPr>
          <w:p w14:paraId="39ADD821">
            <w:pPr>
              <w:widowControl/>
              <w:jc w:val="left"/>
              <w:textAlignment w:val="center"/>
              <w:rPr>
                <w:rFonts w:ascii="宋体" w:hAnsi="宋体" w:cs="宋体"/>
                <w:color w:val="000000"/>
                <w:kern w:val="0"/>
                <w:sz w:val="18"/>
                <w:szCs w:val="18"/>
              </w:rPr>
            </w:pPr>
          </w:p>
        </w:tc>
        <w:tc>
          <w:tcPr>
            <w:tcW w:w="2349" w:type="dxa"/>
            <w:noWrap w:val="0"/>
            <w:vAlign w:val="center"/>
          </w:tcPr>
          <w:p w14:paraId="227C2502">
            <w:pPr>
              <w:widowControl/>
              <w:jc w:val="left"/>
              <w:textAlignment w:val="center"/>
              <w:rPr>
                <w:rFonts w:ascii="宋体" w:hAnsi="宋体" w:cs="宋体"/>
                <w:color w:val="000000"/>
                <w:kern w:val="0"/>
                <w:sz w:val="18"/>
                <w:szCs w:val="18"/>
              </w:rPr>
            </w:pPr>
          </w:p>
        </w:tc>
        <w:tc>
          <w:tcPr>
            <w:tcW w:w="1309" w:type="dxa"/>
            <w:noWrap w:val="0"/>
            <w:vAlign w:val="center"/>
          </w:tcPr>
          <w:p w14:paraId="0315B3F2">
            <w:pPr>
              <w:widowControl/>
              <w:jc w:val="left"/>
              <w:textAlignment w:val="center"/>
              <w:rPr>
                <w:rFonts w:ascii="宋体" w:hAnsi="宋体" w:cs="宋体"/>
                <w:color w:val="000000"/>
                <w:kern w:val="0"/>
                <w:sz w:val="18"/>
                <w:szCs w:val="18"/>
              </w:rPr>
            </w:pPr>
          </w:p>
        </w:tc>
      </w:tr>
    </w:tbl>
    <w:p w14:paraId="66A64E5C">
      <w:pPr>
        <w:spacing w:line="500" w:lineRule="exact"/>
        <w:jc w:val="both"/>
        <w:rPr>
          <w:rFonts w:eastAsia="宋体"/>
          <w:bCs/>
          <w:sz w:val="28"/>
        </w:rPr>
      </w:pPr>
    </w:p>
    <w:p w14:paraId="45340E37">
      <w:pPr>
        <w:pStyle w:val="11"/>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11"/>
        <w:rPr>
          <w:b/>
          <w:bCs/>
        </w:rPr>
      </w:pPr>
      <w:r>
        <w:rPr>
          <w:b/>
          <w:bCs/>
        </w:rPr>
        <w:t>备注：</w:t>
      </w:r>
    </w:p>
    <w:p w14:paraId="19A2D45A">
      <w:pPr>
        <w:numPr>
          <w:ilvl w:val="1"/>
          <w:numId w:val="13"/>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3"/>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13"/>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13"/>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13"/>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3"/>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3"/>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11"/>
        <w:rPr>
          <w:b/>
          <w:bCs/>
        </w:rPr>
      </w:pPr>
    </w:p>
    <w:p w14:paraId="103D1342">
      <w:pPr>
        <w:rPr>
          <w:rFonts w:eastAsia="宋体"/>
          <w:b/>
          <w:bCs/>
        </w:rPr>
      </w:pPr>
    </w:p>
    <w:p w14:paraId="7B0A66FA">
      <w:pPr>
        <w:pStyle w:val="11"/>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0"/>
              <w:ind w:left="36" w:leftChars="17"/>
              <w:rPr>
                <w:sz w:val="21"/>
                <w:szCs w:val="21"/>
              </w:rPr>
            </w:pPr>
            <w:r>
              <w:rPr>
                <w:sz w:val="21"/>
                <w:szCs w:val="21"/>
              </w:rPr>
              <w:t>□不通过</w:t>
            </w:r>
          </w:p>
        </w:tc>
        <w:tc>
          <w:tcPr>
            <w:tcW w:w="2294" w:type="dxa"/>
            <w:vAlign w:val="center"/>
          </w:tcPr>
          <w:p w14:paraId="71D0B8AA">
            <w:pPr>
              <w:pStyle w:val="10"/>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0"/>
              <w:ind w:left="36" w:leftChars="17"/>
              <w:rPr>
                <w:sz w:val="21"/>
                <w:szCs w:val="21"/>
              </w:rPr>
            </w:pPr>
            <w:r>
              <w:rPr>
                <w:sz w:val="21"/>
                <w:szCs w:val="21"/>
              </w:rPr>
              <w:t>□不通过</w:t>
            </w:r>
          </w:p>
        </w:tc>
        <w:tc>
          <w:tcPr>
            <w:tcW w:w="2294" w:type="dxa"/>
            <w:vAlign w:val="center"/>
          </w:tcPr>
          <w:p w14:paraId="283EE4B3">
            <w:pPr>
              <w:pStyle w:val="10"/>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0"/>
              <w:ind w:left="36" w:leftChars="17"/>
              <w:rPr>
                <w:sz w:val="21"/>
                <w:szCs w:val="21"/>
              </w:rPr>
            </w:pPr>
            <w:r>
              <w:rPr>
                <w:sz w:val="21"/>
                <w:szCs w:val="21"/>
              </w:rPr>
              <w:t>□不通过</w:t>
            </w:r>
          </w:p>
        </w:tc>
        <w:tc>
          <w:tcPr>
            <w:tcW w:w="2294" w:type="dxa"/>
            <w:vAlign w:val="center"/>
          </w:tcPr>
          <w:p w14:paraId="25C8AB04">
            <w:pPr>
              <w:pStyle w:val="10"/>
              <w:rPr>
                <w:sz w:val="21"/>
                <w:szCs w:val="21"/>
              </w:rPr>
            </w:pPr>
            <w:r>
              <w:rPr>
                <w:sz w:val="21"/>
                <w:szCs w:val="21"/>
              </w:rPr>
              <w:t>见投标文件第( )页</w:t>
            </w:r>
          </w:p>
        </w:tc>
      </w:tr>
    </w:tbl>
    <w:p w14:paraId="2D2E6A54">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0"/>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3"/>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2"/>
        <w:jc w:val="center"/>
        <w:rPr>
          <w:rFonts w:ascii="Times New Roman" w:hAnsi="Times New Roman" w:cs="Times New Roman"/>
          <w:sz w:val="30"/>
          <w:szCs w:val="30"/>
        </w:rPr>
      </w:pPr>
      <w:bookmarkStart w:id="16" w:name="_Toc275865606"/>
      <w:bookmarkStart w:id="17" w:name="_Toc435514855"/>
      <w:bookmarkStart w:id="18" w:name="_Toc24650"/>
      <w:bookmarkStart w:id="19" w:name="_Toc435515295"/>
      <w:bookmarkStart w:id="20" w:name="_Toc57128632"/>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1"/>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1"/>
      </w:pPr>
    </w:p>
    <w:p w14:paraId="584CD0E2">
      <w:pPr>
        <w:rPr>
          <w:b/>
          <w:sz w:val="24"/>
        </w:rPr>
      </w:pPr>
      <w:r>
        <w:rPr>
          <w:b/>
          <w:sz w:val="24"/>
        </w:rPr>
        <w:br w:type="page"/>
      </w:r>
    </w:p>
    <w:p w14:paraId="10BBA042">
      <w:pPr>
        <w:pStyle w:val="2"/>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2"/>
        <w:ind w:firstLine="2700" w:firstLineChars="900"/>
        <w:rPr>
          <w:rFonts w:ascii="Times New Roman" w:hAnsi="Times New Roman" w:eastAsia="宋体" w:cs="Times New Roman"/>
          <w:sz w:val="30"/>
          <w:szCs w:val="30"/>
        </w:rPr>
      </w:pPr>
    </w:p>
    <w:p w14:paraId="13CB5823">
      <w:pPr>
        <w:pStyle w:val="5"/>
        <w:rPr>
          <w:rFonts w:ascii="Times New Roman" w:hAnsi="Times New Roman" w:eastAsia="宋体"/>
          <w:sz w:val="30"/>
          <w:szCs w:val="30"/>
        </w:rPr>
      </w:pPr>
    </w:p>
    <w:p w14:paraId="4AAA1718">
      <w:pPr>
        <w:rPr>
          <w:rFonts w:eastAsia="宋体"/>
          <w:sz w:val="30"/>
          <w:szCs w:val="30"/>
        </w:rPr>
      </w:pPr>
    </w:p>
    <w:p w14:paraId="77343073">
      <w:pPr>
        <w:pStyle w:val="11"/>
        <w:rPr>
          <w:sz w:val="30"/>
          <w:szCs w:val="30"/>
        </w:rPr>
      </w:pPr>
    </w:p>
    <w:p w14:paraId="49A8B845">
      <w:pPr>
        <w:rPr>
          <w:rFonts w:eastAsia="宋体"/>
          <w:sz w:val="30"/>
          <w:szCs w:val="30"/>
        </w:rPr>
      </w:pPr>
    </w:p>
    <w:p w14:paraId="41AD8203">
      <w:pPr>
        <w:pStyle w:val="11"/>
        <w:rPr>
          <w:sz w:val="30"/>
          <w:szCs w:val="30"/>
        </w:rPr>
      </w:pPr>
    </w:p>
    <w:p w14:paraId="6CD7C5FD">
      <w:pPr>
        <w:rPr>
          <w:rFonts w:eastAsia="宋体"/>
          <w:sz w:val="30"/>
          <w:szCs w:val="30"/>
        </w:rPr>
      </w:pPr>
    </w:p>
    <w:p w14:paraId="018E8B03">
      <w:pPr>
        <w:pStyle w:val="11"/>
        <w:rPr>
          <w:sz w:val="30"/>
          <w:szCs w:val="30"/>
        </w:rPr>
      </w:pPr>
    </w:p>
    <w:p w14:paraId="61BAAD14">
      <w:pPr>
        <w:rPr>
          <w:rFonts w:eastAsia="宋体"/>
          <w:sz w:val="30"/>
          <w:szCs w:val="30"/>
        </w:rPr>
      </w:pPr>
    </w:p>
    <w:p w14:paraId="143B2986">
      <w:pPr>
        <w:pStyle w:val="11"/>
        <w:rPr>
          <w:sz w:val="30"/>
          <w:szCs w:val="30"/>
        </w:rPr>
      </w:pPr>
    </w:p>
    <w:p w14:paraId="5C3332C9">
      <w:pPr>
        <w:rPr>
          <w:rFonts w:eastAsia="宋体"/>
          <w:sz w:val="30"/>
          <w:szCs w:val="30"/>
        </w:rPr>
      </w:pPr>
    </w:p>
    <w:p w14:paraId="7B7C8911">
      <w:pPr>
        <w:pStyle w:val="11"/>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11"/>
      </w:pPr>
    </w:p>
    <w:p w14:paraId="7C505A75"/>
    <w:p w14:paraId="33B22096"/>
    <w:p w14:paraId="7500C037"/>
    <w:p w14:paraId="316B2EE9"/>
    <w:p w14:paraId="266C2F6C"/>
    <w:p w14:paraId="33F19635">
      <w:pPr>
        <w:pStyle w:val="2"/>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4"/>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1"/>
        <w:numPr>
          <w:ilvl w:val="0"/>
          <w:numId w:val="14"/>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3"/>
        <w:rPr>
          <w:rFonts w:hint="default" w:ascii="Times New Roman" w:hAnsi="Times New Roman"/>
          <w:bCs/>
        </w:rPr>
      </w:pPr>
    </w:p>
    <w:p w14:paraId="147B6E05">
      <w:pPr>
        <w:rPr>
          <w:rFonts w:eastAsia="宋体"/>
          <w:bCs/>
        </w:rPr>
      </w:pPr>
    </w:p>
    <w:p w14:paraId="091BAEEA">
      <w:pPr>
        <w:pStyle w:val="3"/>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6"/>
        <w:spacing w:before="120" w:after="120"/>
        <w:ind w:left="-1" w:leftChars="-1" w:hanging="1"/>
        <w:jc w:val="center"/>
        <w:rPr>
          <w:rFonts w:eastAsia="方正小标宋_GBK"/>
          <w:b w:val="0"/>
          <w:bCs w:val="0"/>
          <w:sz w:val="32"/>
          <w:szCs w:val="32"/>
        </w:rPr>
      </w:pPr>
      <w:bookmarkStart w:id="22" w:name="_Hlk126044986"/>
      <w:bookmarkStart w:id="23" w:name="_Hlk126913563"/>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7"/>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2"/>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5"/>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5"/>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5"/>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5"/>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5"/>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5"/>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5"/>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5"/>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5"/>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5"/>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5"/>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1"/>
        <w:rPr>
          <w:kern w:val="0"/>
          <w:szCs w:val="21"/>
        </w:rPr>
      </w:pPr>
    </w:p>
    <w:p w14:paraId="1E830AE8">
      <w:pPr>
        <w:rPr>
          <w:rFonts w:eastAsia="宋体"/>
          <w:kern w:val="0"/>
          <w:szCs w:val="21"/>
        </w:rPr>
      </w:pPr>
    </w:p>
    <w:p w14:paraId="565526F1">
      <w:pPr>
        <w:pStyle w:val="11"/>
        <w:rPr>
          <w:kern w:val="0"/>
          <w:szCs w:val="21"/>
        </w:rPr>
      </w:pPr>
    </w:p>
    <w:p w14:paraId="3E301B22">
      <w:pPr>
        <w:rPr>
          <w:rFonts w:eastAsia="宋体"/>
          <w:kern w:val="0"/>
          <w:szCs w:val="21"/>
        </w:rPr>
      </w:pPr>
    </w:p>
    <w:p w14:paraId="41487727">
      <w:pPr>
        <w:pStyle w:val="11"/>
        <w:rPr>
          <w:kern w:val="0"/>
          <w:szCs w:val="21"/>
        </w:rPr>
      </w:pPr>
    </w:p>
    <w:p w14:paraId="23C2C8D9">
      <w:pPr>
        <w:rPr>
          <w:rFonts w:eastAsia="宋体"/>
          <w:kern w:val="0"/>
          <w:szCs w:val="21"/>
        </w:rPr>
      </w:pPr>
    </w:p>
    <w:p w14:paraId="5853B4CC">
      <w:pPr>
        <w:pStyle w:val="11"/>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2"/>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11"/>
      </w:pPr>
    </w:p>
    <w:p w14:paraId="2AD1001A">
      <w:pPr>
        <w:pStyle w:val="2"/>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2"/>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1"/>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2"/>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1"/>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2"/>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1"/>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2"/>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7"/>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7"/>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2"/>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8"/>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2"/>
        <w:ind w:left="0" w:leftChars="0" w:firstLine="0" w:firstLineChars="0"/>
      </w:pPr>
    </w:p>
    <w:p w14:paraId="46339BF3">
      <w:pPr>
        <w:pStyle w:val="21"/>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0FDB596-E4C0-4A91-AAA2-EDDC68DC934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2" w:fontKey="{9500E0EF-5601-4AD1-A4E5-3D62F2105ED4}"/>
  </w:font>
  <w:font w:name="华文中宋">
    <w:panose1 w:val="02010600040101010101"/>
    <w:charset w:val="86"/>
    <w:family w:val="auto"/>
    <w:pitch w:val="default"/>
    <w:sig w:usb0="00000287" w:usb1="080F0000" w:usb2="00000000" w:usb3="00000000" w:csb0="0004009F" w:csb1="DFD70000"/>
    <w:embedRegular r:id="rId3" w:fontKey="{62EA0CF1-9BEA-4693-AFA5-733FEEF6C89F}"/>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4" w:fontKey="{A4AD948A-522A-470C-B22D-7D045AB92EB2}"/>
  </w:font>
  <w:font w:name="楷体_GB2312">
    <w:panose1 w:val="02010609030101010101"/>
    <w:charset w:val="86"/>
    <w:family w:val="modern"/>
    <w:pitch w:val="default"/>
    <w:sig w:usb0="00000001" w:usb1="080E0000" w:usb2="00000000" w:usb3="00000000" w:csb0="00040000" w:csb1="00000000"/>
    <w:embedRegular r:id="rId5" w:fontKey="{98C7187F-1EC8-4645-95F5-F8451E824C92}"/>
  </w:font>
  <w:font w:name="仿宋">
    <w:panose1 w:val="02010609060101010101"/>
    <w:charset w:val="86"/>
    <w:family w:val="auto"/>
    <w:pitch w:val="default"/>
    <w:sig w:usb0="800002BF" w:usb1="38CF7CFA" w:usb2="00000016" w:usb3="00000000" w:csb0="00040001" w:csb1="00000000"/>
    <w:embedRegular r:id="rId6" w:fontKey="{FBCDE652-9FE6-4A4D-A108-FAE42D3B57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E8B41802"/>
    <w:multiLevelType w:val="singleLevel"/>
    <w:tmpl w:val="E8B41802"/>
    <w:lvl w:ilvl="0" w:tentative="0">
      <w:start w:val="2"/>
      <w:numFmt w:val="chineseCounting"/>
      <w:suff w:val="nothing"/>
      <w:lvlText w:val="（%1）"/>
      <w:lvlJc w:val="left"/>
      <w:rPr>
        <w:rFonts w:hint="eastAsia"/>
      </w:rPr>
    </w:lvl>
  </w:abstractNum>
  <w:abstractNum w:abstractNumId="7">
    <w:nsid w:val="005C18C4"/>
    <w:multiLevelType w:val="singleLevel"/>
    <w:tmpl w:val="005C18C4"/>
    <w:lvl w:ilvl="0" w:tentative="0">
      <w:start w:val="1"/>
      <w:numFmt w:val="decimal"/>
      <w:lvlText w:val="%1."/>
      <w:lvlJc w:val="left"/>
      <w:pPr>
        <w:tabs>
          <w:tab w:val="left" w:pos="312"/>
        </w:tabs>
      </w:pPr>
    </w:lvl>
  </w:abstractNum>
  <w:abstractNum w:abstractNumId="8">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9">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2">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3">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68E6E473"/>
    <w:multiLevelType w:val="singleLevel"/>
    <w:tmpl w:val="68E6E473"/>
    <w:lvl w:ilvl="0" w:tentative="0">
      <w:start w:val="1"/>
      <w:numFmt w:val="chineseCounting"/>
      <w:suff w:val="nothing"/>
      <w:lvlText w:val="%1、"/>
      <w:lvlJc w:val="left"/>
      <w:rPr>
        <w:rFonts w:hint="eastAsia"/>
      </w:rPr>
    </w:lvl>
  </w:abstractNum>
  <w:abstractNum w:abstractNumId="16">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7"/>
  </w:num>
  <w:num w:numId="2">
    <w:abstractNumId w:val="5"/>
  </w:num>
  <w:num w:numId="3">
    <w:abstractNumId w:val="2"/>
  </w:num>
  <w:num w:numId="4">
    <w:abstractNumId w:val="1"/>
  </w:num>
  <w:num w:numId="5">
    <w:abstractNumId w:val="15"/>
  </w:num>
  <w:num w:numId="6">
    <w:abstractNumId w:val="3"/>
  </w:num>
  <w:num w:numId="7">
    <w:abstractNumId w:val="12"/>
  </w:num>
  <w:num w:numId="8">
    <w:abstractNumId w:val="6"/>
  </w:num>
  <w:num w:numId="9">
    <w:abstractNumId w:val="8"/>
  </w:num>
  <w:num w:numId="10">
    <w:abstractNumId w:val="7"/>
  </w:num>
  <w:num w:numId="11">
    <w:abstractNumId w:val="9"/>
  </w:num>
  <w:num w:numId="12">
    <w:abstractNumId w:val="11"/>
  </w:num>
  <w:num w:numId="13">
    <w:abstractNumId w:val="10"/>
  </w:num>
  <w:num w:numId="14">
    <w:abstractNumId w:val="16"/>
  </w:num>
  <w:num w:numId="15">
    <w:abstractNumId w:val="1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207E75"/>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8114650"/>
    <w:rsid w:val="08732808"/>
    <w:rsid w:val="08A47272"/>
    <w:rsid w:val="08AC7ED5"/>
    <w:rsid w:val="08BE7582"/>
    <w:rsid w:val="08F01124"/>
    <w:rsid w:val="09776253"/>
    <w:rsid w:val="09955BB5"/>
    <w:rsid w:val="09D95150"/>
    <w:rsid w:val="09DE6830"/>
    <w:rsid w:val="09F17D8B"/>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CC40ACD"/>
    <w:rsid w:val="0D0D768D"/>
    <w:rsid w:val="0D673C4C"/>
    <w:rsid w:val="0D9B4220"/>
    <w:rsid w:val="0DB07C8C"/>
    <w:rsid w:val="0DBB6DB6"/>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767A0D"/>
    <w:rsid w:val="13A4281C"/>
    <w:rsid w:val="13AC7DF0"/>
    <w:rsid w:val="13DA4490"/>
    <w:rsid w:val="14037C87"/>
    <w:rsid w:val="141E08AE"/>
    <w:rsid w:val="142150CF"/>
    <w:rsid w:val="14851297"/>
    <w:rsid w:val="148937C0"/>
    <w:rsid w:val="14AF4635"/>
    <w:rsid w:val="14D13799"/>
    <w:rsid w:val="14E81A99"/>
    <w:rsid w:val="14F93033"/>
    <w:rsid w:val="155003A2"/>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E374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884E2D"/>
    <w:rsid w:val="1E962463"/>
    <w:rsid w:val="1E9A6D1B"/>
    <w:rsid w:val="1EBE79AE"/>
    <w:rsid w:val="1EFB1946"/>
    <w:rsid w:val="1F1B41F1"/>
    <w:rsid w:val="1F416CAD"/>
    <w:rsid w:val="1F737BFB"/>
    <w:rsid w:val="1F7F0E8D"/>
    <w:rsid w:val="1FCA0EE0"/>
    <w:rsid w:val="1FD15ACF"/>
    <w:rsid w:val="1FD9484C"/>
    <w:rsid w:val="1FE16038"/>
    <w:rsid w:val="20770D67"/>
    <w:rsid w:val="207C063F"/>
    <w:rsid w:val="20845F81"/>
    <w:rsid w:val="20D01727"/>
    <w:rsid w:val="2144482B"/>
    <w:rsid w:val="219244B5"/>
    <w:rsid w:val="2223023E"/>
    <w:rsid w:val="222C434F"/>
    <w:rsid w:val="223C0717"/>
    <w:rsid w:val="22663AD6"/>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5E00073"/>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5B6FF2"/>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04BC"/>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5631E8"/>
    <w:rsid w:val="3EA64DEB"/>
    <w:rsid w:val="3EB633B2"/>
    <w:rsid w:val="3F163374"/>
    <w:rsid w:val="3F2B7951"/>
    <w:rsid w:val="3F3D7DC5"/>
    <w:rsid w:val="3F5B4679"/>
    <w:rsid w:val="3F713A4A"/>
    <w:rsid w:val="3F751B1D"/>
    <w:rsid w:val="3F877655"/>
    <w:rsid w:val="3FDA65C6"/>
    <w:rsid w:val="3FFB279E"/>
    <w:rsid w:val="400D4BB3"/>
    <w:rsid w:val="402B37FA"/>
    <w:rsid w:val="405252AD"/>
    <w:rsid w:val="408B342F"/>
    <w:rsid w:val="413C4A27"/>
    <w:rsid w:val="4160370A"/>
    <w:rsid w:val="4166114D"/>
    <w:rsid w:val="41676B6A"/>
    <w:rsid w:val="417D1DC2"/>
    <w:rsid w:val="41932803"/>
    <w:rsid w:val="41D260B0"/>
    <w:rsid w:val="41DA54D8"/>
    <w:rsid w:val="41E2070B"/>
    <w:rsid w:val="43860D47"/>
    <w:rsid w:val="43B62CF8"/>
    <w:rsid w:val="448E5181"/>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6E7671"/>
    <w:rsid w:val="488C1BE1"/>
    <w:rsid w:val="48A92A83"/>
    <w:rsid w:val="49004293"/>
    <w:rsid w:val="490177EE"/>
    <w:rsid w:val="49233249"/>
    <w:rsid w:val="496C2A48"/>
    <w:rsid w:val="497F4527"/>
    <w:rsid w:val="49DE2F47"/>
    <w:rsid w:val="4A0974B4"/>
    <w:rsid w:val="4A2F00AE"/>
    <w:rsid w:val="4ADA02F6"/>
    <w:rsid w:val="4B092817"/>
    <w:rsid w:val="4B1A6478"/>
    <w:rsid w:val="4B7011D6"/>
    <w:rsid w:val="4B797B0F"/>
    <w:rsid w:val="4B9747C7"/>
    <w:rsid w:val="4BC54427"/>
    <w:rsid w:val="4BC65056"/>
    <w:rsid w:val="4BC66AD5"/>
    <w:rsid w:val="4BDD5EE2"/>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B37B7"/>
    <w:rsid w:val="530A2D45"/>
    <w:rsid w:val="532D1418"/>
    <w:rsid w:val="53844041"/>
    <w:rsid w:val="53C20D50"/>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57D89"/>
    <w:rsid w:val="5B795E5B"/>
    <w:rsid w:val="5B962018"/>
    <w:rsid w:val="5B9A1DFE"/>
    <w:rsid w:val="5BE124AA"/>
    <w:rsid w:val="5C024531"/>
    <w:rsid w:val="5C1D2452"/>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695D93"/>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4B0131"/>
    <w:rsid w:val="6F4B22E8"/>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2">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semiHidden/>
    <w:qFormat/>
    <w:uiPriority w:val="0"/>
    <w:pPr>
      <w:shd w:val="clear" w:color="auto" w:fill="000080"/>
    </w:pPr>
    <w:rPr>
      <w:rFonts w:eastAsia="宋体"/>
    </w:rPr>
  </w:style>
  <w:style w:type="paragraph" w:styleId="9">
    <w:name w:val="annotation text"/>
    <w:basedOn w:val="1"/>
    <w:link w:val="45"/>
    <w:qFormat/>
    <w:uiPriority w:val="0"/>
    <w:pPr>
      <w:jc w:val="left"/>
    </w:pPr>
    <w:rPr>
      <w:rFonts w:ascii="Calibri" w:hAnsi="Calibri"/>
      <w:szCs w:val="20"/>
    </w:rPr>
  </w:style>
  <w:style w:type="paragraph" w:styleId="10">
    <w:name w:val="Body Text 3"/>
    <w:basedOn w:val="1"/>
    <w:link w:val="80"/>
    <w:qFormat/>
    <w:uiPriority w:val="0"/>
    <w:pPr>
      <w:spacing w:after="120"/>
    </w:pPr>
    <w:rPr>
      <w:rFonts w:eastAsia="宋体"/>
      <w:sz w:val="16"/>
      <w:szCs w:val="16"/>
    </w:rPr>
  </w:style>
  <w:style w:type="paragraph" w:styleId="11">
    <w:name w:val="Body Text"/>
    <w:basedOn w:val="1"/>
    <w:next w:val="1"/>
    <w:link w:val="63"/>
    <w:autoRedefine/>
    <w:qFormat/>
    <w:uiPriority w:val="0"/>
    <w:pPr>
      <w:spacing w:after="120"/>
    </w:pPr>
    <w:rPr>
      <w:rFonts w:eastAsia="宋体"/>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69"/>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9"/>
    <w:autoRedefine/>
    <w:semiHidden/>
    <w:qFormat/>
    <w:uiPriority w:val="99"/>
    <w:rPr>
      <w:rFonts w:ascii="Times New Roman" w:hAnsi="Times New Roman"/>
      <w:kern w:val="2"/>
      <w:sz w:val="21"/>
      <w:szCs w:val="24"/>
    </w:rPr>
  </w:style>
  <w:style w:type="character" w:customStyle="1" w:styleId="46">
    <w:name w:val="标题 1 字符"/>
    <w:basedOn w:val="28"/>
    <w:link w:val="3"/>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7"/>
    <w:autoRedefine/>
    <w:qFormat/>
    <w:uiPriority w:val="0"/>
    <w:rPr>
      <w:rFonts w:ascii="Times New Roman" w:hAnsi="Times New Roman" w:eastAsia="宋体"/>
      <w:kern w:val="2"/>
      <w:sz w:val="24"/>
    </w:rPr>
  </w:style>
  <w:style w:type="character" w:customStyle="1" w:styleId="51">
    <w:name w:val="标题 2 字符"/>
    <w:basedOn w:val="28"/>
    <w:link w:val="2"/>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4"/>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5"/>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4"/>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1"/>
    <w:autoRedefine/>
    <w:qFormat/>
    <w:uiPriority w:val="0"/>
    <w:rPr>
      <w:kern w:val="2"/>
      <w:sz w:val="21"/>
      <w:szCs w:val="24"/>
    </w:rPr>
  </w:style>
  <w:style w:type="paragraph" w:customStyle="1" w:styleId="64">
    <w:name w:val="TOC 标题1"/>
    <w:basedOn w:val="3"/>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0"/>
    <w:autoRedefine/>
    <w:qFormat/>
    <w:uiPriority w:val="0"/>
    <w:rPr>
      <w:kern w:val="2"/>
      <w:sz w:val="16"/>
      <w:szCs w:val="16"/>
    </w:rPr>
  </w:style>
  <w:style w:type="character" w:customStyle="1" w:styleId="81">
    <w:name w:val="标题 5 字符"/>
    <w:basedOn w:val="28"/>
    <w:link w:val="6"/>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34</Pages>
  <Words>6194</Words>
  <Characters>6348</Characters>
  <Lines>87</Lines>
  <Paragraphs>24</Paragraphs>
  <TotalTime>0</TotalTime>
  <ScaleCrop>false</ScaleCrop>
  <LinksUpToDate>false</LinksUpToDate>
  <CharactersWithSpaces>6741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刘久桦</cp:lastModifiedBy>
  <cp:lastPrinted>2023-07-11T07:43:00Z</cp:lastPrinted>
  <dcterms:modified xsi:type="dcterms:W3CDTF">2026-03-18T11:19:31Z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3A01A409D221416B9C0A73651BA4932D_13</vt:lpwstr>
  </property>
  <property fmtid="{D5CDD505-2E9C-101B-9397-08002B2CF9AE}" pid="4" name="KSOTemplateDocerSaveRecord">
    <vt:lpwstr>eyJoZGlkIjoiYmZmNjk3NGJjYmI3ZGI4NGVkNDViNWY4OTE4OTQ3MzQiLCJ1c2VySWQiOiIzMTE0NTAxNDYifQ==</vt:lpwstr>
  </property>
</Properties>
</file>