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56"/>
        <w:gridCol w:w="2118"/>
        <w:gridCol w:w="3752"/>
        <w:gridCol w:w="2281"/>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w:t>
            </w:r>
            <w:r>
              <w:rPr>
                <w:rFonts w:hint="eastAsia" w:eastAsia="宋体"/>
                <w:b/>
                <w:color w:val="000000"/>
                <w:sz w:val="30"/>
                <w:szCs w:val="30"/>
                <w:lang w:eastAsia="zh-CN"/>
              </w:rPr>
              <w:t>期</w:t>
            </w:r>
            <w:r>
              <w:rPr>
                <w:rFonts w:hint="eastAsia" w:eastAsia="宋体"/>
                <w:b/>
                <w:color w:val="000000"/>
                <w:sz w:val="30"/>
                <w:szCs w:val="30"/>
              </w:rPr>
              <w:t>医用耗材</w:t>
            </w:r>
          </w:p>
        </w:tc>
      </w:tr>
      <w:tr w14:paraId="2B542E9B">
        <w:tblPrEx>
          <w:tblCellMar>
            <w:top w:w="0" w:type="dxa"/>
            <w:left w:w="108" w:type="dxa"/>
            <w:bottom w:w="0" w:type="dxa"/>
            <w:right w:w="108" w:type="dxa"/>
          </w:tblCellMar>
        </w:tblPrEx>
        <w:trPr>
          <w:trHeight w:val="353" w:hRule="atLeast"/>
        </w:trPr>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17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0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64"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327F6297">
        <w:tblPrEx>
          <w:tblCellMar>
            <w:top w:w="0" w:type="dxa"/>
            <w:left w:w="108" w:type="dxa"/>
            <w:bottom w:w="0" w:type="dxa"/>
            <w:right w:w="108" w:type="dxa"/>
          </w:tblCellMar>
        </w:tblPrEx>
        <w:trPr>
          <w:trHeight w:val="907" w:hRule="atLeast"/>
        </w:trPr>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67BC024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176" w:type="pct"/>
            <w:tcBorders>
              <w:top w:val="single" w:color="auto" w:sz="4" w:space="0"/>
              <w:left w:val="nil"/>
              <w:bottom w:val="single" w:color="auto" w:sz="4" w:space="0"/>
              <w:right w:val="single" w:color="auto" w:sz="4" w:space="0"/>
            </w:tcBorders>
            <w:shd w:val="clear" w:color="auto" w:fill="auto"/>
            <w:vAlign w:val="center"/>
          </w:tcPr>
          <w:p w14:paraId="7DFCB73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ZCB2026-HC01-01</w:t>
            </w:r>
          </w:p>
        </w:tc>
        <w:tc>
          <w:tcPr>
            <w:tcW w:w="2083" w:type="pct"/>
            <w:tcBorders>
              <w:top w:val="single" w:color="auto" w:sz="4" w:space="0"/>
              <w:left w:val="nil"/>
              <w:bottom w:val="single" w:color="auto" w:sz="4" w:space="0"/>
              <w:right w:val="single" w:color="auto" w:sz="4" w:space="0"/>
            </w:tcBorders>
            <w:shd w:val="clear" w:color="auto" w:fill="auto"/>
            <w:vAlign w:val="center"/>
          </w:tcPr>
          <w:p w14:paraId="0530CA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脑深部电极置入术耗材一套</w:t>
            </w:r>
          </w:p>
        </w:tc>
        <w:tc>
          <w:tcPr>
            <w:tcW w:w="1264" w:type="pct"/>
            <w:tcBorders>
              <w:top w:val="single" w:color="auto" w:sz="4" w:space="0"/>
              <w:left w:val="nil"/>
              <w:bottom w:val="single" w:color="auto" w:sz="4" w:space="0"/>
              <w:right w:val="single" w:color="auto" w:sz="4" w:space="0"/>
            </w:tcBorders>
            <w:shd w:val="clear" w:color="auto" w:fill="auto"/>
            <w:vAlign w:val="center"/>
          </w:tcPr>
          <w:p w14:paraId="7998F98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D9CFB6E">
        <w:tblPrEx>
          <w:tblCellMar>
            <w:top w:w="0" w:type="dxa"/>
            <w:left w:w="108" w:type="dxa"/>
            <w:bottom w:w="0" w:type="dxa"/>
            <w:right w:w="108" w:type="dxa"/>
          </w:tblCellMar>
        </w:tblPrEx>
        <w:trPr>
          <w:trHeight w:val="952" w:hRule="atLeast"/>
        </w:trPr>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7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ZCB2026-HC01-02</w:t>
            </w:r>
          </w:p>
        </w:tc>
        <w:tc>
          <w:tcPr>
            <w:tcW w:w="20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脊髓神经电刺激系统置入术耗材一套</w:t>
            </w:r>
          </w:p>
        </w:tc>
        <w:tc>
          <w:tcPr>
            <w:tcW w:w="1264"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19421A2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p w14:paraId="0A39F65B">
      <w:pPr>
        <w:snapToGrid w:val="0"/>
        <w:spacing w:line="360" w:lineRule="auto"/>
        <w:jc w:val="center"/>
        <w:rPr>
          <w:rFonts w:hint="eastAsia" w:ascii="黑体" w:hAnsi="黑体" w:eastAsia="黑体" w:cs="黑体"/>
          <w:sz w:val="30"/>
          <w:szCs w:val="30"/>
        </w:rPr>
      </w:pPr>
    </w:p>
    <w:p w14:paraId="2C5E9423">
      <w:pPr>
        <w:snapToGrid w:val="0"/>
        <w:spacing w:line="360" w:lineRule="auto"/>
        <w:jc w:val="center"/>
        <w:rPr>
          <w:rFonts w:hint="eastAsia" w:ascii="黑体" w:hAnsi="黑体" w:eastAsia="黑体" w:cs="黑体"/>
          <w:sz w:val="30"/>
          <w:szCs w:val="30"/>
        </w:rPr>
      </w:pPr>
    </w:p>
    <w:p w14:paraId="63C7447B">
      <w:pPr>
        <w:snapToGrid w:val="0"/>
        <w:spacing w:line="360" w:lineRule="auto"/>
        <w:jc w:val="center"/>
        <w:rPr>
          <w:rFonts w:hint="eastAsia" w:ascii="黑体" w:hAnsi="黑体" w:eastAsia="黑体" w:cs="黑体"/>
          <w:sz w:val="30"/>
          <w:szCs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0"/>
        </w:numPr>
        <w:jc w:val="cente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val="en-US" w:eastAsia="zh-CN"/>
        </w:rPr>
        <w:t>2026年第1期医用耗材项目</w:t>
      </w:r>
      <w:r>
        <w:rPr>
          <w:rFonts w:hint="eastAsia" w:ascii="方正小标宋简体" w:hAnsi="方正小标宋简体" w:eastAsia="方正小标宋简体" w:cs="方正小标宋简体"/>
          <w:bCs w:val="0"/>
          <w:sz w:val="40"/>
          <w:szCs w:val="40"/>
          <w:lang w:eastAsia="zh-CN"/>
        </w:rPr>
        <w:t>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BC5832D">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1.</w:t>
      </w:r>
      <w:r>
        <w:rPr>
          <w:rFonts w:hint="eastAsia" w:ascii="Tahoma" w:hAnsi="Tahoma" w:cs="宋体"/>
          <w:kern w:val="0"/>
          <w:szCs w:val="21"/>
        </w:rPr>
        <w:t>项目名称：2026年第1期医用耗材</w:t>
      </w:r>
    </w:p>
    <w:p w14:paraId="0E51A266">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2.</w:t>
      </w:r>
      <w:r>
        <w:rPr>
          <w:rFonts w:hint="eastAsia" w:ascii="Tahoma" w:hAnsi="Tahoma" w:cs="宋体"/>
          <w:kern w:val="0"/>
          <w:szCs w:val="21"/>
        </w:rPr>
        <w:t>采购文件编号：</w:t>
      </w:r>
      <w:r>
        <w:rPr>
          <w:rFonts w:hint="eastAsia" w:ascii="Tahoma" w:hAnsi="Tahoma" w:cs="宋体"/>
          <w:kern w:val="0"/>
          <w:szCs w:val="21"/>
        </w:rPr>
        <w:t>详见第二部分采购项目</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w:t>
      </w:r>
      <w:r>
        <w:rPr>
          <w:rFonts w:hint="eastAsia" w:ascii="Tahoma" w:hAnsi="Tahoma" w:cs="宋体"/>
          <w:kern w:val="0"/>
          <w:szCs w:val="21"/>
        </w:rPr>
        <w:t>详见第二部分采购项目</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消毒产品的</w:t>
      </w:r>
      <w:r>
        <w:rPr>
          <w:rFonts w:hint="eastAsia" w:ascii="Tahoma" w:hAnsi="Tahoma" w:cs="宋体"/>
          <w:kern w:val="0"/>
          <w:szCs w:val="21"/>
          <w:lang w:eastAsia="zh-CN"/>
        </w:rPr>
        <w:t>，</w:t>
      </w:r>
      <w:r>
        <w:rPr>
          <w:rFonts w:hint="eastAsia" w:ascii="Tahoma" w:hAnsi="Tahoma" w:cs="宋体"/>
          <w:kern w:val="0"/>
          <w:szCs w:val="21"/>
          <w:lang w:val="en-US" w:eastAsia="zh-CN"/>
        </w:rPr>
        <w:t>需提供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4B152E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5"/>
        </w:numPr>
        <w:spacing w:line="420" w:lineRule="exact"/>
        <w:jc w:val="left"/>
        <w:rPr>
          <w:color w:val="000000"/>
        </w:rPr>
      </w:pPr>
      <w:r>
        <w:rPr>
          <w:rFonts w:hint="eastAsia"/>
          <w:color w:val="000000"/>
        </w:rPr>
        <w:t>本项目不接受联合体投标，不允许分包。</w:t>
      </w:r>
    </w:p>
    <w:p w14:paraId="1B4286B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E07A7D3">
      <w:pPr>
        <w:numPr>
          <w:ilvl w:val="0"/>
          <w:numId w:val="4"/>
        </w:numPr>
        <w:spacing w:line="420" w:lineRule="exact"/>
        <w:jc w:val="left"/>
        <w:rPr>
          <w:rFonts w:hint="default" w:ascii="Tahoma" w:hAnsi="Tahoma" w:cs="宋体"/>
          <w:b/>
          <w:bCs/>
          <w:kern w:val="0"/>
          <w:szCs w:val="21"/>
          <w:lang w:val="en-US" w:eastAsia="zh-CN"/>
        </w:rPr>
      </w:pPr>
      <w:r>
        <w:rPr>
          <w:rFonts w:hint="eastAsia" w:ascii="Tahoma" w:hAnsi="Tahoma" w:cs="宋体"/>
          <w:b/>
          <w:bCs/>
          <w:kern w:val="0"/>
          <w:szCs w:val="21"/>
          <w:lang w:val="en-US" w:eastAsia="zh-CN"/>
        </w:rPr>
        <w:t>报名及资格审查</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6日9：3</w:t>
      </w:r>
      <w:r>
        <w:rPr>
          <w:rFonts w:hint="eastAsia" w:ascii="Times New Roman" w:hAnsi="Times New Roman" w:cs="Times New Roman"/>
          <w:color w:val="000000"/>
          <w:szCs w:val="21"/>
          <w:highlight w:val="yellow"/>
          <w:lang w:val="en-US" w:eastAsia="zh-CN"/>
        </w:rPr>
        <w:t>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yellow"/>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将纸质资料装订（一正一副）提交至行政楼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w:t>
      </w:r>
      <w:r>
        <w:rPr>
          <w:rFonts w:hint="eastAsia"/>
          <w:b/>
          <w:color w:val="000000"/>
          <w:szCs w:val="21"/>
          <w:lang w:val="en-US" w:eastAsia="zh-CN"/>
        </w:rPr>
        <w:t>双面打印的纸质</w:t>
      </w:r>
      <w:r>
        <w:rPr>
          <w:rFonts w:hint="eastAsia"/>
          <w:b/>
          <w:color w:val="000000"/>
          <w:szCs w:val="21"/>
        </w:rPr>
        <w:t>版。</w:t>
      </w:r>
      <w:r>
        <w:rPr>
          <w:rFonts w:hint="eastAsia"/>
          <w:color w:val="000000"/>
          <w:szCs w:val="21"/>
        </w:rPr>
        <w:t>只有通过资格审核的投标人方可准备投标资料参加投标。</w:t>
      </w:r>
      <w:r>
        <w:rPr>
          <w:rFonts w:hint="eastAsia" w:ascii="Tahoma" w:hAnsi="Tahoma" w:cs="宋体"/>
          <w:kern w:val="0"/>
          <w:szCs w:val="21"/>
          <w:highlight w:val="yellow"/>
        </w:rPr>
        <w:t>【请留意电话或邮箱，如材料有问题，会通过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w:t>
      </w:r>
    </w:p>
    <w:p w14:paraId="2C987CA2">
      <w:pPr>
        <w:adjustRightInd w:val="0"/>
        <w:snapToGrid w:val="0"/>
        <w:spacing w:line="440" w:lineRule="atLeast"/>
        <w:ind w:firstLine="422" w:firstLineChars="200"/>
        <w:rPr>
          <w:rFonts w:hint="eastAsia" w:ascii="Tahoma" w:hAnsi="Tahoma" w:cs="宋体"/>
          <w:kern w:val="0"/>
          <w:szCs w:val="21"/>
          <w:highlight w:val="yellow"/>
        </w:rPr>
      </w:pPr>
      <w:r>
        <w:rPr>
          <w:rFonts w:hint="eastAsia" w:ascii="宋体" w:hAnsi="宋体" w:cs="宋体"/>
          <w:b/>
          <w:color w:val="000000"/>
          <w:szCs w:val="21"/>
        </w:rPr>
        <w:t>备注：</w:t>
      </w:r>
      <w:r>
        <w:rPr>
          <w:rFonts w:hint="eastAsia" w:ascii="宋体" w:hAnsi="宋体" w:cs="宋体"/>
          <w:b/>
          <w:color w:val="000000"/>
          <w:szCs w:val="21"/>
          <w:lang w:val="en-US" w:eastAsia="zh-CN"/>
        </w:rPr>
        <w:t>本期共两个项目，</w:t>
      </w:r>
      <w:r>
        <w:rPr>
          <w:rFonts w:ascii="宋体" w:hAnsi="宋体" w:cs="宋体"/>
          <w:b/>
          <w:color w:val="000000"/>
          <w:szCs w:val="21"/>
        </w:rPr>
        <w:t>报名人可根据自身情况，自由选择一</w:t>
      </w:r>
      <w:r>
        <w:rPr>
          <w:rFonts w:hint="eastAsia" w:ascii="宋体" w:hAnsi="宋体" w:cs="宋体"/>
          <w:b/>
          <w:color w:val="000000"/>
          <w:szCs w:val="21"/>
          <w:lang w:val="en-US" w:eastAsia="zh-CN"/>
        </w:rPr>
        <w:t>个</w:t>
      </w:r>
      <w:r>
        <w:rPr>
          <w:rFonts w:ascii="宋体" w:hAnsi="宋体" w:cs="宋体"/>
          <w:b/>
          <w:color w:val="000000"/>
          <w:szCs w:val="21"/>
        </w:rPr>
        <w:t>或多</w:t>
      </w:r>
      <w:r>
        <w:rPr>
          <w:rFonts w:hint="eastAsia" w:ascii="宋体" w:hAnsi="宋体" w:cs="宋体"/>
          <w:b/>
          <w:color w:val="000000"/>
          <w:szCs w:val="21"/>
          <w:lang w:val="en-US" w:eastAsia="zh-CN"/>
        </w:rPr>
        <w:t>个项目</w:t>
      </w:r>
      <w:r>
        <w:rPr>
          <w:rFonts w:ascii="宋体" w:hAnsi="宋体" w:cs="宋体"/>
          <w:b/>
          <w:color w:val="000000"/>
          <w:szCs w:val="21"/>
        </w:rPr>
        <w:t>进行报名，若报名多</w:t>
      </w:r>
      <w:r>
        <w:rPr>
          <w:rFonts w:hint="eastAsia" w:ascii="宋体" w:hAnsi="宋体" w:cs="宋体"/>
          <w:b/>
          <w:color w:val="000000"/>
          <w:szCs w:val="21"/>
          <w:lang w:val="en-US" w:eastAsia="zh-CN"/>
        </w:rPr>
        <w:t>个</w:t>
      </w:r>
      <w:r>
        <w:rPr>
          <w:rFonts w:ascii="宋体" w:hAnsi="宋体" w:cs="宋体"/>
          <w:b/>
          <w:color w:val="000000"/>
          <w:szCs w:val="21"/>
        </w:rPr>
        <w:t>，请根据要求每个采购项目单独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4AFF1DD">
      <w:pPr>
        <w:numPr>
          <w:ilvl w:val="0"/>
          <w:numId w:val="4"/>
        </w:numPr>
        <w:adjustRightInd w:val="0"/>
        <w:snapToGrid w:val="0"/>
        <w:spacing w:line="420" w:lineRule="exact"/>
        <w:jc w:val="left"/>
        <w:rPr>
          <w:rFonts w:ascii="Tahoma" w:hAnsi="Tahoma" w:cs="宋体"/>
          <w:b/>
          <w:bCs/>
          <w:kern w:val="0"/>
          <w:szCs w:val="21"/>
        </w:rPr>
      </w:pPr>
      <w:bookmarkStart w:id="2" w:name="_Toc1079"/>
      <w:r>
        <w:rPr>
          <w:rFonts w:hint="eastAsia" w:ascii="Tahoma" w:hAnsi="Tahoma" w:cs="宋体"/>
          <w:b/>
          <w:bCs/>
          <w:kern w:val="0"/>
          <w:szCs w:val="21"/>
        </w:rPr>
        <w:t>获取采购文件</w:t>
      </w:r>
    </w:p>
    <w:p w14:paraId="341C1FA9">
      <w:pPr>
        <w:adjustRightInd w:val="0"/>
        <w:snapToGrid w:val="0"/>
        <w:spacing w:line="420" w:lineRule="exact"/>
        <w:ind w:left="420" w:firstLine="422" w:firstLineChars="200"/>
        <w:jc w:val="left"/>
        <w:rPr>
          <w:rFonts w:hint="eastAsia"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53EF8F49">
      <w:pPr>
        <w:numPr>
          <w:ilvl w:val="0"/>
          <w:numId w:val="4"/>
        </w:numPr>
        <w:spacing w:line="420" w:lineRule="exact"/>
        <w:jc w:val="left"/>
        <w:rPr>
          <w:rFonts w:hint="eastAsia" w:ascii="Tahoma" w:hAnsi="Tahoma" w:cs="宋体"/>
          <w:b/>
          <w:bCs/>
          <w:kern w:val="0"/>
          <w:szCs w:val="21"/>
        </w:rPr>
      </w:pPr>
      <w:r>
        <w:rPr>
          <w:rFonts w:hint="eastAsia" w:ascii="Tahoma" w:hAnsi="Tahoma" w:cs="宋体"/>
          <w:b/>
          <w:bCs/>
          <w:kern w:val="0"/>
          <w:szCs w:val="21"/>
        </w:rPr>
        <w:t>开标时间和地点：</w:t>
      </w:r>
      <w:bookmarkEnd w:id="2"/>
    </w:p>
    <w:p w14:paraId="2580A157">
      <w:pPr>
        <w:ind w:left="420" w:leftChars="200"/>
        <w:rPr>
          <w:rFonts w:hint="default" w:ascii="Times New Roman" w:hAnsi="Times New Roman" w:cs="Times New Roman"/>
          <w:highlight w:val="yellow"/>
          <w:lang w:val="en-US" w:eastAsia="zh-CN"/>
        </w:rPr>
      </w:pPr>
      <w:r>
        <w:rPr>
          <w:rFonts w:hint="eastAsia" w:ascii="Times New Roman" w:hAnsi="Times New Roman" w:cs="Times New Roman"/>
          <w:highlight w:val="yellow"/>
        </w:rPr>
        <w:t>开标时间：</w:t>
      </w:r>
      <w:r>
        <w:rPr>
          <w:rFonts w:hint="eastAsia" w:ascii="Times New Roman" w:hAnsi="Times New Roman" w:cs="Times New Roman"/>
          <w:highlight w:val="yellow"/>
          <w:lang w:val="en-US" w:eastAsia="zh-CN"/>
        </w:rPr>
        <w:t>202</w:t>
      </w:r>
      <w:r>
        <w:rPr>
          <w:rFonts w:hint="eastAsia" w:cs="Times New Roman"/>
          <w:highlight w:val="yellow"/>
          <w:lang w:val="en-US" w:eastAsia="zh-CN"/>
        </w:rPr>
        <w:t>6</w:t>
      </w:r>
      <w:r>
        <w:rPr>
          <w:rFonts w:hint="eastAsia" w:ascii="Times New Roman" w:hAnsi="Times New Roman" w:cs="Times New Roman"/>
          <w:highlight w:val="yellow"/>
          <w:lang w:val="en-US" w:eastAsia="zh-CN"/>
        </w:rPr>
        <w:t>年</w:t>
      </w:r>
      <w:r>
        <w:rPr>
          <w:rFonts w:hint="eastAsia" w:cs="Times New Roman"/>
          <w:highlight w:val="yellow"/>
          <w:lang w:val="en-US" w:eastAsia="zh-CN"/>
        </w:rPr>
        <w:t>1</w:t>
      </w:r>
      <w:r>
        <w:rPr>
          <w:rFonts w:hint="eastAsia" w:ascii="Times New Roman" w:hAnsi="Times New Roman" w:cs="Times New Roman"/>
          <w:highlight w:val="yellow"/>
          <w:lang w:val="en-US" w:eastAsia="zh-CN"/>
        </w:rPr>
        <w:t>月</w:t>
      </w:r>
      <w:r>
        <w:rPr>
          <w:rFonts w:hint="eastAsia" w:cs="Times New Roman"/>
          <w:highlight w:val="yellow"/>
          <w:lang w:val="en-US" w:eastAsia="zh-CN"/>
        </w:rPr>
        <w:t>6</w:t>
      </w:r>
      <w:r>
        <w:rPr>
          <w:rFonts w:hint="eastAsia" w:ascii="Times New Roman" w:hAnsi="Times New Roman" w:cs="Times New Roman"/>
          <w:highlight w:val="yellow"/>
          <w:lang w:val="en-US" w:eastAsia="zh-CN"/>
        </w:rPr>
        <w:t>日</w:t>
      </w:r>
      <w:r>
        <w:rPr>
          <w:rFonts w:hint="eastAsia" w:cs="Times New Roman"/>
          <w:highlight w:val="yellow"/>
          <w:lang w:val="en-US" w:eastAsia="zh-CN"/>
        </w:rPr>
        <w:t>15：30</w:t>
      </w:r>
      <w:r>
        <w:rPr>
          <w:rFonts w:hint="eastAsia" w:ascii="Times New Roman" w:hAnsi="Times New Roman" w:cs="Times New Roman"/>
          <w:highlight w:val="yellow"/>
          <w:lang w:val="en-US" w:eastAsia="zh-CN"/>
        </w:rPr>
        <w:t>分</w:t>
      </w:r>
    </w:p>
    <w:p w14:paraId="66439AFC">
      <w:pPr>
        <w:ind w:left="420" w:leftChars="200"/>
        <w:rPr>
          <w:rFonts w:hint="eastAsia"/>
        </w:rPr>
      </w:pPr>
      <w:r>
        <w:rPr>
          <w:rFonts w:hint="eastAsia"/>
          <w:b/>
          <w:bCs/>
        </w:rPr>
        <w:t>开标地点：</w:t>
      </w:r>
      <w:r>
        <w:rPr>
          <w:rFonts w:hint="eastAsia"/>
        </w:rPr>
        <w:t>深圳市福田区福华路福星北小区92号中山大学附属第八医院(深圳福田)行政楼</w:t>
      </w:r>
      <w:r>
        <w:rPr>
          <w:rFonts w:hint="eastAsia"/>
          <w:lang w:val="en-US" w:eastAsia="zh-CN"/>
        </w:rPr>
        <w:t>3</w:t>
      </w:r>
      <w:r>
        <w:rPr>
          <w:rFonts w:hint="eastAsia"/>
        </w:rPr>
        <w:t>07会议室</w:t>
      </w:r>
    </w:p>
    <w:p w14:paraId="3C057A6C">
      <w:pPr>
        <w:ind w:left="420" w:leftChars="200"/>
        <w:rPr>
          <w:rFonts w:hint="default" w:ascii="Tahoma" w:hAnsi="Tahoma" w:cs="宋体"/>
          <w:kern w:val="0"/>
          <w:szCs w:val="21"/>
          <w:lang w:val="en-US" w:eastAsia="zh-CN"/>
        </w:rPr>
      </w:pPr>
      <w:r>
        <w:rPr>
          <w:rFonts w:hint="eastAsia" w:ascii="Tahoma" w:hAnsi="Tahoma" w:cs="宋体"/>
          <w:b/>
          <w:bCs/>
          <w:kern w:val="0"/>
          <w:szCs w:val="21"/>
        </w:rPr>
        <w:t>联系人及联系电话</w:t>
      </w:r>
      <w:r>
        <w:rPr>
          <w:rFonts w:hint="eastAsia" w:ascii="Tahoma" w:hAnsi="Tahoma" w:cs="宋体"/>
          <w:kern w:val="0"/>
          <w:szCs w:val="21"/>
        </w:rPr>
        <w:t>：</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4987C8D">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6FDB2189">
      <w:pPr>
        <w:pStyle w:val="43"/>
        <w:adjustRightInd w:val="0"/>
        <w:snapToGrid w:val="0"/>
        <w:spacing w:line="440" w:lineRule="atLeast"/>
        <w:rPr>
          <w:rFonts w:hint="eastAsia"/>
          <w:b/>
          <w:color w:val="FF0000"/>
          <w:szCs w:val="21"/>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176FB47">
      <w:pPr>
        <w:pStyle w:val="43"/>
        <w:adjustRightInd w:val="0"/>
        <w:snapToGrid w:val="0"/>
        <w:spacing w:line="440" w:lineRule="atLeast"/>
        <w:rPr>
          <w:rFonts w:hint="eastAsia"/>
          <w:b/>
          <w:color w:val="FF0000"/>
          <w:szCs w:val="21"/>
        </w:rPr>
      </w:pPr>
    </w:p>
    <w:p w14:paraId="3585F156">
      <w:pPr>
        <w:pStyle w:val="43"/>
        <w:adjustRightInd w:val="0"/>
        <w:snapToGrid w:val="0"/>
        <w:spacing w:line="440" w:lineRule="atLeast"/>
        <w:rPr>
          <w:rFonts w:hint="eastAsia"/>
          <w:b/>
          <w:color w:val="FF0000"/>
          <w:szCs w:val="21"/>
        </w:rPr>
      </w:pPr>
    </w:p>
    <w:p w14:paraId="781B8A00">
      <w:pPr>
        <w:pStyle w:val="43"/>
        <w:adjustRightInd w:val="0"/>
        <w:snapToGrid w:val="0"/>
        <w:spacing w:line="440" w:lineRule="atLeast"/>
        <w:rPr>
          <w:rFonts w:hint="default"/>
          <w:b/>
          <w:color w:val="FF0000"/>
          <w:szCs w:val="21"/>
          <w:lang w:val="en-US" w:eastAsia="zh-CN"/>
        </w:rPr>
      </w:pPr>
    </w:p>
    <w:p w14:paraId="456889A8">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2"/>
        <w:gridCol w:w="980"/>
        <w:gridCol w:w="1904"/>
        <w:gridCol w:w="1200"/>
        <w:gridCol w:w="612"/>
        <w:gridCol w:w="727"/>
        <w:gridCol w:w="1298"/>
        <w:gridCol w:w="1038"/>
        <w:gridCol w:w="1021"/>
      </w:tblGrid>
      <w:tr w14:paraId="2596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814" w:type="dxa"/>
            <w:shd w:val="clear" w:color="auto" w:fill="auto"/>
            <w:vAlign w:val="center"/>
          </w:tcPr>
          <w:p w14:paraId="0EB36A1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882" w:type="dxa"/>
            <w:shd w:val="clear" w:color="auto" w:fill="auto"/>
            <w:vAlign w:val="center"/>
          </w:tcPr>
          <w:p w14:paraId="1EE13828">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980" w:type="dxa"/>
            <w:shd w:val="clear" w:color="auto" w:fill="auto"/>
            <w:vAlign w:val="center"/>
          </w:tcPr>
          <w:p w14:paraId="53E29A8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1904" w:type="dxa"/>
            <w:shd w:val="clear" w:color="auto" w:fill="auto"/>
            <w:vAlign w:val="center"/>
          </w:tcPr>
          <w:p w14:paraId="216A66B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200" w:type="dxa"/>
            <w:vAlign w:val="center"/>
          </w:tcPr>
          <w:p w14:paraId="33DC82C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612" w:type="dxa"/>
            <w:vAlign w:val="center"/>
          </w:tcPr>
          <w:p w14:paraId="416AFB6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727" w:type="dxa"/>
            <w:vAlign w:val="center"/>
          </w:tcPr>
          <w:p w14:paraId="112E7412">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1298" w:type="dxa"/>
            <w:vAlign w:val="center"/>
          </w:tcPr>
          <w:p w14:paraId="32CFAE4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77DB635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1038" w:type="dxa"/>
            <w:vAlign w:val="center"/>
          </w:tcPr>
          <w:p w14:paraId="29514E9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021" w:type="dxa"/>
            <w:shd w:val="clear" w:color="auto" w:fill="auto"/>
            <w:vAlign w:val="center"/>
          </w:tcPr>
          <w:p w14:paraId="68041B8F">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2315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restart"/>
            <w:shd w:val="clear" w:color="auto" w:fill="auto"/>
            <w:vAlign w:val="center"/>
          </w:tcPr>
          <w:p w14:paraId="51591DD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神经内科</w:t>
            </w:r>
          </w:p>
        </w:tc>
        <w:tc>
          <w:tcPr>
            <w:tcW w:w="882" w:type="dxa"/>
            <w:vMerge w:val="restart"/>
            <w:shd w:val="clear" w:color="auto" w:fill="auto"/>
            <w:vAlign w:val="center"/>
          </w:tcPr>
          <w:p w14:paraId="3189D80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ZCB2026-HC01-01</w:t>
            </w:r>
          </w:p>
        </w:tc>
        <w:tc>
          <w:tcPr>
            <w:tcW w:w="980" w:type="dxa"/>
            <w:vMerge w:val="restart"/>
            <w:shd w:val="clear" w:color="auto" w:fill="auto"/>
            <w:vAlign w:val="center"/>
          </w:tcPr>
          <w:p w14:paraId="498FAB2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脑深部电极置入术耗材一套</w:t>
            </w:r>
          </w:p>
        </w:tc>
        <w:tc>
          <w:tcPr>
            <w:tcW w:w="1904" w:type="dxa"/>
            <w:shd w:val="clear" w:color="auto" w:fill="auto"/>
            <w:vAlign w:val="center"/>
          </w:tcPr>
          <w:p w14:paraId="5959969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可充电植入式神经刺激器套件</w:t>
            </w:r>
          </w:p>
        </w:tc>
        <w:tc>
          <w:tcPr>
            <w:tcW w:w="1200" w:type="dxa"/>
            <w:shd w:val="clear" w:color="auto" w:fill="auto"/>
            <w:vAlign w:val="center"/>
          </w:tcPr>
          <w:p w14:paraId="1AD721D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SR1101</w:t>
            </w:r>
          </w:p>
        </w:tc>
        <w:tc>
          <w:tcPr>
            <w:tcW w:w="612" w:type="dxa"/>
            <w:shd w:val="clear" w:color="auto" w:fill="auto"/>
            <w:vAlign w:val="center"/>
          </w:tcPr>
          <w:p w14:paraId="347C5CFC">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7E5D679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5E5C06D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209900</w:t>
            </w:r>
          </w:p>
        </w:tc>
        <w:tc>
          <w:tcPr>
            <w:tcW w:w="1038" w:type="dxa"/>
            <w:vMerge w:val="restart"/>
            <w:shd w:val="clear" w:color="auto" w:fill="auto"/>
            <w:vAlign w:val="center"/>
          </w:tcPr>
          <w:p w14:paraId="1C2697A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1个</w:t>
            </w:r>
            <w:r>
              <w:rPr>
                <w:rFonts w:hint="eastAsia" w:eastAsia="宋体" w:cs="Times New Roman"/>
                <w:color w:val="000000"/>
                <w:kern w:val="0"/>
                <w:sz w:val="22"/>
                <w:szCs w:val="22"/>
                <w:lang w:val="en-US" w:eastAsia="zh-CN" w:bidi="ar"/>
              </w:rPr>
              <w:t>国产品牌</w:t>
            </w:r>
          </w:p>
        </w:tc>
        <w:tc>
          <w:tcPr>
            <w:tcW w:w="1021" w:type="dxa"/>
            <w:vMerge w:val="restart"/>
            <w:shd w:val="clear" w:color="auto" w:fill="auto"/>
            <w:vAlign w:val="center"/>
          </w:tcPr>
          <w:p w14:paraId="68EAF68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14B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02FC84C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6F935C9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3003891E">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B08271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植入式脑深部电刺激电极导线套件</w:t>
            </w:r>
          </w:p>
        </w:tc>
        <w:tc>
          <w:tcPr>
            <w:tcW w:w="1200" w:type="dxa"/>
            <w:shd w:val="clear" w:color="auto" w:fill="auto"/>
            <w:vAlign w:val="center"/>
          </w:tcPr>
          <w:p w14:paraId="1DC23F0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1200-40</w:t>
            </w:r>
          </w:p>
        </w:tc>
        <w:tc>
          <w:tcPr>
            <w:tcW w:w="612" w:type="dxa"/>
            <w:shd w:val="clear" w:color="auto" w:fill="auto"/>
            <w:vAlign w:val="center"/>
          </w:tcPr>
          <w:p w14:paraId="393A0EB1">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08B6EEF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w:t>
            </w:r>
          </w:p>
        </w:tc>
        <w:tc>
          <w:tcPr>
            <w:tcW w:w="1298" w:type="dxa"/>
            <w:shd w:val="clear" w:color="auto" w:fill="auto"/>
            <w:vAlign w:val="center"/>
          </w:tcPr>
          <w:p w14:paraId="4D8E3C51">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10900</w:t>
            </w:r>
          </w:p>
        </w:tc>
        <w:tc>
          <w:tcPr>
            <w:tcW w:w="1038" w:type="dxa"/>
            <w:vMerge w:val="continue"/>
            <w:shd w:val="clear" w:color="auto" w:fill="auto"/>
            <w:vAlign w:val="center"/>
          </w:tcPr>
          <w:p w14:paraId="6488F7D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14908A1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2657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0319ABF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27375DD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00F1CB26">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20C2DB2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植入式脑深部电刺激延伸导线套件</w:t>
            </w:r>
          </w:p>
        </w:tc>
        <w:tc>
          <w:tcPr>
            <w:tcW w:w="1200" w:type="dxa"/>
            <w:shd w:val="clear" w:color="auto" w:fill="auto"/>
            <w:vAlign w:val="center"/>
          </w:tcPr>
          <w:p w14:paraId="3621B03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SR1341</w:t>
            </w:r>
          </w:p>
        </w:tc>
        <w:tc>
          <w:tcPr>
            <w:tcW w:w="612" w:type="dxa"/>
            <w:shd w:val="clear" w:color="auto" w:fill="auto"/>
            <w:vAlign w:val="center"/>
          </w:tcPr>
          <w:p w14:paraId="04202DB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1634FB7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w:t>
            </w:r>
          </w:p>
        </w:tc>
        <w:tc>
          <w:tcPr>
            <w:tcW w:w="1298" w:type="dxa"/>
            <w:shd w:val="clear" w:color="auto" w:fill="auto"/>
            <w:vAlign w:val="center"/>
          </w:tcPr>
          <w:p w14:paraId="2EA516F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3600</w:t>
            </w:r>
          </w:p>
        </w:tc>
        <w:tc>
          <w:tcPr>
            <w:tcW w:w="1038" w:type="dxa"/>
            <w:vMerge w:val="continue"/>
            <w:shd w:val="clear" w:color="auto" w:fill="auto"/>
            <w:vAlign w:val="center"/>
          </w:tcPr>
          <w:p w14:paraId="38B9DBA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4ECFFE61">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5118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1FF5F9E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7C1EA50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60FD01A6">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0333C1A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体外充电器套件</w:t>
            </w:r>
          </w:p>
        </w:tc>
        <w:tc>
          <w:tcPr>
            <w:tcW w:w="1200" w:type="dxa"/>
            <w:shd w:val="clear" w:color="auto" w:fill="auto"/>
            <w:vAlign w:val="center"/>
          </w:tcPr>
          <w:p w14:paraId="0D35381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SR2114</w:t>
            </w:r>
          </w:p>
        </w:tc>
        <w:tc>
          <w:tcPr>
            <w:tcW w:w="612" w:type="dxa"/>
            <w:shd w:val="clear" w:color="auto" w:fill="auto"/>
            <w:vAlign w:val="center"/>
          </w:tcPr>
          <w:p w14:paraId="3EBA253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02FCFEA0">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16047F0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15000</w:t>
            </w:r>
          </w:p>
        </w:tc>
        <w:tc>
          <w:tcPr>
            <w:tcW w:w="1038" w:type="dxa"/>
            <w:vMerge w:val="continue"/>
            <w:shd w:val="clear" w:color="auto" w:fill="auto"/>
            <w:vAlign w:val="center"/>
          </w:tcPr>
          <w:p w14:paraId="2F13B871">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7D44FB4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6EC8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65501C3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26E71A2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2E01664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0CDA71E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患者程控器</w:t>
            </w:r>
          </w:p>
        </w:tc>
        <w:tc>
          <w:tcPr>
            <w:tcW w:w="1200" w:type="dxa"/>
            <w:shd w:val="clear" w:color="auto" w:fill="auto"/>
            <w:vAlign w:val="center"/>
          </w:tcPr>
          <w:p w14:paraId="5DB3BAB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SR1421</w:t>
            </w:r>
          </w:p>
        </w:tc>
        <w:tc>
          <w:tcPr>
            <w:tcW w:w="612" w:type="dxa"/>
            <w:shd w:val="clear" w:color="auto" w:fill="auto"/>
            <w:vAlign w:val="center"/>
          </w:tcPr>
          <w:p w14:paraId="1E0198AD">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22A59DC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7BD14DA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10000</w:t>
            </w:r>
          </w:p>
        </w:tc>
        <w:tc>
          <w:tcPr>
            <w:tcW w:w="1038" w:type="dxa"/>
            <w:vMerge w:val="continue"/>
            <w:shd w:val="clear" w:color="auto" w:fill="auto"/>
            <w:vAlign w:val="center"/>
          </w:tcPr>
          <w:p w14:paraId="61E2BEDC">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shd w:val="clear" w:color="auto" w:fill="auto"/>
            <w:vAlign w:val="center"/>
          </w:tcPr>
          <w:p w14:paraId="34A70EF7">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r w14:paraId="35A3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restart"/>
            <w:shd w:val="clear" w:color="auto" w:fill="auto"/>
            <w:vAlign w:val="center"/>
          </w:tcPr>
          <w:p w14:paraId="17346266">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颅脑肿瘤和功能外科</w:t>
            </w:r>
          </w:p>
        </w:tc>
        <w:tc>
          <w:tcPr>
            <w:tcW w:w="882" w:type="dxa"/>
            <w:vMerge w:val="restart"/>
            <w:shd w:val="clear" w:color="auto" w:fill="auto"/>
            <w:vAlign w:val="center"/>
          </w:tcPr>
          <w:p w14:paraId="11C637C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ZCB2026-HC01-02</w:t>
            </w:r>
          </w:p>
        </w:tc>
        <w:tc>
          <w:tcPr>
            <w:tcW w:w="980" w:type="dxa"/>
            <w:vMerge w:val="restart"/>
            <w:shd w:val="clear" w:color="auto" w:fill="auto"/>
            <w:vAlign w:val="center"/>
          </w:tcPr>
          <w:p w14:paraId="4EE24D0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脊髓神经电刺激系统置入术耗材一套</w:t>
            </w:r>
          </w:p>
        </w:tc>
        <w:tc>
          <w:tcPr>
            <w:tcW w:w="1904" w:type="dxa"/>
            <w:shd w:val="clear" w:color="auto" w:fill="auto"/>
            <w:vAlign w:val="center"/>
          </w:tcPr>
          <w:p w14:paraId="28F0A9C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植入式脊髓神经刺激电极</w:t>
            </w:r>
          </w:p>
        </w:tc>
        <w:tc>
          <w:tcPr>
            <w:tcW w:w="1200" w:type="dxa"/>
            <w:shd w:val="clear" w:color="auto" w:fill="auto"/>
            <w:vAlign w:val="center"/>
          </w:tcPr>
          <w:p w14:paraId="78DA680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L3252-65</w:t>
            </w:r>
          </w:p>
        </w:tc>
        <w:tc>
          <w:tcPr>
            <w:tcW w:w="612" w:type="dxa"/>
            <w:shd w:val="clear" w:color="auto" w:fill="auto"/>
            <w:vAlign w:val="center"/>
          </w:tcPr>
          <w:p w14:paraId="12B0642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33CF191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54C62EB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28000</w:t>
            </w:r>
          </w:p>
        </w:tc>
        <w:tc>
          <w:tcPr>
            <w:tcW w:w="1038" w:type="dxa"/>
            <w:vMerge w:val="restart"/>
            <w:shd w:val="clear" w:color="auto" w:fill="auto"/>
            <w:vAlign w:val="center"/>
          </w:tcPr>
          <w:p w14:paraId="695576C5">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r>
              <w:rPr>
                <w:rFonts w:hint="eastAsia" w:eastAsia="宋体" w:cs="Times New Roman"/>
                <w:color w:val="000000"/>
                <w:kern w:val="0"/>
                <w:sz w:val="22"/>
                <w:szCs w:val="22"/>
                <w:lang w:val="en-US" w:eastAsia="zh-CN" w:bidi="ar"/>
              </w:rPr>
              <w:t>1个国产品牌</w:t>
            </w:r>
          </w:p>
        </w:tc>
        <w:tc>
          <w:tcPr>
            <w:tcW w:w="1021" w:type="dxa"/>
            <w:vMerge w:val="restart"/>
            <w:shd w:val="clear" w:color="auto" w:fill="auto"/>
            <w:vAlign w:val="center"/>
          </w:tcPr>
          <w:p w14:paraId="66CC0F76">
            <w:pPr>
              <w:keepNext w:val="0"/>
              <w:keepLines w:val="0"/>
              <w:widowControl/>
              <w:suppressLineNumbers w:val="0"/>
              <w:jc w:val="center"/>
              <w:textAlignment w:val="center"/>
              <w:rPr>
                <w:rFonts w:hint="default" w:ascii="Times New Roman" w:hAnsi="Times New Roman" w:eastAsia="宋体" w:cs="Times New Roman"/>
                <w:sz w:val="22"/>
                <w:szCs w:val="22"/>
                <w:lang w:val="en-US" w:eastAsia="zh-CN"/>
              </w:rPr>
            </w:pPr>
            <w:r>
              <w:rPr>
                <w:rFonts w:hint="eastAsia" w:eastAsia="宋体" w:cs="Times New Roman"/>
                <w:sz w:val="22"/>
                <w:szCs w:val="22"/>
                <w:lang w:val="en-US" w:eastAsia="zh-CN"/>
              </w:rPr>
              <w:t>是</w:t>
            </w:r>
          </w:p>
        </w:tc>
      </w:tr>
      <w:tr w14:paraId="5C9C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tcBorders/>
            <w:shd w:val="clear" w:color="auto" w:fill="auto"/>
            <w:vAlign w:val="center"/>
          </w:tcPr>
          <w:p w14:paraId="1A4D957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tcBorders/>
            <w:shd w:val="clear" w:color="auto" w:fill="auto"/>
            <w:vAlign w:val="center"/>
          </w:tcPr>
          <w:p w14:paraId="4CCB796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tcBorders/>
            <w:shd w:val="clear" w:color="auto" w:fill="auto"/>
            <w:vAlign w:val="center"/>
          </w:tcPr>
          <w:p w14:paraId="06830D2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095CD1A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植入式脊髓神经刺激器</w:t>
            </w:r>
          </w:p>
        </w:tc>
        <w:tc>
          <w:tcPr>
            <w:tcW w:w="1200" w:type="dxa"/>
            <w:shd w:val="clear" w:color="auto" w:fill="auto"/>
            <w:vAlign w:val="center"/>
          </w:tcPr>
          <w:p w14:paraId="6E3BE78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G122</w:t>
            </w:r>
          </w:p>
        </w:tc>
        <w:tc>
          <w:tcPr>
            <w:tcW w:w="612" w:type="dxa"/>
            <w:shd w:val="clear" w:color="auto" w:fill="auto"/>
            <w:vAlign w:val="center"/>
          </w:tcPr>
          <w:p w14:paraId="46FD6A6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7109E2E8">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4870ECE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91000</w:t>
            </w:r>
          </w:p>
        </w:tc>
        <w:tc>
          <w:tcPr>
            <w:tcW w:w="1038" w:type="dxa"/>
            <w:vMerge w:val="continue"/>
            <w:tcBorders/>
            <w:shd w:val="clear" w:color="auto" w:fill="auto"/>
            <w:vAlign w:val="center"/>
          </w:tcPr>
          <w:p w14:paraId="68996F2A">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tcBorders/>
            <w:shd w:val="clear" w:color="auto" w:fill="auto"/>
            <w:vAlign w:val="center"/>
          </w:tcPr>
          <w:p w14:paraId="6E9D0E56">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r w14:paraId="014E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tcBorders/>
            <w:shd w:val="clear" w:color="auto" w:fill="auto"/>
            <w:vAlign w:val="center"/>
          </w:tcPr>
          <w:p w14:paraId="0C632FA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tcBorders/>
            <w:shd w:val="clear" w:color="auto" w:fill="auto"/>
            <w:vAlign w:val="center"/>
          </w:tcPr>
          <w:p w14:paraId="276699B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tcBorders/>
            <w:shd w:val="clear" w:color="auto" w:fill="auto"/>
            <w:vAlign w:val="center"/>
          </w:tcPr>
          <w:p w14:paraId="3EB3D07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110E4D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患者程控仪</w:t>
            </w:r>
          </w:p>
        </w:tc>
        <w:tc>
          <w:tcPr>
            <w:tcW w:w="1200" w:type="dxa"/>
            <w:shd w:val="clear" w:color="auto" w:fill="auto"/>
            <w:vAlign w:val="center"/>
          </w:tcPr>
          <w:p w14:paraId="08A3A9D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C721</w:t>
            </w:r>
          </w:p>
        </w:tc>
        <w:tc>
          <w:tcPr>
            <w:tcW w:w="612" w:type="dxa"/>
            <w:shd w:val="clear" w:color="auto" w:fill="auto"/>
            <w:vAlign w:val="center"/>
          </w:tcPr>
          <w:p w14:paraId="3967B81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1DD7A9E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11053D6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18000</w:t>
            </w:r>
          </w:p>
        </w:tc>
        <w:tc>
          <w:tcPr>
            <w:tcW w:w="1038" w:type="dxa"/>
            <w:vMerge w:val="continue"/>
            <w:tcBorders/>
            <w:shd w:val="clear" w:color="auto" w:fill="auto"/>
            <w:vAlign w:val="center"/>
          </w:tcPr>
          <w:p w14:paraId="323A867C">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tcBorders/>
            <w:shd w:val="clear" w:color="auto" w:fill="auto"/>
            <w:vAlign w:val="center"/>
          </w:tcPr>
          <w:p w14:paraId="7EDBAF30">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5D40D06C">
      <w:pPr>
        <w:pStyle w:val="70"/>
        <w:numPr>
          <w:ilvl w:val="0"/>
          <w:numId w:val="0"/>
        </w:numPr>
        <w:jc w:val="both"/>
        <w:rPr>
          <w:rFonts w:hint="eastAsia" w:cs="Tahoma"/>
          <w:b/>
          <w:bCs/>
          <w:sz w:val="30"/>
          <w:szCs w:val="30"/>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szCs w:val="21"/>
          <w:highlight w:val="yellow"/>
          <w:lang w:val="en-US" w:eastAsia="zh-CN"/>
        </w:rPr>
        <w:t>2026年第1期医用耗材</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21908108">
      <w:pPr>
        <w:widowControl/>
        <w:wordWrap w:val="0"/>
        <w:spacing w:line="420" w:lineRule="exact"/>
        <w:ind w:left="420" w:leftChars="200" w:right="420"/>
        <w:rPr>
          <w:rFonts w:hint="eastAsia"/>
          <w:szCs w:val="21"/>
        </w:rPr>
      </w:pP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r>
        <w:rPr>
          <w:rFonts w:hint="eastAsia" w:ascii="Tahoma" w:hAnsi="Tahoma" w:cs="Tahoma"/>
          <w:color w:val="FF0000"/>
          <w:kern w:val="0"/>
          <w:szCs w:val="21"/>
          <w:lang w:val="en-US" w:eastAsia="zh-CN"/>
        </w:rPr>
        <w:t>5日</w:t>
      </w:r>
    </w:p>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183DC6A5">
      <w:pPr>
        <w:numPr>
          <w:ilvl w:val="0"/>
          <w:numId w:val="8"/>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69416255">
      <w:pPr>
        <w:spacing w:line="520" w:lineRule="exact"/>
        <w:ind w:firstLine="420" w:firstLineChars="200"/>
        <w:rPr>
          <w:rFonts w:hint="eastAsia"/>
          <w:szCs w:val="21"/>
        </w:rPr>
      </w:pPr>
      <w:bookmarkStart w:id="5" w:name="_Toc61271840"/>
      <w:bookmarkStart w:id="6" w:name="_Toc23337"/>
      <w:r>
        <w:rPr>
          <w:rFonts w:hint="eastAsia"/>
          <w:szCs w:val="21"/>
        </w:rPr>
        <w:t>神经内科拟收治一名61岁男性帕金森病患者，主要症状为肢体僵硬、行动迟缓伴震颤，患者早期对美多芭等药物效果较好、但出现明显异动症、药效也逐渐减退、积极调整药物方案后效果仍不佳、并出现了较多药物不良反应，患者希望通过手术治疗提高生活质量。拟为患者实施脑深部电极置入术。</w:t>
      </w:r>
    </w:p>
    <w:p w14:paraId="3739FAEB">
      <w:pPr>
        <w:spacing w:line="520" w:lineRule="exact"/>
        <w:ind w:firstLine="420" w:firstLineChars="200"/>
        <w:rPr>
          <w:rFonts w:hint="eastAsia" w:ascii="Tahoma" w:hAnsi="Tahoma" w:cs="宋体" w:eastAsiaTheme="minorEastAsia"/>
          <w:kern w:val="0"/>
          <w:sz w:val="21"/>
          <w:szCs w:val="21"/>
          <w:lang w:val="en-US" w:eastAsia="zh-CN" w:bidi="ar-SA"/>
        </w:rPr>
      </w:pPr>
      <w:r>
        <w:rPr>
          <w:rFonts w:hint="eastAsia"/>
          <w:szCs w:val="21"/>
        </w:rPr>
        <w:t>颅脑肿瘤和功能外科拟收治一名49岁男性张力失常患者，5年前因“左侧基底节脑出血”于我院手术治疗，术后恢复情况良好，但残留右侧肢体肌张力升高伴疼痛，于1周前至我院行临时脊髓电刺激置入术，临时刺激后患者肌张力、肌力显著改善、疼痛明显缓解，因临时刺激器仅能使用1-2周，患者急需行永久性脊髓电刺激置入术。拟为患者实施脊髓神经电刺激系统置入术</w:t>
      </w:r>
      <w:r>
        <w:rPr>
          <w:rFonts w:hint="eastAsia"/>
          <w:szCs w:val="21"/>
          <w:lang w:eastAsia="zh-CN"/>
        </w:rPr>
        <w:t>。</w:t>
      </w:r>
      <w:bookmarkStart w:id="96" w:name="_GoBack"/>
      <w:bookmarkEnd w:id="96"/>
    </w:p>
    <w:p w14:paraId="13372116">
      <w:pPr>
        <w:pStyle w:val="43"/>
        <w:widowControl/>
        <w:numPr>
          <w:ilvl w:val="0"/>
          <w:numId w:val="8"/>
        </w:numPr>
        <w:adjustRightInd w:val="0"/>
        <w:snapToGrid w:val="0"/>
        <w:spacing w:line="360" w:lineRule="auto"/>
        <w:ind w:left="0" w:leftChars="0" w:firstLine="420" w:firstLineChars="0"/>
        <w:outlineLvl w:val="2"/>
      </w:pPr>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2"/>
        <w:gridCol w:w="980"/>
        <w:gridCol w:w="1904"/>
        <w:gridCol w:w="1200"/>
        <w:gridCol w:w="612"/>
        <w:gridCol w:w="727"/>
        <w:gridCol w:w="1298"/>
        <w:gridCol w:w="1038"/>
        <w:gridCol w:w="1021"/>
      </w:tblGrid>
      <w:tr w14:paraId="4411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814" w:type="dxa"/>
            <w:shd w:val="clear" w:color="auto" w:fill="auto"/>
            <w:vAlign w:val="center"/>
          </w:tcPr>
          <w:p w14:paraId="262CB9E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882" w:type="dxa"/>
            <w:shd w:val="clear" w:color="auto" w:fill="auto"/>
            <w:vAlign w:val="center"/>
          </w:tcPr>
          <w:p w14:paraId="6F8701E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980" w:type="dxa"/>
            <w:shd w:val="clear" w:color="auto" w:fill="auto"/>
            <w:vAlign w:val="center"/>
          </w:tcPr>
          <w:p w14:paraId="2BEF9C8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1904" w:type="dxa"/>
            <w:shd w:val="clear" w:color="auto" w:fill="auto"/>
            <w:vAlign w:val="center"/>
          </w:tcPr>
          <w:p w14:paraId="5983806B">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200" w:type="dxa"/>
            <w:vAlign w:val="center"/>
          </w:tcPr>
          <w:p w14:paraId="57EA677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612" w:type="dxa"/>
            <w:vAlign w:val="center"/>
          </w:tcPr>
          <w:p w14:paraId="12BFF45E">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727" w:type="dxa"/>
            <w:vAlign w:val="center"/>
          </w:tcPr>
          <w:p w14:paraId="73E75AE1">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1298" w:type="dxa"/>
            <w:vAlign w:val="center"/>
          </w:tcPr>
          <w:p w14:paraId="0E7A8C7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2E9A354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1038" w:type="dxa"/>
            <w:vAlign w:val="center"/>
          </w:tcPr>
          <w:p w14:paraId="454F8D7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021" w:type="dxa"/>
            <w:shd w:val="clear" w:color="auto" w:fill="auto"/>
            <w:vAlign w:val="center"/>
          </w:tcPr>
          <w:p w14:paraId="5E0E77DE">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3014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restart"/>
            <w:shd w:val="clear" w:color="auto" w:fill="auto"/>
            <w:vAlign w:val="center"/>
          </w:tcPr>
          <w:p w14:paraId="1C5FE5A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神经内科</w:t>
            </w:r>
          </w:p>
        </w:tc>
        <w:tc>
          <w:tcPr>
            <w:tcW w:w="882" w:type="dxa"/>
            <w:vMerge w:val="restart"/>
            <w:shd w:val="clear" w:color="auto" w:fill="auto"/>
            <w:vAlign w:val="center"/>
          </w:tcPr>
          <w:p w14:paraId="74018AC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ZCB2026-HC01-01</w:t>
            </w:r>
          </w:p>
        </w:tc>
        <w:tc>
          <w:tcPr>
            <w:tcW w:w="980" w:type="dxa"/>
            <w:vMerge w:val="restart"/>
            <w:shd w:val="clear" w:color="auto" w:fill="auto"/>
            <w:vAlign w:val="center"/>
          </w:tcPr>
          <w:p w14:paraId="1A8003DE">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脑深部电极置入术耗材一套</w:t>
            </w:r>
          </w:p>
        </w:tc>
        <w:tc>
          <w:tcPr>
            <w:tcW w:w="1904" w:type="dxa"/>
            <w:shd w:val="clear" w:color="auto" w:fill="auto"/>
            <w:vAlign w:val="center"/>
          </w:tcPr>
          <w:p w14:paraId="29466AD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可充电植入式神经刺激器套件</w:t>
            </w:r>
          </w:p>
        </w:tc>
        <w:tc>
          <w:tcPr>
            <w:tcW w:w="1200" w:type="dxa"/>
            <w:shd w:val="clear" w:color="auto" w:fill="auto"/>
            <w:vAlign w:val="center"/>
          </w:tcPr>
          <w:p w14:paraId="00D0BF1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SR1101</w:t>
            </w:r>
          </w:p>
        </w:tc>
        <w:tc>
          <w:tcPr>
            <w:tcW w:w="612" w:type="dxa"/>
            <w:shd w:val="clear" w:color="auto" w:fill="auto"/>
            <w:vAlign w:val="center"/>
          </w:tcPr>
          <w:p w14:paraId="57DFA55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05C37E6C">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0E9D0EE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209900</w:t>
            </w:r>
          </w:p>
        </w:tc>
        <w:tc>
          <w:tcPr>
            <w:tcW w:w="1038" w:type="dxa"/>
            <w:vMerge w:val="restart"/>
            <w:shd w:val="clear" w:color="auto" w:fill="auto"/>
            <w:vAlign w:val="center"/>
          </w:tcPr>
          <w:p w14:paraId="008F929E">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1个国产品牌</w:t>
            </w:r>
          </w:p>
        </w:tc>
        <w:tc>
          <w:tcPr>
            <w:tcW w:w="1021" w:type="dxa"/>
            <w:vMerge w:val="restart"/>
            <w:shd w:val="clear" w:color="auto" w:fill="auto"/>
            <w:vAlign w:val="center"/>
          </w:tcPr>
          <w:p w14:paraId="20AA1FB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603E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42F9A0A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472DF9F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4E0A73B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1201280">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植入式脑深部电刺激电极导线套件</w:t>
            </w:r>
          </w:p>
        </w:tc>
        <w:tc>
          <w:tcPr>
            <w:tcW w:w="1200" w:type="dxa"/>
            <w:shd w:val="clear" w:color="auto" w:fill="auto"/>
            <w:vAlign w:val="center"/>
          </w:tcPr>
          <w:p w14:paraId="2A688B7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1200-40</w:t>
            </w:r>
          </w:p>
        </w:tc>
        <w:tc>
          <w:tcPr>
            <w:tcW w:w="612" w:type="dxa"/>
            <w:shd w:val="clear" w:color="auto" w:fill="auto"/>
            <w:vAlign w:val="center"/>
          </w:tcPr>
          <w:p w14:paraId="458122C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4699807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w:t>
            </w:r>
          </w:p>
        </w:tc>
        <w:tc>
          <w:tcPr>
            <w:tcW w:w="1298" w:type="dxa"/>
            <w:shd w:val="clear" w:color="auto" w:fill="auto"/>
            <w:vAlign w:val="center"/>
          </w:tcPr>
          <w:p w14:paraId="651A0273">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10900</w:t>
            </w:r>
          </w:p>
        </w:tc>
        <w:tc>
          <w:tcPr>
            <w:tcW w:w="1038" w:type="dxa"/>
            <w:vMerge w:val="continue"/>
            <w:shd w:val="clear" w:color="auto" w:fill="auto"/>
            <w:vAlign w:val="center"/>
          </w:tcPr>
          <w:p w14:paraId="1B5DF39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1950E22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171A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5DF817D6">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3CA5286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7A0150A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069532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植入式脑深部电刺激延伸导线套件</w:t>
            </w:r>
          </w:p>
        </w:tc>
        <w:tc>
          <w:tcPr>
            <w:tcW w:w="1200" w:type="dxa"/>
            <w:shd w:val="clear" w:color="auto" w:fill="auto"/>
            <w:vAlign w:val="center"/>
          </w:tcPr>
          <w:p w14:paraId="2660BAE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SR1341</w:t>
            </w:r>
          </w:p>
        </w:tc>
        <w:tc>
          <w:tcPr>
            <w:tcW w:w="612" w:type="dxa"/>
            <w:shd w:val="clear" w:color="auto" w:fill="auto"/>
            <w:vAlign w:val="center"/>
          </w:tcPr>
          <w:p w14:paraId="10BDB85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091F284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w:t>
            </w:r>
          </w:p>
        </w:tc>
        <w:tc>
          <w:tcPr>
            <w:tcW w:w="1298" w:type="dxa"/>
            <w:shd w:val="clear" w:color="auto" w:fill="auto"/>
            <w:vAlign w:val="center"/>
          </w:tcPr>
          <w:p w14:paraId="34953AC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3600</w:t>
            </w:r>
          </w:p>
        </w:tc>
        <w:tc>
          <w:tcPr>
            <w:tcW w:w="1038" w:type="dxa"/>
            <w:vMerge w:val="continue"/>
            <w:shd w:val="clear" w:color="auto" w:fill="auto"/>
            <w:vAlign w:val="center"/>
          </w:tcPr>
          <w:p w14:paraId="3E7410A7">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3716CC03">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5C70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72A0275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1DC000D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22E020CE">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4B32EF7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体外充电器套件</w:t>
            </w:r>
          </w:p>
        </w:tc>
        <w:tc>
          <w:tcPr>
            <w:tcW w:w="1200" w:type="dxa"/>
            <w:shd w:val="clear" w:color="auto" w:fill="auto"/>
            <w:vAlign w:val="center"/>
          </w:tcPr>
          <w:p w14:paraId="68CF2D0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SR2114</w:t>
            </w:r>
          </w:p>
        </w:tc>
        <w:tc>
          <w:tcPr>
            <w:tcW w:w="612" w:type="dxa"/>
            <w:shd w:val="clear" w:color="auto" w:fill="auto"/>
            <w:vAlign w:val="center"/>
          </w:tcPr>
          <w:p w14:paraId="7E30165C">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1D603CF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7D3EFC87">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15000</w:t>
            </w:r>
          </w:p>
        </w:tc>
        <w:tc>
          <w:tcPr>
            <w:tcW w:w="1038" w:type="dxa"/>
            <w:vMerge w:val="continue"/>
            <w:shd w:val="clear" w:color="auto" w:fill="auto"/>
            <w:vAlign w:val="center"/>
          </w:tcPr>
          <w:p w14:paraId="69FA138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c>
          <w:tcPr>
            <w:tcW w:w="1021" w:type="dxa"/>
            <w:vMerge w:val="continue"/>
            <w:shd w:val="clear" w:color="auto" w:fill="auto"/>
            <w:vAlign w:val="center"/>
          </w:tcPr>
          <w:p w14:paraId="0A472623">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p>
        </w:tc>
      </w:tr>
      <w:tr w14:paraId="27D4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4E0A57E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324FC8B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48D1216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39B6694B">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患者程控器</w:t>
            </w:r>
          </w:p>
        </w:tc>
        <w:tc>
          <w:tcPr>
            <w:tcW w:w="1200" w:type="dxa"/>
            <w:shd w:val="clear" w:color="auto" w:fill="auto"/>
            <w:vAlign w:val="center"/>
          </w:tcPr>
          <w:p w14:paraId="70117E4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SR1421</w:t>
            </w:r>
          </w:p>
        </w:tc>
        <w:tc>
          <w:tcPr>
            <w:tcW w:w="612" w:type="dxa"/>
            <w:shd w:val="clear" w:color="auto" w:fill="auto"/>
            <w:vAlign w:val="center"/>
          </w:tcPr>
          <w:p w14:paraId="6E59EEF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727" w:type="dxa"/>
            <w:shd w:val="clear" w:color="auto" w:fill="auto"/>
            <w:vAlign w:val="center"/>
          </w:tcPr>
          <w:p w14:paraId="62B142A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56883BD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10000</w:t>
            </w:r>
          </w:p>
        </w:tc>
        <w:tc>
          <w:tcPr>
            <w:tcW w:w="1038" w:type="dxa"/>
            <w:vMerge w:val="continue"/>
            <w:shd w:val="clear" w:color="auto" w:fill="auto"/>
            <w:vAlign w:val="center"/>
          </w:tcPr>
          <w:p w14:paraId="76E33B95">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shd w:val="clear" w:color="auto" w:fill="auto"/>
            <w:vAlign w:val="center"/>
          </w:tcPr>
          <w:p w14:paraId="6321925C">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r w14:paraId="2BE5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restart"/>
            <w:shd w:val="clear" w:color="auto" w:fill="auto"/>
            <w:vAlign w:val="center"/>
          </w:tcPr>
          <w:p w14:paraId="73A426B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颅脑肿瘤和功能外科</w:t>
            </w:r>
          </w:p>
        </w:tc>
        <w:tc>
          <w:tcPr>
            <w:tcW w:w="882" w:type="dxa"/>
            <w:vMerge w:val="restart"/>
            <w:shd w:val="clear" w:color="auto" w:fill="auto"/>
            <w:vAlign w:val="center"/>
          </w:tcPr>
          <w:p w14:paraId="0917142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ZCB2026-HC01-02</w:t>
            </w:r>
          </w:p>
        </w:tc>
        <w:tc>
          <w:tcPr>
            <w:tcW w:w="980" w:type="dxa"/>
            <w:vMerge w:val="restart"/>
            <w:shd w:val="clear" w:color="auto" w:fill="auto"/>
            <w:vAlign w:val="center"/>
          </w:tcPr>
          <w:p w14:paraId="7B1CDD1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脊髓神经电刺激系统置入术耗材一套</w:t>
            </w:r>
          </w:p>
        </w:tc>
        <w:tc>
          <w:tcPr>
            <w:tcW w:w="1904" w:type="dxa"/>
            <w:shd w:val="clear" w:color="auto" w:fill="auto"/>
            <w:vAlign w:val="center"/>
          </w:tcPr>
          <w:p w14:paraId="240B54A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植入式脊髓神经刺激电极</w:t>
            </w:r>
          </w:p>
        </w:tc>
        <w:tc>
          <w:tcPr>
            <w:tcW w:w="1200" w:type="dxa"/>
            <w:shd w:val="clear" w:color="auto" w:fill="auto"/>
            <w:vAlign w:val="center"/>
          </w:tcPr>
          <w:p w14:paraId="3F37B35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L3252-65</w:t>
            </w:r>
          </w:p>
        </w:tc>
        <w:tc>
          <w:tcPr>
            <w:tcW w:w="612" w:type="dxa"/>
            <w:shd w:val="clear" w:color="auto" w:fill="auto"/>
            <w:vAlign w:val="center"/>
          </w:tcPr>
          <w:p w14:paraId="0098540F">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47D41C9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0E562B7F">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28000</w:t>
            </w:r>
          </w:p>
        </w:tc>
        <w:tc>
          <w:tcPr>
            <w:tcW w:w="1038" w:type="dxa"/>
            <w:vMerge w:val="restart"/>
            <w:shd w:val="clear" w:color="auto" w:fill="auto"/>
            <w:vAlign w:val="center"/>
          </w:tcPr>
          <w:p w14:paraId="6C216F99">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r>
              <w:rPr>
                <w:rFonts w:hint="eastAsia" w:eastAsia="宋体" w:cs="Times New Roman"/>
                <w:color w:val="000000"/>
                <w:kern w:val="0"/>
                <w:sz w:val="22"/>
                <w:szCs w:val="22"/>
                <w:lang w:val="en-US" w:eastAsia="zh-CN" w:bidi="ar"/>
              </w:rPr>
              <w:t>1个国产品牌</w:t>
            </w:r>
          </w:p>
        </w:tc>
        <w:tc>
          <w:tcPr>
            <w:tcW w:w="1021" w:type="dxa"/>
            <w:vMerge w:val="restart"/>
            <w:shd w:val="clear" w:color="auto" w:fill="auto"/>
            <w:vAlign w:val="center"/>
          </w:tcPr>
          <w:p w14:paraId="733D6171">
            <w:pPr>
              <w:keepNext w:val="0"/>
              <w:keepLines w:val="0"/>
              <w:widowControl/>
              <w:suppressLineNumbers w:val="0"/>
              <w:jc w:val="center"/>
              <w:textAlignment w:val="center"/>
              <w:rPr>
                <w:rFonts w:hint="default" w:ascii="Times New Roman" w:hAnsi="Times New Roman" w:eastAsia="宋体" w:cs="Times New Roman"/>
                <w:sz w:val="22"/>
                <w:szCs w:val="22"/>
                <w:lang w:val="en-US" w:eastAsia="zh-CN"/>
              </w:rPr>
            </w:pPr>
            <w:r>
              <w:rPr>
                <w:rFonts w:hint="eastAsia" w:eastAsia="宋体" w:cs="Times New Roman"/>
                <w:sz w:val="22"/>
                <w:szCs w:val="22"/>
                <w:lang w:val="en-US" w:eastAsia="zh-CN"/>
              </w:rPr>
              <w:t>是</w:t>
            </w:r>
          </w:p>
        </w:tc>
      </w:tr>
      <w:tr w14:paraId="77B7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6C9ADE2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6E4D5E0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3000D56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F0443FE">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植入式脊髓神经刺激器</w:t>
            </w:r>
          </w:p>
        </w:tc>
        <w:tc>
          <w:tcPr>
            <w:tcW w:w="1200" w:type="dxa"/>
            <w:shd w:val="clear" w:color="auto" w:fill="auto"/>
            <w:vAlign w:val="center"/>
          </w:tcPr>
          <w:p w14:paraId="5DE51AD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G122</w:t>
            </w:r>
          </w:p>
        </w:tc>
        <w:tc>
          <w:tcPr>
            <w:tcW w:w="612" w:type="dxa"/>
            <w:shd w:val="clear" w:color="auto" w:fill="auto"/>
            <w:vAlign w:val="center"/>
          </w:tcPr>
          <w:p w14:paraId="531C846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4D570E2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6AE3B0CE">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91000</w:t>
            </w:r>
          </w:p>
        </w:tc>
        <w:tc>
          <w:tcPr>
            <w:tcW w:w="1038" w:type="dxa"/>
            <w:vMerge w:val="continue"/>
            <w:shd w:val="clear" w:color="auto" w:fill="auto"/>
            <w:vAlign w:val="center"/>
          </w:tcPr>
          <w:p w14:paraId="7EF82952">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shd w:val="clear" w:color="auto" w:fill="auto"/>
            <w:vAlign w:val="center"/>
          </w:tcPr>
          <w:p w14:paraId="0BCFFE1B">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r w14:paraId="4109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4" w:type="dxa"/>
            <w:vMerge w:val="continue"/>
            <w:shd w:val="clear" w:color="auto" w:fill="auto"/>
            <w:vAlign w:val="center"/>
          </w:tcPr>
          <w:p w14:paraId="28FC7F1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2" w:type="dxa"/>
            <w:vMerge w:val="continue"/>
            <w:shd w:val="clear" w:color="auto" w:fill="auto"/>
            <w:vAlign w:val="center"/>
          </w:tcPr>
          <w:p w14:paraId="110F07F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80" w:type="dxa"/>
            <w:vMerge w:val="continue"/>
            <w:shd w:val="clear" w:color="auto" w:fill="auto"/>
            <w:vAlign w:val="center"/>
          </w:tcPr>
          <w:p w14:paraId="4DE7D65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1904" w:type="dxa"/>
            <w:shd w:val="clear" w:color="auto" w:fill="auto"/>
            <w:vAlign w:val="center"/>
          </w:tcPr>
          <w:p w14:paraId="5EFF8EE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患者程控仪</w:t>
            </w:r>
          </w:p>
        </w:tc>
        <w:tc>
          <w:tcPr>
            <w:tcW w:w="1200" w:type="dxa"/>
            <w:shd w:val="clear" w:color="auto" w:fill="auto"/>
            <w:vAlign w:val="center"/>
          </w:tcPr>
          <w:p w14:paraId="0E9EA98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C721</w:t>
            </w:r>
          </w:p>
        </w:tc>
        <w:tc>
          <w:tcPr>
            <w:tcW w:w="612" w:type="dxa"/>
            <w:shd w:val="clear" w:color="auto" w:fill="auto"/>
            <w:vAlign w:val="center"/>
          </w:tcPr>
          <w:p w14:paraId="211E459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盒</w:t>
            </w:r>
          </w:p>
        </w:tc>
        <w:tc>
          <w:tcPr>
            <w:tcW w:w="727" w:type="dxa"/>
            <w:shd w:val="clear" w:color="auto" w:fill="auto"/>
            <w:vAlign w:val="center"/>
          </w:tcPr>
          <w:p w14:paraId="48B8339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w:t>
            </w:r>
          </w:p>
        </w:tc>
        <w:tc>
          <w:tcPr>
            <w:tcW w:w="1298" w:type="dxa"/>
            <w:shd w:val="clear" w:color="auto" w:fill="auto"/>
            <w:vAlign w:val="center"/>
          </w:tcPr>
          <w:p w14:paraId="277D4D1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18000</w:t>
            </w:r>
          </w:p>
        </w:tc>
        <w:tc>
          <w:tcPr>
            <w:tcW w:w="1038" w:type="dxa"/>
            <w:vMerge w:val="continue"/>
            <w:shd w:val="clear" w:color="auto" w:fill="auto"/>
            <w:vAlign w:val="center"/>
          </w:tcPr>
          <w:p w14:paraId="7917D3E0">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1021" w:type="dxa"/>
            <w:vMerge w:val="continue"/>
            <w:shd w:val="clear" w:color="auto" w:fill="auto"/>
            <w:vAlign w:val="center"/>
          </w:tcPr>
          <w:p w14:paraId="08A19623">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43BB16F6">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p>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3561A8F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C83C78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572C9FB3">
      <w:pPr>
        <w:rPr>
          <w:rFonts w:eastAsia="宋体"/>
          <w:b/>
          <w:bCs/>
          <w:kern w:val="0"/>
          <w:sz w:val="32"/>
          <w:szCs w:val="32"/>
        </w:rPr>
      </w:pPr>
      <w:bookmarkStart w:id="9" w:name="_Toc26997"/>
      <w:r>
        <w:rPr>
          <w:rFonts w:eastAsia="宋体"/>
          <w:b/>
          <w:bCs/>
          <w:kern w:val="0"/>
          <w:sz w:val="32"/>
          <w:szCs w:val="32"/>
        </w:rPr>
        <w:br w:type="page"/>
      </w:r>
    </w:p>
    <w:p w14:paraId="334CC22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9"/>
    </w:p>
    <w:p w14:paraId="38D300EA">
      <w:pPr>
        <w:keepNext/>
        <w:keepLines/>
        <w:widowControl/>
        <w:numPr>
          <w:ilvl w:val="0"/>
          <w:numId w:val="13"/>
        </w:numPr>
        <w:spacing w:before="260" w:after="260"/>
        <w:jc w:val="center"/>
        <w:outlineLvl w:val="1"/>
        <w:rPr>
          <w:rFonts w:eastAsia="宋体"/>
          <w:b/>
          <w:bCs/>
          <w:kern w:val="0"/>
          <w:sz w:val="30"/>
          <w:szCs w:val="30"/>
        </w:rPr>
      </w:pPr>
      <w:bookmarkStart w:id="10" w:name="_Toc57128621"/>
      <w:bookmarkStart w:id="11" w:name="_Toc15209"/>
      <w:bookmarkStart w:id="12" w:name="_Toc32335"/>
      <w:r>
        <w:rPr>
          <w:rFonts w:eastAsia="宋体"/>
          <w:b/>
          <w:bCs/>
          <w:kern w:val="0"/>
          <w:sz w:val="30"/>
          <w:szCs w:val="30"/>
        </w:rPr>
        <w:t>资格性审查表</w:t>
      </w:r>
      <w:bookmarkEnd w:id="10"/>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2113FE99">
      <w:pPr>
        <w:rPr>
          <w:rFonts w:eastAsia="宋体"/>
          <w:b/>
          <w:bCs/>
          <w:kern w:val="0"/>
          <w:sz w:val="30"/>
          <w:szCs w:val="30"/>
        </w:rPr>
      </w:pPr>
      <w:bookmarkStart w:id="13" w:name="_Toc6511"/>
      <w:r>
        <w:rPr>
          <w:rFonts w:hint="eastAsia" w:eastAsia="宋体"/>
          <w:b/>
          <w:bCs/>
          <w:kern w:val="0"/>
          <w:sz w:val="30"/>
          <w:szCs w:val="30"/>
        </w:rPr>
        <w:br w:type="page"/>
      </w:r>
    </w:p>
    <w:p w14:paraId="564D762C">
      <w:pPr>
        <w:numPr>
          <w:ilvl w:val="0"/>
          <w:numId w:val="8"/>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3"/>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议价评审规则</w:t>
      </w:r>
    </w:p>
    <w:p w14:paraId="1F49ED4B">
      <w:pPr>
        <w:pStyle w:val="3"/>
        <w:rPr>
          <w:rFonts w:ascii="宋体" w:hAnsi="宋体" w:eastAsia="宋体"/>
          <w:b/>
          <w:snapToGrid w:val="0"/>
          <w:kern w:val="0"/>
        </w:rPr>
      </w:pPr>
      <w:bookmarkStart w:id="14" w:name="_Toc4023"/>
      <w:r>
        <w:rPr>
          <w:rFonts w:hint="eastAsia" w:ascii="宋体" w:hAnsi="宋体" w:eastAsia="宋体"/>
          <w:b/>
          <w:snapToGrid w:val="0"/>
          <w:kern w:val="0"/>
        </w:rPr>
        <w:t>一、开标</w:t>
      </w:r>
      <w:bookmarkEnd w:id="14"/>
    </w:p>
    <w:p w14:paraId="4A9ED6B2">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5" w:name="_Toc6104"/>
      <w:r>
        <w:rPr>
          <w:rFonts w:hint="eastAsia" w:ascii="宋体" w:hAnsi="宋体" w:eastAsia="宋体"/>
          <w:b/>
          <w:snapToGrid w:val="0"/>
          <w:kern w:val="0"/>
        </w:rPr>
        <w:t>二、议价小组组成</w:t>
      </w:r>
      <w:bookmarkEnd w:id="15"/>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6"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6"/>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7"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7"/>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8" w:name="_Hlk135149380"/>
      <w:r>
        <w:rPr>
          <w:rFonts w:hint="eastAsia" w:eastAsia="宋体" w:cs="仿宋"/>
          <w:kern w:val="2"/>
          <w:sz w:val="21"/>
          <w:szCs w:val="21"/>
        </w:rPr>
        <w:t>，并可分别对供应商进行一对一的多次谈判。</w:t>
      </w:r>
      <w:bookmarkEnd w:id="18"/>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9" w:name="_Hlk135149149"/>
      <w:r>
        <w:rPr>
          <w:rFonts w:hint="eastAsia" w:eastAsia="宋体" w:cs="仿宋"/>
          <w:kern w:val="2"/>
          <w:sz w:val="21"/>
          <w:szCs w:val="21"/>
        </w:rPr>
        <w:t>售后服务等因素综合评判</w:t>
      </w:r>
      <w:bookmarkEnd w:id="19"/>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20" w:name="_Toc3487"/>
      <w:r>
        <w:rPr>
          <w:rFonts w:hint="eastAsia" w:ascii="宋体" w:hAnsi="宋体" w:eastAsia="宋体"/>
          <w:b/>
          <w:snapToGrid w:val="0"/>
          <w:kern w:val="0"/>
        </w:rPr>
        <w:t>五、议价评审记录</w:t>
      </w:r>
      <w:bookmarkEnd w:id="20"/>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1" w:name="_Toc9297"/>
      <w:r>
        <w:rPr>
          <w:rFonts w:hint="eastAsia" w:ascii="宋体" w:hAnsi="宋体" w:eastAsia="宋体"/>
          <w:b/>
          <w:snapToGrid w:val="0"/>
          <w:kern w:val="0"/>
        </w:rPr>
        <w:t>六、保密及其它注意事项</w:t>
      </w:r>
      <w:bookmarkEnd w:id="21"/>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2" w:name="_Toc9217"/>
      <w:bookmarkStart w:id="23" w:name="_Hlk72439043"/>
      <w:r>
        <w:rPr>
          <w:rFonts w:hint="eastAsia" w:ascii="方正小标宋简体" w:hAnsi="方正小标宋简体" w:eastAsia="方正小标宋简体" w:cs="方正小标宋简体"/>
          <w:kern w:val="0"/>
          <w:sz w:val="44"/>
          <w:szCs w:val="36"/>
        </w:rPr>
        <w:t xml:space="preserve">第四章 </w:t>
      </w:r>
      <w:bookmarkStart w:id="24" w:name="_Hlk135152312"/>
      <w:r>
        <w:rPr>
          <w:rFonts w:hint="eastAsia" w:ascii="方正小标宋简体" w:hAnsi="方正小标宋简体" w:eastAsia="方正小标宋简体" w:cs="方正小标宋简体"/>
          <w:kern w:val="0"/>
          <w:sz w:val="44"/>
          <w:szCs w:val="36"/>
        </w:rPr>
        <w:t>投标须知</w:t>
      </w:r>
      <w:bookmarkEnd w:id="22"/>
      <w:bookmarkEnd w:id="24"/>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5" w:name="_Toc7694"/>
      <w:r>
        <w:rPr>
          <w:rFonts w:hint="eastAsia" w:asciiTheme="minorEastAsia" w:hAnsiTheme="minorEastAsia" w:cstheme="minorEastAsia"/>
          <w:b/>
          <w:bCs/>
          <w:snapToGrid w:val="0"/>
          <w:szCs w:val="24"/>
        </w:rPr>
        <w:t>一、报名及报名的撤销</w:t>
      </w:r>
      <w:bookmarkEnd w:id="25"/>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6" w:name="_Toc14143"/>
      <w:r>
        <w:rPr>
          <w:rFonts w:hint="eastAsia" w:asciiTheme="minorEastAsia" w:hAnsiTheme="minorEastAsia" w:cstheme="minorEastAsia"/>
          <w:b/>
          <w:bCs/>
        </w:rPr>
        <w:t>二、响应文件的编写</w:t>
      </w:r>
      <w:bookmarkEnd w:id="26"/>
    </w:p>
    <w:p w14:paraId="4AD8A9CF">
      <w:pPr>
        <w:adjustRightInd w:val="0"/>
        <w:spacing w:line="360" w:lineRule="auto"/>
        <w:outlineLvl w:val="2"/>
        <w:rPr>
          <w:rFonts w:asciiTheme="minorEastAsia" w:hAnsiTheme="minorEastAsia" w:cstheme="minorEastAsia"/>
          <w:b/>
          <w:snapToGrid w:val="0"/>
          <w:kern w:val="0"/>
        </w:rPr>
      </w:pPr>
      <w:bookmarkStart w:id="27" w:name="_Toc15759"/>
      <w:r>
        <w:rPr>
          <w:rFonts w:hint="eastAsia" w:asciiTheme="minorEastAsia" w:hAnsiTheme="minorEastAsia" w:cstheme="minorEastAsia"/>
          <w:b/>
          <w:snapToGrid w:val="0"/>
          <w:kern w:val="0"/>
        </w:rPr>
        <w:t>1、 响应语言及计量单位</w:t>
      </w:r>
      <w:bookmarkEnd w:id="27"/>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8" w:name="_Toc15652"/>
      <w:r>
        <w:rPr>
          <w:rFonts w:hint="eastAsia" w:asciiTheme="minorEastAsia" w:hAnsiTheme="minorEastAsia" w:cstheme="minorEastAsia"/>
          <w:b/>
          <w:snapToGrid w:val="0"/>
          <w:kern w:val="0"/>
        </w:rPr>
        <w:t>2、 响应文件的组成</w:t>
      </w:r>
      <w:bookmarkEnd w:id="28"/>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9" w:name="_Toc11850"/>
      <w:r>
        <w:rPr>
          <w:rFonts w:hint="eastAsia" w:asciiTheme="minorEastAsia" w:hAnsiTheme="minorEastAsia" w:cstheme="minorEastAsia"/>
          <w:b/>
          <w:snapToGrid w:val="0"/>
          <w:kern w:val="0"/>
        </w:rPr>
        <w:t>3、 响应文件格式</w:t>
      </w:r>
      <w:bookmarkEnd w:id="29"/>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30" w:name="_Toc21716"/>
      <w:r>
        <w:rPr>
          <w:rFonts w:hint="eastAsia" w:asciiTheme="minorEastAsia" w:hAnsiTheme="minorEastAsia" w:cstheme="minorEastAsia"/>
          <w:b/>
          <w:snapToGrid w:val="0"/>
          <w:kern w:val="0"/>
        </w:rPr>
        <w:t>4、 响应报价</w:t>
      </w:r>
      <w:bookmarkEnd w:id="30"/>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1" w:name="q7"/>
      <w:bookmarkEnd w:id="31"/>
      <w:bookmarkStart w:id="32" w:name="_Toc2301"/>
      <w:bookmarkStart w:id="33" w:name="_Toc22066"/>
      <w:r>
        <w:rPr>
          <w:rFonts w:hint="eastAsia" w:asciiTheme="minorEastAsia" w:hAnsiTheme="minorEastAsia" w:cstheme="minorEastAsia"/>
          <w:b/>
          <w:bCs/>
          <w:snapToGrid w:val="0"/>
          <w:szCs w:val="24"/>
        </w:rPr>
        <w:t>三、响应文件的递交</w:t>
      </w:r>
      <w:bookmarkEnd w:id="32"/>
      <w:bookmarkEnd w:id="33"/>
    </w:p>
    <w:p w14:paraId="4BEA35D4">
      <w:pPr>
        <w:adjustRightInd w:val="0"/>
        <w:spacing w:line="360" w:lineRule="auto"/>
        <w:outlineLvl w:val="2"/>
        <w:rPr>
          <w:rFonts w:asciiTheme="minorEastAsia" w:hAnsiTheme="minorEastAsia" w:cstheme="minorEastAsia"/>
          <w:b/>
          <w:snapToGrid w:val="0"/>
          <w:kern w:val="0"/>
        </w:rPr>
      </w:pPr>
      <w:bookmarkStart w:id="34" w:name="_Toc2645"/>
      <w:r>
        <w:rPr>
          <w:rFonts w:hint="eastAsia" w:asciiTheme="minorEastAsia" w:hAnsiTheme="minorEastAsia" w:cstheme="minorEastAsia"/>
          <w:b/>
          <w:snapToGrid w:val="0"/>
          <w:kern w:val="0"/>
        </w:rPr>
        <w:t>1、响应文件的密封和标记</w:t>
      </w:r>
      <w:bookmarkEnd w:id="34"/>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5" w:name="_Toc16297"/>
      <w:r>
        <w:rPr>
          <w:rFonts w:hint="eastAsia" w:asciiTheme="minorEastAsia" w:hAnsiTheme="minorEastAsia" w:cstheme="minorEastAsia"/>
          <w:b/>
          <w:snapToGrid w:val="0"/>
          <w:kern w:val="0"/>
        </w:rPr>
        <w:t>2、递交响应文件的时间、地点以及截止时间</w:t>
      </w:r>
      <w:bookmarkEnd w:id="35"/>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6"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6"/>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7" w:name="_Toc1072"/>
      <w:r>
        <w:rPr>
          <w:rFonts w:hint="eastAsia" w:asciiTheme="minorEastAsia" w:hAnsiTheme="minorEastAsia" w:cstheme="minorEastAsia"/>
          <w:b/>
          <w:bCs/>
          <w:kern w:val="2"/>
          <w:szCs w:val="24"/>
        </w:rPr>
        <w:t>五、视为响应供应商串通，其投标无效的情况</w:t>
      </w:r>
      <w:bookmarkEnd w:id="37"/>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3"/>
    <w:p w14:paraId="66AB0197">
      <w:pPr>
        <w:numPr>
          <w:ilvl w:val="0"/>
          <w:numId w:val="15"/>
        </w:numPr>
        <w:jc w:val="center"/>
        <w:outlineLvl w:val="0"/>
        <w:rPr>
          <w:rFonts w:ascii="方正小标宋简体" w:hAnsi="方正小标宋简体" w:eastAsia="方正小标宋简体" w:cs="方正小标宋简体"/>
          <w:kern w:val="0"/>
          <w:sz w:val="44"/>
          <w:szCs w:val="36"/>
        </w:rPr>
      </w:pPr>
      <w:bookmarkStart w:id="38" w:name="_Toc3265"/>
      <w:r>
        <w:rPr>
          <w:rFonts w:hint="eastAsia" w:ascii="方正小标宋简体" w:hAnsi="方正小标宋简体" w:eastAsia="方正小标宋简体" w:cs="方正小标宋简体"/>
          <w:kern w:val="0"/>
          <w:sz w:val="44"/>
          <w:szCs w:val="36"/>
        </w:rPr>
        <w:t>合同文本</w:t>
      </w:r>
      <w:bookmarkEnd w:id="38"/>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9" w:name="_Toc73521586"/>
      <w:bookmarkStart w:id="40" w:name="_Toc73517679"/>
      <w:bookmarkStart w:id="41" w:name="_Toc73518157"/>
      <w:bookmarkStart w:id="42" w:name="_Toc100052408"/>
      <w:bookmarkStart w:id="43" w:name="_Toc73521674"/>
      <w:bookmarkStart w:id="44" w:name="_Toc17773"/>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9"/>
      <w:bookmarkEnd w:id="40"/>
      <w:bookmarkEnd w:id="41"/>
      <w:bookmarkEnd w:id="42"/>
      <w:bookmarkEnd w:id="43"/>
      <w:bookmarkEnd w:id="44"/>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5" w:name="_Toc73517680"/>
      <w:bookmarkStart w:id="46" w:name="_Toc73518158"/>
      <w:bookmarkStart w:id="47" w:name="_Toc100052409"/>
      <w:bookmarkStart w:id="48" w:name="_Toc73521675"/>
      <w:bookmarkStart w:id="49" w:name="_Toc73521587"/>
      <w:bookmarkStart w:id="50" w:name="_Toc11263"/>
      <w:r>
        <w:rPr>
          <w:rFonts w:hint="eastAsia" w:asciiTheme="minorEastAsia" w:hAnsiTheme="minorEastAsia" w:cstheme="minorEastAsia"/>
        </w:rPr>
        <w:t>2．</w:t>
      </w:r>
      <w:bookmarkEnd w:id="45"/>
      <w:bookmarkEnd w:id="46"/>
      <w:bookmarkEnd w:id="47"/>
      <w:bookmarkEnd w:id="48"/>
      <w:bookmarkEnd w:id="49"/>
      <w:r>
        <w:rPr>
          <w:rFonts w:hint="eastAsia" w:asciiTheme="minorEastAsia" w:hAnsiTheme="minorEastAsia" w:cstheme="minorEastAsia"/>
        </w:rPr>
        <w:t>接受和拒绝任何或所有投标的权力</w:t>
      </w:r>
      <w:bookmarkEnd w:id="50"/>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1" w:name="_Toc28536"/>
      <w:bookmarkStart w:id="52" w:name="_Toc73517682"/>
      <w:bookmarkStart w:id="53" w:name="_Toc73518160"/>
      <w:bookmarkStart w:id="54" w:name="_Toc73521677"/>
      <w:bookmarkStart w:id="55" w:name="_Toc73521589"/>
      <w:bookmarkStart w:id="56" w:name="_Toc100052410"/>
      <w:r>
        <w:rPr>
          <w:rFonts w:hint="eastAsia" w:asciiTheme="minorEastAsia" w:hAnsiTheme="minorEastAsia" w:cstheme="minorEastAsia"/>
        </w:rPr>
        <w:t>3．合同的签订</w:t>
      </w:r>
      <w:bookmarkEnd w:id="51"/>
      <w:bookmarkEnd w:id="52"/>
      <w:bookmarkEnd w:id="53"/>
      <w:bookmarkEnd w:id="54"/>
      <w:bookmarkEnd w:id="55"/>
      <w:bookmarkEnd w:id="56"/>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7"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7"/>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8"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8"/>
    </w:p>
    <w:p w14:paraId="101733F1">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9"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9"/>
    </w:p>
    <w:p w14:paraId="23A72673">
      <w:pPr>
        <w:outlineLvl w:val="2"/>
        <w:rPr>
          <w:rFonts w:ascii="宋体" w:hAnsi="宋体" w:eastAsia="宋体" w:cs="宋体"/>
          <w:b/>
          <w:bCs/>
          <w:color w:val="000000" w:themeColor="text1"/>
          <w:sz w:val="24"/>
          <w14:textFill>
            <w14:solidFill>
              <w14:schemeClr w14:val="tx1"/>
            </w14:solidFill>
          </w14:textFill>
        </w:rPr>
      </w:pPr>
      <w:bookmarkStart w:id="60" w:name="_Toc8491"/>
      <w:r>
        <w:rPr>
          <w:rFonts w:hint="eastAsia" w:ascii="宋体" w:hAnsi="宋体" w:eastAsia="宋体" w:cs="宋体"/>
          <w:b/>
          <w:bCs/>
          <w:sz w:val="24"/>
        </w:rPr>
        <w:t>（一）</w:t>
      </w:r>
      <w:bookmarkEnd w:id="60"/>
      <w:bookmarkStart w:id="61" w:name="_Toc24118"/>
      <w:r>
        <w:rPr>
          <w:rFonts w:hint="eastAsia" w:ascii="宋体" w:hAnsi="宋体" w:eastAsia="宋体" w:cs="宋体"/>
          <w:b/>
          <w:bCs/>
          <w:color w:val="000000" w:themeColor="text1"/>
          <w:sz w:val="24"/>
          <w14:textFill>
            <w14:solidFill>
              <w14:schemeClr w14:val="tx1"/>
            </w14:solidFill>
          </w14:textFill>
        </w:rPr>
        <w:t>符合性自查表</w:t>
      </w:r>
      <w:bookmarkEnd w:id="61"/>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2" w:name="_Toc2542"/>
      <w:r>
        <w:rPr>
          <w:rFonts w:eastAsia="宋体"/>
          <w:b/>
          <w:sz w:val="24"/>
        </w:rPr>
        <w:t>（此处加盖投标人单位公章）</w:t>
      </w:r>
      <w:bookmarkEnd w:id="62"/>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3"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3"/>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5" w:name="_Toc12871"/>
      <w:bookmarkStart w:id="66" w:name="_Toc57128634"/>
      <w:r>
        <w:rPr>
          <w:rFonts w:hint="eastAsia" w:ascii="方正小标宋简体" w:hAnsi="方正小标宋简体" w:eastAsia="方正小标宋简体" w:cs="方正小标宋简体"/>
          <w:bCs/>
          <w:color w:val="000000"/>
          <w:sz w:val="28"/>
          <w:szCs w:val="28"/>
        </w:rPr>
        <w:t>（二）签约承诺函</w:t>
      </w:r>
      <w:bookmarkEnd w:id="65"/>
      <w:bookmarkEnd w:id="66"/>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042F337E">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FAC7B65">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3DB41295">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3"/>
    </w:p>
    <w:p w14:paraId="5669DC28">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057D7B3">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411651E1">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67CF3166">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1235FA9D">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35084563">
      <w:pPr>
        <w:pStyle w:val="3"/>
        <w:numPr>
          <w:ilvl w:val="0"/>
          <w:numId w:val="23"/>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r>
        <w:rPr>
          <w:rFonts w:hint="eastAsia" w:ascii="方正小标宋简体" w:hAnsi="方正小标宋简体" w:eastAsia="方正小标宋简体" w:cs="方正小标宋简体"/>
          <w:bCs/>
          <w:color w:val="000000"/>
          <w:sz w:val="28"/>
          <w:szCs w:val="28"/>
        </w:rPr>
        <w:t>（九）法定代表人证明书</w:t>
      </w:r>
      <w:bookmarkEnd w:id="86"/>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7" w:name="_Toc17209"/>
      <w:r>
        <w:rPr>
          <w:rFonts w:eastAsia="宋体"/>
          <w:b/>
          <w:sz w:val="24"/>
        </w:rPr>
        <w:t>（此处加盖投标人单位公章）</w:t>
      </w:r>
      <w:bookmarkEnd w:id="87"/>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F8F5B23">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90" w:name="_Toc32229"/>
      <w:r>
        <w:rPr>
          <w:rFonts w:eastAsia="宋体"/>
          <w:b/>
          <w:sz w:val="24"/>
        </w:rPr>
        <w:t>（此处加盖投标人单位公章）</w:t>
      </w:r>
      <w:bookmarkEnd w:id="90"/>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2" w:name="_Toc2252"/>
      <w:r>
        <w:rPr>
          <w:rFonts w:eastAsia="宋体"/>
          <w:b/>
          <w:sz w:val="24"/>
        </w:rPr>
        <w:t>（此处加盖投标人单位公章）</w:t>
      </w:r>
      <w:bookmarkEnd w:id="92"/>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10C6F051">
      <w:pPr>
        <w:rPr>
          <w:rFonts w:hint="eastAsia" w:ascii="方正小标宋_GBK" w:eastAsia="方正小标宋_GBK" w:hAnsiTheme="minorEastAsia"/>
          <w:b w:val="0"/>
          <w:bCs w:val="0"/>
          <w:sz w:val="32"/>
          <w:szCs w:val="32"/>
        </w:rPr>
      </w:pPr>
      <w:bookmarkStart w:id="93" w:name="_Toc12311"/>
      <w:bookmarkStart w:id="94" w:name="_Hlk126044986"/>
      <w:bookmarkStart w:id="95" w:name="_Hlk126913563"/>
      <w:r>
        <w:rPr>
          <w:rFonts w:hint="eastAsia" w:ascii="方正小标宋_GBK" w:eastAsia="方正小标宋_GBK" w:hAnsiTheme="minorEastAsia"/>
          <w:b w:val="0"/>
          <w:bCs w:val="0"/>
          <w:sz w:val="32"/>
          <w:szCs w:val="32"/>
        </w:rPr>
        <w:br w:type="page"/>
      </w:r>
    </w:p>
    <w:p w14:paraId="5638D2FF">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3"/>
    </w:p>
    <w:p w14:paraId="2FE8F8AE"/>
    <w:bookmarkEnd w:id="94"/>
    <w:bookmarkEnd w:id="95"/>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2EF625CD">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0D8308-942C-42FE-AD7D-3203AD98A4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156C30E-BC4C-48BC-9681-1C4DDD546E3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5CC20D87-78AF-4172-8616-18F93AF71260}"/>
  </w:font>
  <w:font w:name="华文中宋">
    <w:panose1 w:val="02010600040101010101"/>
    <w:charset w:val="86"/>
    <w:family w:val="auto"/>
    <w:pitch w:val="default"/>
    <w:sig w:usb0="00000287" w:usb1="080F0000" w:usb2="00000000" w:usb3="00000000" w:csb0="0004009F" w:csb1="DFD70000"/>
    <w:embedRegular r:id="rId4" w:fontKey="{FE57CDF1-0EC0-4E49-B086-74F0C2701EA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28C84263-75AD-41EF-B32D-579F55FA29FA}"/>
  </w:font>
  <w:font w:name="方正小标宋简体">
    <w:panose1 w:val="03000509000000000000"/>
    <w:charset w:val="86"/>
    <w:family w:val="auto"/>
    <w:pitch w:val="default"/>
    <w:sig w:usb0="00000001" w:usb1="080E0000" w:usb2="00000000" w:usb3="00000000" w:csb0="00040000" w:csb1="00000000"/>
    <w:embedRegular r:id="rId6" w:fontKey="{3E92DB17-AB23-4E28-8C49-942B5FAED147}"/>
  </w:font>
  <w:font w:name="仿宋">
    <w:panose1 w:val="02010609060101010101"/>
    <w:charset w:val="86"/>
    <w:family w:val="modern"/>
    <w:pitch w:val="default"/>
    <w:sig w:usb0="800002BF" w:usb1="38CF7CFA" w:usb2="00000016" w:usb3="00000000" w:csb0="00040001" w:csb1="00000000"/>
    <w:embedRegular r:id="rId7" w:fontKey="{3A8397A4-3F92-4C09-943D-7C43304C2320}"/>
  </w:font>
  <w:font w:name="微软雅黑">
    <w:panose1 w:val="020B0503020204020204"/>
    <w:charset w:val="86"/>
    <w:family w:val="swiss"/>
    <w:pitch w:val="default"/>
    <w:sig w:usb0="80000287" w:usb1="2ACF3C50" w:usb2="00000016" w:usb3="00000000" w:csb0="0004001F" w:csb1="00000000"/>
    <w:embedRegular r:id="rId8" w:fontKey="{BE5DCB4A-463D-4281-9E9D-9EB025911A99}"/>
  </w:font>
  <w:font w:name="方正小标宋_GBK">
    <w:panose1 w:val="03000509000000000000"/>
    <w:charset w:val="86"/>
    <w:family w:val="script"/>
    <w:pitch w:val="default"/>
    <w:sig w:usb0="00000001" w:usb1="080E0000" w:usb2="00000000" w:usb3="00000000" w:csb0="00040000" w:csb1="00000000"/>
    <w:embedRegular r:id="rId9" w:fontKey="{BEE94E2D-CDCF-4BEC-8C82-2F74E477D882}"/>
  </w:font>
  <w:font w:name="WPSEMBED11">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C50601A"/>
    <w:multiLevelType w:val="singleLevel"/>
    <w:tmpl w:val="3C50601A"/>
    <w:lvl w:ilvl="0" w:tentative="0">
      <w:start w:val="2"/>
      <w:numFmt w:val="chineseCounting"/>
      <w:suff w:val="space"/>
      <w:lvlText w:val="第%1部分"/>
      <w:lvlJc w:val="left"/>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E0DAD5D"/>
    <w:multiLevelType w:val="singleLevel"/>
    <w:tmpl w:val="5E0DAD5D"/>
    <w:lvl w:ilvl="0" w:tentative="0">
      <w:start w:val="1"/>
      <w:numFmt w:val="decimal"/>
      <w:lvlText w:val="(%1)"/>
      <w:lvlJc w:val="left"/>
      <w:pPr>
        <w:ind w:left="425" w:hanging="425"/>
      </w:pPr>
      <w:rPr>
        <w:rFonts w:hint="default"/>
      </w:r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5"/>
  </w:num>
  <w:num w:numId="5">
    <w:abstractNumId w:val="12"/>
  </w:num>
  <w:num w:numId="6">
    <w:abstractNumId w:val="7"/>
  </w:num>
  <w:num w:numId="7">
    <w:abstractNumId w:val="13"/>
  </w:num>
  <w:num w:numId="8">
    <w:abstractNumId w:val="18"/>
  </w:num>
  <w:num w:numId="9">
    <w:abstractNumId w:val="17"/>
  </w:num>
  <w:num w:numId="10">
    <w:abstractNumId w:val="1"/>
  </w:num>
  <w:num w:numId="11">
    <w:abstractNumId w:val="14"/>
  </w:num>
  <w:num w:numId="12">
    <w:abstractNumId w:val="20"/>
  </w:num>
  <w:num w:numId="13">
    <w:abstractNumId w:val="8"/>
  </w:num>
  <w:num w:numId="14">
    <w:abstractNumId w:val="22"/>
  </w:num>
  <w:num w:numId="15">
    <w:abstractNumId w:val="11"/>
  </w:num>
  <w:num w:numId="16">
    <w:abstractNumId w:val="16"/>
  </w:num>
  <w:num w:numId="17">
    <w:abstractNumId w:val="3"/>
  </w:num>
  <w:num w:numId="18">
    <w:abstractNumId w:val="15"/>
  </w:num>
  <w:num w:numId="19">
    <w:abstractNumId w:val="6"/>
  </w:num>
  <w:num w:numId="20">
    <w:abstractNumId w:val="4"/>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0B6A0C"/>
    <w:rsid w:val="02AF785C"/>
    <w:rsid w:val="034F5608"/>
    <w:rsid w:val="03BD1657"/>
    <w:rsid w:val="045875B5"/>
    <w:rsid w:val="04BE31D4"/>
    <w:rsid w:val="05AC5740"/>
    <w:rsid w:val="066426AB"/>
    <w:rsid w:val="06F55595"/>
    <w:rsid w:val="0722284A"/>
    <w:rsid w:val="07A05F2C"/>
    <w:rsid w:val="07B278D3"/>
    <w:rsid w:val="08403A7A"/>
    <w:rsid w:val="085546C8"/>
    <w:rsid w:val="08F105C3"/>
    <w:rsid w:val="08FD33B5"/>
    <w:rsid w:val="094840A2"/>
    <w:rsid w:val="09491AC5"/>
    <w:rsid w:val="099212CA"/>
    <w:rsid w:val="09FA4319"/>
    <w:rsid w:val="0A263C68"/>
    <w:rsid w:val="0A5667CD"/>
    <w:rsid w:val="0BE95409"/>
    <w:rsid w:val="0C1E733C"/>
    <w:rsid w:val="0FAD08ED"/>
    <w:rsid w:val="10A23C41"/>
    <w:rsid w:val="14175BB0"/>
    <w:rsid w:val="14854AFE"/>
    <w:rsid w:val="14922FE9"/>
    <w:rsid w:val="14F930FD"/>
    <w:rsid w:val="15180BA4"/>
    <w:rsid w:val="152629B8"/>
    <w:rsid w:val="15DC43E5"/>
    <w:rsid w:val="16503E5D"/>
    <w:rsid w:val="16714F7E"/>
    <w:rsid w:val="17F830F6"/>
    <w:rsid w:val="181C32D5"/>
    <w:rsid w:val="188340A0"/>
    <w:rsid w:val="18C84236"/>
    <w:rsid w:val="18CA2E04"/>
    <w:rsid w:val="190B1E92"/>
    <w:rsid w:val="19285BF1"/>
    <w:rsid w:val="193B1288"/>
    <w:rsid w:val="19B05F35"/>
    <w:rsid w:val="1AF94279"/>
    <w:rsid w:val="1D471F18"/>
    <w:rsid w:val="1D5F77B4"/>
    <w:rsid w:val="1DD43CFE"/>
    <w:rsid w:val="1EAB60A6"/>
    <w:rsid w:val="1EAE474B"/>
    <w:rsid w:val="1F1B41F1"/>
    <w:rsid w:val="1F9F0833"/>
    <w:rsid w:val="20B25CBE"/>
    <w:rsid w:val="221E4780"/>
    <w:rsid w:val="22544EFC"/>
    <w:rsid w:val="227616EA"/>
    <w:rsid w:val="2367560F"/>
    <w:rsid w:val="24A25977"/>
    <w:rsid w:val="24B05A43"/>
    <w:rsid w:val="25335A76"/>
    <w:rsid w:val="257965BE"/>
    <w:rsid w:val="25826736"/>
    <w:rsid w:val="25897742"/>
    <w:rsid w:val="26A86584"/>
    <w:rsid w:val="279F35CF"/>
    <w:rsid w:val="27C9064C"/>
    <w:rsid w:val="281B3EE1"/>
    <w:rsid w:val="28B36D99"/>
    <w:rsid w:val="29334D29"/>
    <w:rsid w:val="2A005F31"/>
    <w:rsid w:val="2BBE4A09"/>
    <w:rsid w:val="2C5869EA"/>
    <w:rsid w:val="2C916CE1"/>
    <w:rsid w:val="2DF5037E"/>
    <w:rsid w:val="2E9A2708"/>
    <w:rsid w:val="2F1B7FF5"/>
    <w:rsid w:val="2F6724A1"/>
    <w:rsid w:val="2FA22E86"/>
    <w:rsid w:val="31EE248D"/>
    <w:rsid w:val="33097BA0"/>
    <w:rsid w:val="33346566"/>
    <w:rsid w:val="33BF2903"/>
    <w:rsid w:val="340B487E"/>
    <w:rsid w:val="345C5492"/>
    <w:rsid w:val="34876E3B"/>
    <w:rsid w:val="34D53509"/>
    <w:rsid w:val="34DB5F91"/>
    <w:rsid w:val="35AF70D3"/>
    <w:rsid w:val="36DB2EFD"/>
    <w:rsid w:val="37295B73"/>
    <w:rsid w:val="39C14A43"/>
    <w:rsid w:val="39DD2526"/>
    <w:rsid w:val="3A736BBC"/>
    <w:rsid w:val="3A8D72B7"/>
    <w:rsid w:val="3B0F15A5"/>
    <w:rsid w:val="3B83690E"/>
    <w:rsid w:val="3CFA5C43"/>
    <w:rsid w:val="3D5460D2"/>
    <w:rsid w:val="3E0253AC"/>
    <w:rsid w:val="3E344619"/>
    <w:rsid w:val="3EF21FA7"/>
    <w:rsid w:val="3EF873ED"/>
    <w:rsid w:val="3F2F4154"/>
    <w:rsid w:val="3F4B0544"/>
    <w:rsid w:val="3FAD68FA"/>
    <w:rsid w:val="3FED5CCD"/>
    <w:rsid w:val="400D4BB3"/>
    <w:rsid w:val="402204A1"/>
    <w:rsid w:val="409C282B"/>
    <w:rsid w:val="40D66450"/>
    <w:rsid w:val="416D6A0E"/>
    <w:rsid w:val="417D1DC2"/>
    <w:rsid w:val="41972818"/>
    <w:rsid w:val="42152313"/>
    <w:rsid w:val="43150EA6"/>
    <w:rsid w:val="44EE02A0"/>
    <w:rsid w:val="44F90333"/>
    <w:rsid w:val="4514556A"/>
    <w:rsid w:val="46756E72"/>
    <w:rsid w:val="46813D02"/>
    <w:rsid w:val="4732450F"/>
    <w:rsid w:val="474A1318"/>
    <w:rsid w:val="47675D33"/>
    <w:rsid w:val="4777184C"/>
    <w:rsid w:val="47D96442"/>
    <w:rsid w:val="47FD5FB7"/>
    <w:rsid w:val="487D096B"/>
    <w:rsid w:val="498F35C1"/>
    <w:rsid w:val="4A0A5CC7"/>
    <w:rsid w:val="4A19312E"/>
    <w:rsid w:val="4A307253"/>
    <w:rsid w:val="4A6C0158"/>
    <w:rsid w:val="4AB41B33"/>
    <w:rsid w:val="4ABA7703"/>
    <w:rsid w:val="4B59602E"/>
    <w:rsid w:val="4B8E1BD2"/>
    <w:rsid w:val="4BFF2BDA"/>
    <w:rsid w:val="4C7468A9"/>
    <w:rsid w:val="4CBB3066"/>
    <w:rsid w:val="4D1818A3"/>
    <w:rsid w:val="4D473FEB"/>
    <w:rsid w:val="4DC87CC0"/>
    <w:rsid w:val="4EE429D4"/>
    <w:rsid w:val="4EF40966"/>
    <w:rsid w:val="4EF852D8"/>
    <w:rsid w:val="4F6008F2"/>
    <w:rsid w:val="4FC4345D"/>
    <w:rsid w:val="4FDF1192"/>
    <w:rsid w:val="5012408F"/>
    <w:rsid w:val="50637FC5"/>
    <w:rsid w:val="50BC39B4"/>
    <w:rsid w:val="50C56D57"/>
    <w:rsid w:val="512C7CC3"/>
    <w:rsid w:val="513E0CC7"/>
    <w:rsid w:val="528F4EB5"/>
    <w:rsid w:val="52D84B3B"/>
    <w:rsid w:val="52DC6E02"/>
    <w:rsid w:val="52EB37B7"/>
    <w:rsid w:val="532D1418"/>
    <w:rsid w:val="5359798D"/>
    <w:rsid w:val="53844041"/>
    <w:rsid w:val="53E265AD"/>
    <w:rsid w:val="53E47AF0"/>
    <w:rsid w:val="54664E09"/>
    <w:rsid w:val="55A04AD5"/>
    <w:rsid w:val="55BA07E5"/>
    <w:rsid w:val="564156AD"/>
    <w:rsid w:val="573E4B0A"/>
    <w:rsid w:val="57ED67F5"/>
    <w:rsid w:val="58077917"/>
    <w:rsid w:val="592E63F2"/>
    <w:rsid w:val="59382D48"/>
    <w:rsid w:val="59462FFB"/>
    <w:rsid w:val="59F41C2F"/>
    <w:rsid w:val="5AC3366B"/>
    <w:rsid w:val="5B264C2B"/>
    <w:rsid w:val="5BC86C25"/>
    <w:rsid w:val="5C323B9F"/>
    <w:rsid w:val="5C3E0583"/>
    <w:rsid w:val="5C6B34A4"/>
    <w:rsid w:val="5C6C28AE"/>
    <w:rsid w:val="5ED05841"/>
    <w:rsid w:val="5EED3477"/>
    <w:rsid w:val="5F200575"/>
    <w:rsid w:val="5F2E6A0B"/>
    <w:rsid w:val="5FAA71AE"/>
    <w:rsid w:val="5FE164F2"/>
    <w:rsid w:val="5FEA46E0"/>
    <w:rsid w:val="5FEE1524"/>
    <w:rsid w:val="5FF41FC3"/>
    <w:rsid w:val="6005031D"/>
    <w:rsid w:val="60FE4811"/>
    <w:rsid w:val="61191A0A"/>
    <w:rsid w:val="627B3857"/>
    <w:rsid w:val="62EF4D77"/>
    <w:rsid w:val="63147DC8"/>
    <w:rsid w:val="63195E00"/>
    <w:rsid w:val="63BD55FE"/>
    <w:rsid w:val="64316DF7"/>
    <w:rsid w:val="64403998"/>
    <w:rsid w:val="651915C4"/>
    <w:rsid w:val="65F00D0C"/>
    <w:rsid w:val="65F93378"/>
    <w:rsid w:val="660A4DD7"/>
    <w:rsid w:val="66210948"/>
    <w:rsid w:val="664E282B"/>
    <w:rsid w:val="67714DB8"/>
    <w:rsid w:val="677E3D99"/>
    <w:rsid w:val="68A40BAF"/>
    <w:rsid w:val="69361CC8"/>
    <w:rsid w:val="69ED5F25"/>
    <w:rsid w:val="69F6673E"/>
    <w:rsid w:val="6A480FCB"/>
    <w:rsid w:val="6A8F3D70"/>
    <w:rsid w:val="6AB73D58"/>
    <w:rsid w:val="6B796423"/>
    <w:rsid w:val="6B99622E"/>
    <w:rsid w:val="6BCF7654"/>
    <w:rsid w:val="6C1F1AD0"/>
    <w:rsid w:val="6C3111FA"/>
    <w:rsid w:val="6C3F10DE"/>
    <w:rsid w:val="6CC61070"/>
    <w:rsid w:val="6CE25242"/>
    <w:rsid w:val="6D856264"/>
    <w:rsid w:val="6DC009DD"/>
    <w:rsid w:val="6E5B59D0"/>
    <w:rsid w:val="6E9758D2"/>
    <w:rsid w:val="6ECB37B7"/>
    <w:rsid w:val="6F5A4D28"/>
    <w:rsid w:val="710D3D1B"/>
    <w:rsid w:val="711B37E9"/>
    <w:rsid w:val="718D3553"/>
    <w:rsid w:val="71F24A38"/>
    <w:rsid w:val="72A0767C"/>
    <w:rsid w:val="732D33F2"/>
    <w:rsid w:val="73505C42"/>
    <w:rsid w:val="74B925FE"/>
    <w:rsid w:val="7542758E"/>
    <w:rsid w:val="75886FA4"/>
    <w:rsid w:val="75AD3D2D"/>
    <w:rsid w:val="75ED04AA"/>
    <w:rsid w:val="761B450A"/>
    <w:rsid w:val="7622555B"/>
    <w:rsid w:val="777D338A"/>
    <w:rsid w:val="77A8202E"/>
    <w:rsid w:val="77D01FB6"/>
    <w:rsid w:val="78054170"/>
    <w:rsid w:val="784D29BC"/>
    <w:rsid w:val="79845204"/>
    <w:rsid w:val="79940985"/>
    <w:rsid w:val="79A8266A"/>
    <w:rsid w:val="79DE04A6"/>
    <w:rsid w:val="79E629C5"/>
    <w:rsid w:val="7BB25888"/>
    <w:rsid w:val="7BD326AE"/>
    <w:rsid w:val="7CA919F5"/>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qFormat/>
    <w:uiPriority w:val="0"/>
    <w:rPr>
      <w:rFonts w:hint="eastAsia" w:ascii="宋体" w:hAnsi="宋体" w:eastAsia="宋体" w:cs="宋体"/>
      <w:color w:val="000000"/>
      <w:sz w:val="22"/>
      <w:szCs w:val="22"/>
      <w:u w:val="none"/>
    </w:rPr>
  </w:style>
  <w:style w:type="character" w:customStyle="1" w:styleId="84">
    <w:name w:val="font4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2589</Words>
  <Characters>2766</Characters>
  <Lines>29</Lines>
  <Paragraphs>57</Paragraphs>
  <TotalTime>0</TotalTime>
  <ScaleCrop>false</ScaleCrop>
  <LinksUpToDate>false</LinksUpToDate>
  <CharactersWithSpaces>2778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2026-01-05T03:30:00Z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