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24"/>
        <w:gridCol w:w="2649"/>
        <w:gridCol w:w="4005"/>
        <w:gridCol w:w="2349"/>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8</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348"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038"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193"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23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348"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ZCB2026-HC08-45</w:t>
            </w:r>
          </w:p>
        </w:tc>
        <w:tc>
          <w:tcPr>
            <w:tcW w:w="2038"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一次性使用治疗超声垫片</w:t>
            </w:r>
          </w:p>
        </w:tc>
        <w:tc>
          <w:tcPr>
            <w:tcW w:w="1193"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甲状腺外科/</w:t>
            </w:r>
            <w:r>
              <w:rPr>
                <w:rFonts w:hint="default" w:eastAsia="宋体"/>
                <w:color w:val="000000"/>
                <w:kern w:val="0"/>
                <w:sz w:val="22"/>
                <w:szCs w:val="22"/>
                <w:lang w:val="en-US" w:eastAsia="zh-CN" w:bidi="ar"/>
              </w:rPr>
              <w:br w:type="textWrapping"/>
            </w:r>
            <w:r>
              <w:rPr>
                <w:rFonts w:hint="default" w:eastAsia="宋体"/>
                <w:color w:val="000000"/>
                <w:kern w:val="0"/>
                <w:sz w:val="22"/>
                <w:szCs w:val="22"/>
                <w:lang w:val="en-US" w:eastAsia="zh-CN" w:bidi="ar"/>
              </w:rPr>
              <w:t>乳腺外科</w:t>
            </w:r>
          </w:p>
        </w:tc>
      </w:tr>
      <w:tr w14:paraId="05AA1F8E">
        <w:tblPrEx>
          <w:tblCellMar>
            <w:top w:w="0" w:type="dxa"/>
            <w:left w:w="108" w:type="dxa"/>
            <w:bottom w:w="0" w:type="dxa"/>
            <w:right w:w="108" w:type="dxa"/>
          </w:tblCellMar>
        </w:tblPrEx>
        <w:trPr>
          <w:trHeight w:val="25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348"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ZCB2026-HC08-46</w:t>
            </w:r>
          </w:p>
        </w:tc>
        <w:tc>
          <w:tcPr>
            <w:tcW w:w="2038" w:type="pct"/>
            <w:tcBorders>
              <w:top w:val="single" w:color="auto" w:sz="4" w:space="0"/>
              <w:left w:val="nil"/>
              <w:bottom w:val="single" w:color="auto" w:sz="4" w:space="0"/>
              <w:right w:val="single" w:color="auto" w:sz="4" w:space="0"/>
            </w:tcBorders>
            <w:shd w:val="clear" w:color="auto" w:fill="auto"/>
            <w:vAlign w:val="center"/>
          </w:tcPr>
          <w:p w14:paraId="1EE83B0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生化免疫分析仪配套耗材</w:t>
            </w:r>
          </w:p>
        </w:tc>
        <w:tc>
          <w:tcPr>
            <w:tcW w:w="1193" w:type="pct"/>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检验科</w:t>
            </w:r>
          </w:p>
        </w:tc>
      </w:tr>
      <w:tr w14:paraId="373FD6DC">
        <w:tblPrEx>
          <w:tblCellMar>
            <w:top w:w="0" w:type="dxa"/>
            <w:left w:w="108" w:type="dxa"/>
            <w:bottom w:w="0" w:type="dxa"/>
            <w:right w:w="108" w:type="dxa"/>
          </w:tblCellMar>
        </w:tblPrEx>
        <w:trPr>
          <w:trHeight w:val="19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348"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ZCB2026-HC08-47</w:t>
            </w:r>
          </w:p>
        </w:tc>
        <w:tc>
          <w:tcPr>
            <w:tcW w:w="2038" w:type="pct"/>
            <w:tcBorders>
              <w:top w:val="single" w:color="auto" w:sz="4" w:space="0"/>
              <w:left w:val="nil"/>
              <w:bottom w:val="single" w:color="auto" w:sz="4" w:space="0"/>
              <w:right w:val="single" w:color="auto" w:sz="4" w:space="0"/>
            </w:tcBorders>
            <w:shd w:val="clear" w:color="auto" w:fill="auto"/>
            <w:vAlign w:val="center"/>
          </w:tcPr>
          <w:p w14:paraId="120F6319">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灸疗装置</w:t>
            </w:r>
          </w:p>
        </w:tc>
        <w:tc>
          <w:tcPr>
            <w:tcW w:w="1193" w:type="pct"/>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社管中心</w:t>
            </w:r>
          </w:p>
        </w:tc>
      </w:tr>
    </w:tbl>
    <w:p w14:paraId="0DB33ECF">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32C16B4">
      <w:pPr>
        <w:pStyle w:val="2"/>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1</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w:t>
      </w:r>
      <w:r>
        <w:rPr>
          <w:rFonts w:hint="eastAsia" w:ascii="方正小标宋简体" w:hAnsi="方正小标宋简体" w:eastAsia="方正小标宋简体" w:cs="方正小标宋简体"/>
          <w:bCs w:val="0"/>
          <w:sz w:val="44"/>
          <w:szCs w:val="44"/>
          <w:lang w:eastAsia="zh-CN"/>
        </w:rPr>
        <w:t>第</w:t>
      </w:r>
      <w:r>
        <w:rPr>
          <w:rFonts w:hint="eastAsia" w:ascii="方正小标宋简体" w:hAnsi="方正小标宋简体" w:eastAsia="方正小标宋简体" w:cs="方正小标宋简体"/>
          <w:bCs w:val="0"/>
          <w:sz w:val="44"/>
          <w:szCs w:val="44"/>
          <w:lang w:val="en-US" w:eastAsia="zh-CN"/>
        </w:rPr>
        <w:t>8</w:t>
      </w:r>
      <w:r>
        <w:rPr>
          <w:rFonts w:hint="eastAsia" w:ascii="方正小标宋简体" w:hAnsi="方正小标宋简体" w:eastAsia="方正小标宋简体" w:cs="方正小标宋简体"/>
          <w:bCs w:val="0"/>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8</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 xml:space="preserve"> 1 </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w:t>
      </w:r>
      <w:bookmarkStart w:id="97" w:name="_GoBack"/>
      <w:bookmarkEnd w:id="97"/>
      <w:r>
        <w:rPr>
          <w:rFonts w:ascii="宋体" w:hAnsi="宋体" w:cs="宋体"/>
          <w:b/>
          <w:color w:val="000000"/>
          <w:szCs w:val="21"/>
        </w:rPr>
        <w:t>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2</w:t>
      </w:r>
      <w:r>
        <w:rPr>
          <w:rFonts w:hint="eastAsia" w:ascii="Times New Roman" w:hAnsi="Times New Roman" w:cs="Times New Roman"/>
          <w:b/>
          <w:highlight w:val="yellow"/>
          <w:lang w:val="en-US" w:eastAsia="zh-CN"/>
        </w:rPr>
        <w:t>月</w:t>
      </w:r>
      <w:r>
        <w:rPr>
          <w:rFonts w:hint="eastAsia" w:cs="Times New Roman"/>
          <w:b/>
          <w:highlight w:val="yellow"/>
          <w:lang w:val="en-US" w:eastAsia="zh-CN"/>
        </w:rPr>
        <w:t>6</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391"/>
        <w:gridCol w:w="2025"/>
        <w:gridCol w:w="2614"/>
        <w:gridCol w:w="870"/>
        <w:gridCol w:w="1260"/>
        <w:gridCol w:w="1105"/>
        <w:gridCol w:w="784"/>
      </w:tblGrid>
      <w:tr w14:paraId="1377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4CC1A3D">
            <w:pPr>
              <w:jc w:val="center"/>
              <w:rPr>
                <w:rFonts w:hint="eastAsia" w:ascii="宋体" w:hAnsi="宋体" w:eastAsia="宋体" w:cs="宋体"/>
              </w:rPr>
            </w:pPr>
            <w:r>
              <w:rPr>
                <w:rFonts w:hint="eastAsia" w:ascii="宋体" w:hAnsi="宋体" w:eastAsia="宋体" w:cs="宋体"/>
              </w:rPr>
              <w:t>序号</w:t>
            </w:r>
          </w:p>
        </w:tc>
        <w:tc>
          <w:tcPr>
            <w:tcW w:w="930" w:type="dxa"/>
            <w:vAlign w:val="center"/>
          </w:tcPr>
          <w:p w14:paraId="08F4566A">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采购文件编号</w:t>
            </w:r>
          </w:p>
        </w:tc>
        <w:tc>
          <w:tcPr>
            <w:tcW w:w="1391" w:type="dxa"/>
            <w:vAlign w:val="center"/>
          </w:tcPr>
          <w:p w14:paraId="5B0EF890">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采购项目名称</w:t>
            </w:r>
          </w:p>
        </w:tc>
        <w:tc>
          <w:tcPr>
            <w:tcW w:w="2025" w:type="dxa"/>
            <w:vAlign w:val="center"/>
          </w:tcPr>
          <w:p w14:paraId="5CE47FD4">
            <w:pPr>
              <w:widowControl/>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rPr>
              <w:t>单价限价</w:t>
            </w:r>
            <w:r>
              <w:rPr>
                <w:rFonts w:hint="eastAsia" w:ascii="宋体" w:hAnsi="宋体" w:eastAsia="宋体" w:cs="宋体"/>
                <w:kern w:val="0"/>
                <w:sz w:val="20"/>
                <w:szCs w:val="20"/>
                <w:lang w:eastAsia="zh-CN"/>
              </w:rPr>
              <w:t>（</w:t>
            </w:r>
            <w:r>
              <w:rPr>
                <w:rFonts w:hint="eastAsia" w:ascii="宋体" w:hAnsi="宋体" w:eastAsia="宋体" w:cs="宋体"/>
                <w:kern w:val="0"/>
                <w:sz w:val="20"/>
                <w:szCs w:val="20"/>
              </w:rPr>
              <w:t>★同类耗材不得超过在库价</w:t>
            </w:r>
            <w:r>
              <w:rPr>
                <w:rFonts w:hint="eastAsia" w:ascii="宋体" w:hAnsi="宋体" w:eastAsia="宋体" w:cs="宋体"/>
                <w:kern w:val="0"/>
                <w:sz w:val="20"/>
                <w:szCs w:val="20"/>
                <w:lang w:eastAsia="zh-CN"/>
              </w:rPr>
              <w:t>）</w:t>
            </w:r>
          </w:p>
        </w:tc>
        <w:tc>
          <w:tcPr>
            <w:tcW w:w="2614" w:type="dxa"/>
            <w:vAlign w:val="center"/>
          </w:tcPr>
          <w:p w14:paraId="2C8847E4">
            <w:pPr>
              <w:widowControl/>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rPr>
              <w:t>技术要求</w:t>
            </w:r>
            <w:r>
              <w:rPr>
                <w:rFonts w:hint="eastAsia" w:ascii="宋体" w:hAnsi="宋体" w:eastAsia="宋体" w:cs="宋体"/>
                <w:kern w:val="0"/>
                <w:sz w:val="20"/>
                <w:szCs w:val="20"/>
                <w:lang w:eastAsia="zh-CN"/>
              </w:rPr>
              <w:t>（</w:t>
            </w:r>
            <w:r>
              <w:rPr>
                <w:rFonts w:hint="eastAsia" w:ascii="宋体" w:hAnsi="宋体" w:eastAsia="宋体" w:cs="宋体"/>
                <w:kern w:val="0"/>
                <w:sz w:val="20"/>
                <w:szCs w:val="20"/>
              </w:rPr>
              <w:t>在用详细明细见附件，仅供参考</w:t>
            </w:r>
            <w:r>
              <w:rPr>
                <w:rFonts w:hint="eastAsia" w:ascii="宋体" w:hAnsi="宋体" w:eastAsia="宋体" w:cs="宋体"/>
                <w:kern w:val="0"/>
                <w:sz w:val="20"/>
                <w:szCs w:val="20"/>
                <w:lang w:eastAsia="zh-CN"/>
              </w:rPr>
              <w:t>）</w:t>
            </w:r>
          </w:p>
        </w:tc>
        <w:tc>
          <w:tcPr>
            <w:tcW w:w="870" w:type="dxa"/>
            <w:vAlign w:val="center"/>
          </w:tcPr>
          <w:p w14:paraId="46242690">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允许进口</w:t>
            </w:r>
            <w:r>
              <w:rPr>
                <w:rFonts w:hint="eastAsia" w:ascii="宋体" w:hAnsi="宋体" w:eastAsia="宋体" w:cs="宋体"/>
                <w:kern w:val="0"/>
                <w:sz w:val="20"/>
                <w:szCs w:val="20"/>
              </w:rPr>
              <w:t>/国产</w:t>
            </w:r>
          </w:p>
        </w:tc>
        <w:tc>
          <w:tcPr>
            <w:tcW w:w="1260" w:type="dxa"/>
            <w:vAlign w:val="center"/>
          </w:tcPr>
          <w:p w14:paraId="137C40D0">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是否执行深圳市阳光平台线上采购</w:t>
            </w:r>
          </w:p>
        </w:tc>
        <w:tc>
          <w:tcPr>
            <w:tcW w:w="1105" w:type="dxa"/>
            <w:vAlign w:val="center"/>
          </w:tcPr>
          <w:p w14:paraId="33AEEC49">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使用科室</w:t>
            </w:r>
          </w:p>
        </w:tc>
        <w:tc>
          <w:tcPr>
            <w:tcW w:w="784" w:type="dxa"/>
            <w:vAlign w:val="center"/>
          </w:tcPr>
          <w:p w14:paraId="3C9F9A12">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备注</w:t>
            </w:r>
          </w:p>
        </w:tc>
      </w:tr>
      <w:tr w14:paraId="739E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2AD50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30" w:type="dxa"/>
            <w:shd w:val="clear" w:color="auto" w:fill="auto"/>
            <w:vAlign w:val="center"/>
          </w:tcPr>
          <w:p w14:paraId="3F1786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ZCB2026-HC08-45</w:t>
            </w:r>
          </w:p>
        </w:tc>
        <w:tc>
          <w:tcPr>
            <w:tcW w:w="1391" w:type="dxa"/>
            <w:shd w:val="clear" w:color="auto" w:fill="auto"/>
            <w:vAlign w:val="center"/>
          </w:tcPr>
          <w:p w14:paraId="4C5014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一次性使用治疗超声垫片</w:t>
            </w:r>
          </w:p>
        </w:tc>
        <w:tc>
          <w:tcPr>
            <w:tcW w:w="2025" w:type="dxa"/>
            <w:vAlign w:val="center"/>
          </w:tcPr>
          <w:p w14:paraId="01F7BD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2614" w:type="dxa"/>
            <w:vAlign w:val="center"/>
          </w:tcPr>
          <w:p w14:paraId="188DD9F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改善探头与患者之间的超声耦合效果，配合超声中频药物导入仪、超声电导仪、超声治疗仪、超声理疗仪等超声检测、诊断与治疗设备使用。专机适用于超声电导仪UE200A</w:t>
            </w:r>
          </w:p>
        </w:tc>
        <w:tc>
          <w:tcPr>
            <w:tcW w:w="870" w:type="dxa"/>
            <w:vAlign w:val="center"/>
          </w:tcPr>
          <w:p w14:paraId="052921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260" w:type="dxa"/>
            <w:vAlign w:val="center"/>
          </w:tcPr>
          <w:p w14:paraId="21896D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1105" w:type="dxa"/>
            <w:shd w:val="clear" w:color="auto" w:fill="auto"/>
            <w:vAlign w:val="center"/>
          </w:tcPr>
          <w:p w14:paraId="7259AB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甲状腺外科/</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乳腺外科</w:t>
            </w:r>
          </w:p>
        </w:tc>
        <w:tc>
          <w:tcPr>
            <w:tcW w:w="784" w:type="dxa"/>
            <w:vAlign w:val="center"/>
          </w:tcPr>
          <w:p w14:paraId="5FF373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协议到期重新采购</w:t>
            </w:r>
          </w:p>
        </w:tc>
      </w:tr>
      <w:tr w14:paraId="64C8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449DCD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930" w:type="dxa"/>
            <w:shd w:val="clear" w:color="auto" w:fill="auto"/>
            <w:vAlign w:val="center"/>
          </w:tcPr>
          <w:p w14:paraId="1DE426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ZCB2026-HC08-46</w:t>
            </w:r>
          </w:p>
        </w:tc>
        <w:tc>
          <w:tcPr>
            <w:tcW w:w="1391" w:type="dxa"/>
            <w:shd w:val="clear" w:color="auto" w:fill="auto"/>
            <w:vAlign w:val="center"/>
          </w:tcPr>
          <w:p w14:paraId="2B1611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生化免疫分析仪配套耗材</w:t>
            </w:r>
          </w:p>
        </w:tc>
        <w:tc>
          <w:tcPr>
            <w:tcW w:w="2025" w:type="dxa"/>
            <w:vAlign w:val="center"/>
          </w:tcPr>
          <w:p w14:paraId="247EDB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402-5019</w:t>
            </w:r>
          </w:p>
        </w:tc>
        <w:tc>
          <w:tcPr>
            <w:tcW w:w="2614" w:type="dxa"/>
            <w:vAlign w:val="center"/>
          </w:tcPr>
          <w:p w14:paraId="6F17B0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强生生化免疫分析仪V5600配套使用，含吸样头、保养包、灯泡、加湿包、比色杯、干燥剂、微吸头。</w:t>
            </w:r>
            <w:r>
              <w:rPr>
                <w:rFonts w:hint="eastAsia" w:ascii="宋体" w:hAnsi="宋体" w:eastAsia="宋体" w:cs="宋体"/>
                <w:i w:val="0"/>
                <w:iCs w:val="0"/>
                <w:color w:val="000000"/>
                <w:kern w:val="0"/>
                <w:sz w:val="20"/>
                <w:szCs w:val="20"/>
                <w:u w:val="none"/>
                <w:lang w:val="en-US" w:eastAsia="zh-CN" w:bidi="ar"/>
              </w:rPr>
              <w:t>专机适用于强生生化免疫分析仪V5600</w:t>
            </w:r>
          </w:p>
        </w:tc>
        <w:tc>
          <w:tcPr>
            <w:tcW w:w="870" w:type="dxa"/>
            <w:vAlign w:val="center"/>
          </w:tcPr>
          <w:p w14:paraId="4858AA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1260" w:type="dxa"/>
            <w:vAlign w:val="center"/>
          </w:tcPr>
          <w:p w14:paraId="29C46D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1105" w:type="dxa"/>
            <w:shd w:val="clear" w:color="auto" w:fill="auto"/>
            <w:vAlign w:val="center"/>
          </w:tcPr>
          <w:p w14:paraId="27E9CB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784" w:type="dxa"/>
            <w:vAlign w:val="center"/>
          </w:tcPr>
          <w:p w14:paraId="00C6E20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协议到期重新采购</w:t>
            </w:r>
          </w:p>
        </w:tc>
      </w:tr>
      <w:tr w14:paraId="0E5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739328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930" w:type="dxa"/>
            <w:shd w:val="clear" w:color="auto" w:fill="auto"/>
            <w:vAlign w:val="center"/>
          </w:tcPr>
          <w:p w14:paraId="04106B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ZCB2026-HC08-47</w:t>
            </w:r>
          </w:p>
        </w:tc>
        <w:tc>
          <w:tcPr>
            <w:tcW w:w="1391" w:type="dxa"/>
            <w:shd w:val="clear" w:color="auto" w:fill="auto"/>
            <w:vAlign w:val="center"/>
          </w:tcPr>
          <w:p w14:paraId="0EFAA8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灸疗装置</w:t>
            </w:r>
          </w:p>
        </w:tc>
        <w:tc>
          <w:tcPr>
            <w:tcW w:w="2025" w:type="dxa"/>
            <w:vAlign w:val="center"/>
          </w:tcPr>
          <w:p w14:paraId="6314CA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10-12</w:t>
            </w:r>
          </w:p>
        </w:tc>
        <w:tc>
          <w:tcPr>
            <w:tcW w:w="2614" w:type="dxa"/>
            <w:vAlign w:val="center"/>
          </w:tcPr>
          <w:p w14:paraId="204691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1、通过灸材燃烧对人体产生温热作用施灸于人体穴位。</w:t>
            </w:r>
          </w:p>
          <w:p w14:paraId="100A06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2、安全要求：四角弹簧钢或者优于此材质卡扣固定艾柱；筒身使用阻燃材料及滤烟棉制成的三层筒身；底座使用防敏抗耐高温硅胶或者优于此材质材料，需与皮肤密闭吻合，可用酒精二级消毒，符合院感要求。</w:t>
            </w:r>
          </w:p>
          <w:p w14:paraId="3BB8AE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3、灸筒采用纸质或者更加轻便防烫伤材料，上盖≥6个出气孔，筒身配相应进气孔。</w:t>
            </w:r>
          </w:p>
          <w:p w14:paraId="17463C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4、调温方法：可上下提拉与360°左右旋转灸盖及筒身来调节温度。</w:t>
            </w:r>
          </w:p>
          <w:p w14:paraId="66F432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5、灸疗装置由包括但不限于灸盖(含定位固定柱)、灸材、医用胶贴、筒身(含底座、滤烟棉）等组成。</w:t>
            </w:r>
          </w:p>
          <w:p w14:paraId="4D1A57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6、灸筒高度60mm,直径40mm。灸材高度40mm，直径15mm，允差为±3mm。（随规格变动）</w:t>
            </w:r>
          </w:p>
          <w:p w14:paraId="024AC9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7、滤烟要求：能充分吸收PM2.5，无烟气体排出至灸筒外，肉眼看不到艾烟。</w:t>
            </w:r>
          </w:p>
        </w:tc>
        <w:tc>
          <w:tcPr>
            <w:tcW w:w="870" w:type="dxa"/>
            <w:vAlign w:val="center"/>
          </w:tcPr>
          <w:p w14:paraId="16C010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260" w:type="dxa"/>
            <w:vAlign w:val="center"/>
          </w:tcPr>
          <w:p w14:paraId="022178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1105" w:type="dxa"/>
            <w:shd w:val="clear" w:color="auto" w:fill="auto"/>
            <w:vAlign w:val="center"/>
          </w:tcPr>
          <w:p w14:paraId="0C1318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社管中心</w:t>
            </w:r>
          </w:p>
        </w:tc>
        <w:tc>
          <w:tcPr>
            <w:tcW w:w="784" w:type="dxa"/>
            <w:vAlign w:val="center"/>
          </w:tcPr>
          <w:p w14:paraId="060EDB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协议到期重新采购</w:t>
            </w:r>
          </w:p>
        </w:tc>
      </w:tr>
    </w:tbl>
    <w:p w14:paraId="2A474352">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8</w:t>
      </w:r>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jc w:val="right"/>
        <w:rPr>
          <w:rFonts w:hint="eastAsia" w:ascii="Tahoma" w:hAnsi="Tahoma" w:cs="Tahoma" w:eastAsiaTheme="minorEastAsia"/>
          <w:kern w:val="0"/>
          <w:szCs w:val="21"/>
          <w:lang w:eastAsia="zh-CN"/>
        </w:rPr>
      </w:pPr>
      <w:r>
        <w:rPr>
          <w:rFonts w:hint="eastAsia"/>
          <w:szCs w:val="21"/>
        </w:rPr>
        <w:t xml:space="preserve"> </w:t>
      </w: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1月23日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70"/>
        <w:gridCol w:w="1351"/>
        <w:gridCol w:w="2025"/>
        <w:gridCol w:w="2614"/>
        <w:gridCol w:w="870"/>
        <w:gridCol w:w="1260"/>
        <w:gridCol w:w="750"/>
        <w:gridCol w:w="1139"/>
      </w:tblGrid>
      <w:tr w14:paraId="2735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5FE5416A">
            <w:pPr>
              <w:jc w:val="center"/>
              <w:rPr>
                <w:rFonts w:hint="eastAsia" w:ascii="宋体" w:hAnsi="宋体" w:eastAsia="宋体" w:cs="宋体"/>
              </w:rPr>
            </w:pPr>
            <w:r>
              <w:rPr>
                <w:rFonts w:hint="eastAsia" w:ascii="宋体" w:hAnsi="宋体" w:eastAsia="宋体" w:cs="宋体"/>
              </w:rPr>
              <w:t>序号</w:t>
            </w:r>
          </w:p>
        </w:tc>
        <w:tc>
          <w:tcPr>
            <w:tcW w:w="970" w:type="dxa"/>
            <w:vAlign w:val="center"/>
          </w:tcPr>
          <w:p w14:paraId="2EE2DFD6">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采购文件编号</w:t>
            </w:r>
          </w:p>
        </w:tc>
        <w:tc>
          <w:tcPr>
            <w:tcW w:w="1351" w:type="dxa"/>
            <w:vAlign w:val="center"/>
          </w:tcPr>
          <w:p w14:paraId="77E28E91">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采购项目名称</w:t>
            </w:r>
          </w:p>
        </w:tc>
        <w:tc>
          <w:tcPr>
            <w:tcW w:w="2025" w:type="dxa"/>
            <w:vAlign w:val="center"/>
          </w:tcPr>
          <w:p w14:paraId="5E459D8C">
            <w:pPr>
              <w:widowControl/>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rPr>
              <w:t>单价限价</w:t>
            </w:r>
            <w:r>
              <w:rPr>
                <w:rFonts w:hint="eastAsia" w:ascii="宋体" w:hAnsi="宋体" w:eastAsia="宋体" w:cs="宋体"/>
                <w:kern w:val="0"/>
                <w:sz w:val="20"/>
                <w:szCs w:val="20"/>
                <w:lang w:eastAsia="zh-CN"/>
              </w:rPr>
              <w:t>（</w:t>
            </w:r>
            <w:r>
              <w:rPr>
                <w:rFonts w:hint="eastAsia" w:ascii="宋体" w:hAnsi="宋体" w:eastAsia="宋体" w:cs="宋体"/>
                <w:kern w:val="0"/>
                <w:sz w:val="20"/>
                <w:szCs w:val="20"/>
              </w:rPr>
              <w:t>★同类耗材不得超过在库价</w:t>
            </w:r>
            <w:r>
              <w:rPr>
                <w:rFonts w:hint="eastAsia" w:ascii="宋体" w:hAnsi="宋体" w:eastAsia="宋体" w:cs="宋体"/>
                <w:kern w:val="0"/>
                <w:sz w:val="20"/>
                <w:szCs w:val="20"/>
                <w:lang w:eastAsia="zh-CN"/>
              </w:rPr>
              <w:t>）</w:t>
            </w:r>
          </w:p>
        </w:tc>
        <w:tc>
          <w:tcPr>
            <w:tcW w:w="2614" w:type="dxa"/>
            <w:vAlign w:val="center"/>
          </w:tcPr>
          <w:p w14:paraId="79259C1A">
            <w:pPr>
              <w:widowControl/>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rPr>
              <w:t>技术要求</w:t>
            </w:r>
            <w:r>
              <w:rPr>
                <w:rFonts w:hint="eastAsia" w:ascii="宋体" w:hAnsi="宋体" w:eastAsia="宋体" w:cs="宋体"/>
                <w:kern w:val="0"/>
                <w:sz w:val="20"/>
                <w:szCs w:val="20"/>
                <w:lang w:eastAsia="zh-CN"/>
              </w:rPr>
              <w:t>（</w:t>
            </w:r>
            <w:r>
              <w:rPr>
                <w:rFonts w:hint="eastAsia" w:ascii="宋体" w:hAnsi="宋体" w:eastAsia="宋体" w:cs="宋体"/>
                <w:kern w:val="0"/>
                <w:sz w:val="20"/>
                <w:szCs w:val="20"/>
              </w:rPr>
              <w:t>在用详细明细见附件，仅供参考</w:t>
            </w:r>
            <w:r>
              <w:rPr>
                <w:rFonts w:hint="eastAsia" w:ascii="宋体" w:hAnsi="宋体" w:eastAsia="宋体" w:cs="宋体"/>
                <w:kern w:val="0"/>
                <w:sz w:val="20"/>
                <w:szCs w:val="20"/>
                <w:lang w:eastAsia="zh-CN"/>
              </w:rPr>
              <w:t>）</w:t>
            </w:r>
          </w:p>
        </w:tc>
        <w:tc>
          <w:tcPr>
            <w:tcW w:w="870" w:type="dxa"/>
            <w:vAlign w:val="center"/>
          </w:tcPr>
          <w:p w14:paraId="25D50E04">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允许进口</w:t>
            </w:r>
            <w:r>
              <w:rPr>
                <w:rFonts w:hint="eastAsia" w:ascii="宋体" w:hAnsi="宋体" w:eastAsia="宋体" w:cs="宋体"/>
                <w:kern w:val="0"/>
                <w:sz w:val="20"/>
                <w:szCs w:val="20"/>
              </w:rPr>
              <w:t>/国产</w:t>
            </w:r>
          </w:p>
        </w:tc>
        <w:tc>
          <w:tcPr>
            <w:tcW w:w="1260" w:type="dxa"/>
            <w:vAlign w:val="center"/>
          </w:tcPr>
          <w:p w14:paraId="1D58C5FB">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是否执行深圳市阳光平台线上采购</w:t>
            </w:r>
          </w:p>
        </w:tc>
        <w:tc>
          <w:tcPr>
            <w:tcW w:w="750" w:type="dxa"/>
            <w:vAlign w:val="center"/>
          </w:tcPr>
          <w:p w14:paraId="0A79E7F7">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使用科室</w:t>
            </w:r>
          </w:p>
        </w:tc>
        <w:tc>
          <w:tcPr>
            <w:tcW w:w="1139" w:type="dxa"/>
            <w:vAlign w:val="center"/>
          </w:tcPr>
          <w:p w14:paraId="1757B755">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备注</w:t>
            </w:r>
          </w:p>
        </w:tc>
      </w:tr>
      <w:tr w14:paraId="2CFE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4957330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70" w:type="dxa"/>
            <w:shd w:val="clear" w:color="auto" w:fill="auto"/>
            <w:vAlign w:val="center"/>
          </w:tcPr>
          <w:p w14:paraId="1758E0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ZCB2026-HC08-45</w:t>
            </w:r>
          </w:p>
        </w:tc>
        <w:tc>
          <w:tcPr>
            <w:tcW w:w="1351" w:type="dxa"/>
            <w:shd w:val="clear" w:color="auto" w:fill="auto"/>
            <w:vAlign w:val="center"/>
          </w:tcPr>
          <w:p w14:paraId="79FB60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一次性使用治疗超声垫片</w:t>
            </w:r>
          </w:p>
        </w:tc>
        <w:tc>
          <w:tcPr>
            <w:tcW w:w="2025" w:type="dxa"/>
            <w:vAlign w:val="center"/>
          </w:tcPr>
          <w:p w14:paraId="3D3F6A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2614" w:type="dxa"/>
            <w:vAlign w:val="center"/>
          </w:tcPr>
          <w:p w14:paraId="048B2F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改善探头与患者之间的超声耦合效果，配合超声中频药物导入仪、超声电导仪、超声治疗仪、超声理疗仪等超声检测、诊断与治疗设备使用。</w:t>
            </w:r>
          </w:p>
        </w:tc>
        <w:tc>
          <w:tcPr>
            <w:tcW w:w="870" w:type="dxa"/>
            <w:vAlign w:val="center"/>
          </w:tcPr>
          <w:p w14:paraId="19142A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260" w:type="dxa"/>
            <w:vAlign w:val="center"/>
          </w:tcPr>
          <w:p w14:paraId="296123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750" w:type="dxa"/>
            <w:shd w:val="clear" w:color="auto" w:fill="auto"/>
            <w:vAlign w:val="center"/>
          </w:tcPr>
          <w:p w14:paraId="28AEAB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甲状腺外科/</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乳腺外科</w:t>
            </w:r>
          </w:p>
        </w:tc>
        <w:tc>
          <w:tcPr>
            <w:tcW w:w="1139" w:type="dxa"/>
            <w:vAlign w:val="center"/>
          </w:tcPr>
          <w:p w14:paraId="5BFDA0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协议到期重新采购</w:t>
            </w:r>
          </w:p>
        </w:tc>
      </w:tr>
      <w:tr w14:paraId="52BD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2D7B9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970" w:type="dxa"/>
            <w:shd w:val="clear" w:color="auto" w:fill="auto"/>
            <w:vAlign w:val="center"/>
          </w:tcPr>
          <w:p w14:paraId="590142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ZCB2026-HC08-46</w:t>
            </w:r>
          </w:p>
        </w:tc>
        <w:tc>
          <w:tcPr>
            <w:tcW w:w="1351" w:type="dxa"/>
            <w:shd w:val="clear" w:color="auto" w:fill="auto"/>
            <w:vAlign w:val="center"/>
          </w:tcPr>
          <w:p w14:paraId="10FB4A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生化免疫分析仪配套耗材</w:t>
            </w:r>
          </w:p>
        </w:tc>
        <w:tc>
          <w:tcPr>
            <w:tcW w:w="2025" w:type="dxa"/>
            <w:vAlign w:val="center"/>
          </w:tcPr>
          <w:p w14:paraId="4EA16E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5019-402</w:t>
            </w:r>
          </w:p>
        </w:tc>
        <w:tc>
          <w:tcPr>
            <w:tcW w:w="2614" w:type="dxa"/>
            <w:vAlign w:val="center"/>
          </w:tcPr>
          <w:p w14:paraId="34317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强生生化免疫分析仪V5600配套使用，含吸样头、保养包、灯泡、加湿包、比色杯、干燥剂、微吸头。</w:t>
            </w:r>
          </w:p>
        </w:tc>
        <w:tc>
          <w:tcPr>
            <w:tcW w:w="870" w:type="dxa"/>
            <w:vAlign w:val="center"/>
          </w:tcPr>
          <w:p w14:paraId="71FD7C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1260" w:type="dxa"/>
            <w:vAlign w:val="center"/>
          </w:tcPr>
          <w:p w14:paraId="5A4B57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750" w:type="dxa"/>
            <w:shd w:val="clear" w:color="auto" w:fill="auto"/>
            <w:vAlign w:val="center"/>
          </w:tcPr>
          <w:p w14:paraId="2BB556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1139" w:type="dxa"/>
            <w:vAlign w:val="center"/>
          </w:tcPr>
          <w:p w14:paraId="5EFC23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协议到期重新采购</w:t>
            </w:r>
          </w:p>
        </w:tc>
      </w:tr>
      <w:tr w14:paraId="0ED4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5BF3C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970" w:type="dxa"/>
            <w:shd w:val="clear" w:color="auto" w:fill="auto"/>
            <w:vAlign w:val="center"/>
          </w:tcPr>
          <w:p w14:paraId="05064A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ZCB2026-HC08-47</w:t>
            </w:r>
          </w:p>
        </w:tc>
        <w:tc>
          <w:tcPr>
            <w:tcW w:w="1351" w:type="dxa"/>
            <w:shd w:val="clear" w:color="auto" w:fill="auto"/>
            <w:vAlign w:val="center"/>
          </w:tcPr>
          <w:p w14:paraId="50F758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灸疗装置</w:t>
            </w:r>
          </w:p>
        </w:tc>
        <w:tc>
          <w:tcPr>
            <w:tcW w:w="2025" w:type="dxa"/>
            <w:vAlign w:val="center"/>
          </w:tcPr>
          <w:p w14:paraId="0DC02A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10-12</w:t>
            </w:r>
          </w:p>
        </w:tc>
        <w:tc>
          <w:tcPr>
            <w:tcW w:w="2614" w:type="dxa"/>
            <w:vAlign w:val="center"/>
          </w:tcPr>
          <w:p w14:paraId="79970D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1、通过灸材燃烧对人体产生温热作用施灸于人体穴位。</w:t>
            </w:r>
          </w:p>
          <w:p w14:paraId="35A8BA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2、安全要求：四角弹簧钢或者优于此材质卡扣固定艾柱；筒身使用阻燃材料及滤烟棉制成的三层筒身；底座使用防敏抗耐高温硅胶或者优于此材质材料，需与皮肤密闭吻合，可用酒精二级消毒，符合院感要求。</w:t>
            </w:r>
          </w:p>
          <w:p w14:paraId="3BEB51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3、灸筒采用纸质或者更加轻便防烫伤材料，上盖≥6个出气孔，筒身配相应进气孔。</w:t>
            </w:r>
          </w:p>
          <w:p w14:paraId="55D746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4、调温方法：可上下提拉与360°左右旋转灸盖及筒身来调节温度。</w:t>
            </w:r>
          </w:p>
          <w:p w14:paraId="2D8D9C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5、灸疗装置由包括但不限于灸盖(含定位固定柱)、灸材、医用胶贴、筒身(含底座、滤烟棉）等组成。</w:t>
            </w:r>
          </w:p>
          <w:p w14:paraId="7D5D66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6、灸筒高度60mm,直径40mm。灸材高度40mm，直径15mm，允差为±3mm。（随规格变动）</w:t>
            </w:r>
          </w:p>
          <w:p w14:paraId="28D696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7、滤烟要求：能充分吸收PM2.5，无烟气体排出至灸筒外，肉眼看不到艾烟。</w:t>
            </w:r>
          </w:p>
        </w:tc>
        <w:tc>
          <w:tcPr>
            <w:tcW w:w="870" w:type="dxa"/>
            <w:vAlign w:val="center"/>
          </w:tcPr>
          <w:p w14:paraId="0645D0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260" w:type="dxa"/>
            <w:vAlign w:val="center"/>
          </w:tcPr>
          <w:p w14:paraId="152E2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750" w:type="dxa"/>
            <w:shd w:val="clear" w:color="auto" w:fill="auto"/>
            <w:vAlign w:val="center"/>
          </w:tcPr>
          <w:p w14:paraId="6828F6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社管中心</w:t>
            </w:r>
          </w:p>
        </w:tc>
        <w:tc>
          <w:tcPr>
            <w:tcW w:w="1139" w:type="dxa"/>
            <w:vAlign w:val="center"/>
          </w:tcPr>
          <w:p w14:paraId="67E204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协议到期重新采购</w:t>
            </w:r>
          </w:p>
        </w:tc>
      </w:tr>
    </w:tbl>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7773"/>
      <w:bookmarkStart w:id="41" w:name="_Toc73517679"/>
      <w:bookmarkStart w:id="42" w:name="_Toc73521586"/>
      <w:bookmarkStart w:id="43" w:name="_Toc73518157"/>
      <w:bookmarkStart w:id="44" w:name="_Toc100052408"/>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100052409"/>
      <w:bookmarkStart w:id="48" w:name="_Toc73521675"/>
      <w:bookmarkStart w:id="49" w:name="_Toc73517680"/>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677"/>
      <w:bookmarkStart w:id="54" w:name="_Toc73521589"/>
      <w:bookmarkStart w:id="55" w:name="_Toc73518160"/>
      <w:bookmarkStart w:id="56" w:name="_Toc100052410"/>
      <w:bookmarkStart w:id="57" w:name="_Toc73517682"/>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w:t>
            </w:r>
            <w:r>
              <w:rPr>
                <w:rFonts w:hint="eastAsia" w:eastAsia="仿宋_GB2312"/>
                <w:b/>
                <w:sz w:val="32"/>
                <w:lang w:val="en-US" w:eastAsia="zh-CN"/>
              </w:rPr>
              <w:t>6</w:t>
            </w:r>
            <w:r>
              <w:rPr>
                <w:rFonts w:hint="eastAsia" w:eastAsia="仿宋_GB2312"/>
                <w:b/>
                <w:sz w:val="32"/>
                <w:lang w:eastAsia="zh-CN"/>
              </w:rPr>
              <w:t>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62222D-4BC6-46DB-9282-E982EB96A2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481C309-9B42-4FD2-AAAE-DF2EFE6D1115}"/>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AC4AA1CC-94B4-4402-970C-57C86D151AF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4EFA5418-FD63-4CA2-A6A1-1DA59F3C6BE0}"/>
  </w:font>
  <w:font w:name="华文中宋">
    <w:panose1 w:val="02010600040101010101"/>
    <w:charset w:val="86"/>
    <w:family w:val="auto"/>
    <w:pitch w:val="default"/>
    <w:sig w:usb0="00000287" w:usb1="080F0000" w:usb2="00000000" w:usb3="00000000" w:csb0="0004009F" w:csb1="DFD70000"/>
    <w:embedRegular r:id="rId5" w:fontKey="{DEA1C4F4-E820-4512-BAE1-958A62B0B75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22F79960-2E1E-4F8E-AFC0-242FDF8BDE14}"/>
  </w:font>
  <w:font w:name="方正小标宋简体">
    <w:panose1 w:val="03000509000000000000"/>
    <w:charset w:val="86"/>
    <w:family w:val="auto"/>
    <w:pitch w:val="default"/>
    <w:sig w:usb0="00000001" w:usb1="080E0000" w:usb2="00000000" w:usb3="00000000" w:csb0="00040000" w:csb1="00000000"/>
    <w:embedRegular r:id="rId7" w:fontKey="{BF636A33-3521-44E7-8064-BD55FC6663DD}"/>
  </w:font>
  <w:font w:name="仿宋">
    <w:panose1 w:val="02010609060101010101"/>
    <w:charset w:val="86"/>
    <w:family w:val="modern"/>
    <w:pitch w:val="default"/>
    <w:sig w:usb0="800002BF" w:usb1="38CF7CFA" w:usb2="00000016" w:usb3="00000000" w:csb0="00040001" w:csb1="00000000"/>
    <w:embedRegular r:id="rId8" w:fontKey="{350758A5-F204-4C19-AFFE-162205BB280E}"/>
  </w:font>
  <w:font w:name="方正小标宋_GBK">
    <w:panose1 w:val="02000000000000000000"/>
    <w:charset w:val="86"/>
    <w:family w:val="script"/>
    <w:pitch w:val="default"/>
    <w:sig w:usb0="A00002BF" w:usb1="38CF7CFA" w:usb2="00082016" w:usb3="00000000" w:csb0="00040001" w:csb1="00000000"/>
    <w:embedRegular r:id="rId9" w:fontKey="{27AD789D-C7F1-4F31-BCBE-733B2E17B6E6}"/>
  </w:font>
  <w:font w:name="WPSEMBED14">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5F17CC7"/>
    <w:rsid w:val="06141287"/>
    <w:rsid w:val="066426AB"/>
    <w:rsid w:val="06D6606E"/>
    <w:rsid w:val="0722284A"/>
    <w:rsid w:val="074D1B24"/>
    <w:rsid w:val="076C043D"/>
    <w:rsid w:val="077C6018"/>
    <w:rsid w:val="07A05F2C"/>
    <w:rsid w:val="08403A7A"/>
    <w:rsid w:val="085546C8"/>
    <w:rsid w:val="086C7AD9"/>
    <w:rsid w:val="08F105C3"/>
    <w:rsid w:val="08F7273B"/>
    <w:rsid w:val="09491AC5"/>
    <w:rsid w:val="095847F4"/>
    <w:rsid w:val="09836074"/>
    <w:rsid w:val="099212CA"/>
    <w:rsid w:val="09FA4319"/>
    <w:rsid w:val="0A263C68"/>
    <w:rsid w:val="0A5667CD"/>
    <w:rsid w:val="0AD35BED"/>
    <w:rsid w:val="0B113C33"/>
    <w:rsid w:val="0B262E10"/>
    <w:rsid w:val="0B550CF8"/>
    <w:rsid w:val="0B802691"/>
    <w:rsid w:val="0BCE3FEB"/>
    <w:rsid w:val="0BE95409"/>
    <w:rsid w:val="0CF52F5E"/>
    <w:rsid w:val="0FAD08ED"/>
    <w:rsid w:val="109A5EF0"/>
    <w:rsid w:val="10A23C41"/>
    <w:rsid w:val="10DC7269"/>
    <w:rsid w:val="117575D2"/>
    <w:rsid w:val="119E3AF5"/>
    <w:rsid w:val="12352795"/>
    <w:rsid w:val="14175BB0"/>
    <w:rsid w:val="14922FE9"/>
    <w:rsid w:val="14F930FD"/>
    <w:rsid w:val="15180BA4"/>
    <w:rsid w:val="1542409B"/>
    <w:rsid w:val="1566146B"/>
    <w:rsid w:val="15DC43E5"/>
    <w:rsid w:val="16503E5D"/>
    <w:rsid w:val="16714F7E"/>
    <w:rsid w:val="168953AB"/>
    <w:rsid w:val="17B0123E"/>
    <w:rsid w:val="181C32D5"/>
    <w:rsid w:val="188340A0"/>
    <w:rsid w:val="18C84236"/>
    <w:rsid w:val="18CA2E04"/>
    <w:rsid w:val="190B1E92"/>
    <w:rsid w:val="19285BF1"/>
    <w:rsid w:val="1989001D"/>
    <w:rsid w:val="1AB44CDE"/>
    <w:rsid w:val="1ADD2A98"/>
    <w:rsid w:val="1AF94279"/>
    <w:rsid w:val="1B7B2B10"/>
    <w:rsid w:val="1C1373E3"/>
    <w:rsid w:val="1D471F18"/>
    <w:rsid w:val="1E324BDA"/>
    <w:rsid w:val="1EAB60A6"/>
    <w:rsid w:val="1EAE474B"/>
    <w:rsid w:val="1F1B41F1"/>
    <w:rsid w:val="1F900157"/>
    <w:rsid w:val="1F9F0833"/>
    <w:rsid w:val="20B25CBE"/>
    <w:rsid w:val="22221D49"/>
    <w:rsid w:val="222F1E4B"/>
    <w:rsid w:val="22635651"/>
    <w:rsid w:val="227616EA"/>
    <w:rsid w:val="2367560F"/>
    <w:rsid w:val="2412645F"/>
    <w:rsid w:val="2435301D"/>
    <w:rsid w:val="24B05A43"/>
    <w:rsid w:val="25335A76"/>
    <w:rsid w:val="257965BE"/>
    <w:rsid w:val="25897742"/>
    <w:rsid w:val="263F63D5"/>
    <w:rsid w:val="268272ED"/>
    <w:rsid w:val="26A86584"/>
    <w:rsid w:val="273E0B94"/>
    <w:rsid w:val="27F65DCE"/>
    <w:rsid w:val="281B3EE1"/>
    <w:rsid w:val="291F7AF0"/>
    <w:rsid w:val="298B4180"/>
    <w:rsid w:val="29C11B85"/>
    <w:rsid w:val="29C42F93"/>
    <w:rsid w:val="2A005F31"/>
    <w:rsid w:val="2A9D615B"/>
    <w:rsid w:val="2AE65E55"/>
    <w:rsid w:val="2AE80DE9"/>
    <w:rsid w:val="2B3A3C06"/>
    <w:rsid w:val="2B7B2CD7"/>
    <w:rsid w:val="2BBE4A09"/>
    <w:rsid w:val="2C7F577D"/>
    <w:rsid w:val="2C916CE1"/>
    <w:rsid w:val="2CB1759A"/>
    <w:rsid w:val="2CB573F1"/>
    <w:rsid w:val="2D517119"/>
    <w:rsid w:val="2DF5037E"/>
    <w:rsid w:val="2E1F29F2"/>
    <w:rsid w:val="2ED962FD"/>
    <w:rsid w:val="2EF75A9F"/>
    <w:rsid w:val="2FA22E86"/>
    <w:rsid w:val="30636F6F"/>
    <w:rsid w:val="308D7267"/>
    <w:rsid w:val="309A28A5"/>
    <w:rsid w:val="309B7B37"/>
    <w:rsid w:val="31CA56EC"/>
    <w:rsid w:val="31EE248D"/>
    <w:rsid w:val="33097BA0"/>
    <w:rsid w:val="33346566"/>
    <w:rsid w:val="340B487E"/>
    <w:rsid w:val="34876E3B"/>
    <w:rsid w:val="34B7733E"/>
    <w:rsid w:val="34D53509"/>
    <w:rsid w:val="34DB5F91"/>
    <w:rsid w:val="35A4296B"/>
    <w:rsid w:val="35AF70D3"/>
    <w:rsid w:val="364452A8"/>
    <w:rsid w:val="3676199F"/>
    <w:rsid w:val="36DB2EFD"/>
    <w:rsid w:val="37295B73"/>
    <w:rsid w:val="379773BF"/>
    <w:rsid w:val="37BA2B92"/>
    <w:rsid w:val="37C05C78"/>
    <w:rsid w:val="3A736BBC"/>
    <w:rsid w:val="3AC4797F"/>
    <w:rsid w:val="3B0F15A5"/>
    <w:rsid w:val="3B83690E"/>
    <w:rsid w:val="3BED574A"/>
    <w:rsid w:val="3C6102AB"/>
    <w:rsid w:val="3D222D3E"/>
    <w:rsid w:val="3D5460D2"/>
    <w:rsid w:val="3EF21FA7"/>
    <w:rsid w:val="3F3423F7"/>
    <w:rsid w:val="3F8C0AD9"/>
    <w:rsid w:val="3FD414E4"/>
    <w:rsid w:val="3FED5CCD"/>
    <w:rsid w:val="400D4BB3"/>
    <w:rsid w:val="405820D4"/>
    <w:rsid w:val="416D6A0E"/>
    <w:rsid w:val="417D1DC2"/>
    <w:rsid w:val="435A5C35"/>
    <w:rsid w:val="44184095"/>
    <w:rsid w:val="448F0A51"/>
    <w:rsid w:val="44E87A7E"/>
    <w:rsid w:val="456D0411"/>
    <w:rsid w:val="45D73ADC"/>
    <w:rsid w:val="46587C56"/>
    <w:rsid w:val="46756E72"/>
    <w:rsid w:val="46813D02"/>
    <w:rsid w:val="46C74C90"/>
    <w:rsid w:val="46EA336A"/>
    <w:rsid w:val="4732450F"/>
    <w:rsid w:val="474A1318"/>
    <w:rsid w:val="47DD64EB"/>
    <w:rsid w:val="488E4926"/>
    <w:rsid w:val="48C125F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7D3946"/>
    <w:rsid w:val="4FC4345D"/>
    <w:rsid w:val="4FDF1192"/>
    <w:rsid w:val="4FF0236A"/>
    <w:rsid w:val="50637FC5"/>
    <w:rsid w:val="50BC39B4"/>
    <w:rsid w:val="50C56D57"/>
    <w:rsid w:val="50DC0201"/>
    <w:rsid w:val="51181B78"/>
    <w:rsid w:val="512C7CC3"/>
    <w:rsid w:val="52267F1C"/>
    <w:rsid w:val="52D84B3B"/>
    <w:rsid w:val="52DC6E02"/>
    <w:rsid w:val="52EB37B7"/>
    <w:rsid w:val="532D1418"/>
    <w:rsid w:val="53476745"/>
    <w:rsid w:val="5359798D"/>
    <w:rsid w:val="53844041"/>
    <w:rsid w:val="53E265AD"/>
    <w:rsid w:val="55AB69B1"/>
    <w:rsid w:val="55BA07E5"/>
    <w:rsid w:val="55C656E6"/>
    <w:rsid w:val="55D87B28"/>
    <w:rsid w:val="573E4B0A"/>
    <w:rsid w:val="57ED67F5"/>
    <w:rsid w:val="58365C18"/>
    <w:rsid w:val="589B7282"/>
    <w:rsid w:val="592E63F2"/>
    <w:rsid w:val="59462FFB"/>
    <w:rsid w:val="59D20454"/>
    <w:rsid w:val="5A3D00C8"/>
    <w:rsid w:val="5AC3366B"/>
    <w:rsid w:val="5B154209"/>
    <w:rsid w:val="5B6B4F9B"/>
    <w:rsid w:val="5BED33EA"/>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927568"/>
    <w:rsid w:val="63B374DF"/>
    <w:rsid w:val="63BD55FE"/>
    <w:rsid w:val="651915C4"/>
    <w:rsid w:val="6562740E"/>
    <w:rsid w:val="65F00D0C"/>
    <w:rsid w:val="65F93378"/>
    <w:rsid w:val="660A4DD7"/>
    <w:rsid w:val="669A773D"/>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61070"/>
    <w:rsid w:val="6CE25242"/>
    <w:rsid w:val="6D1435FC"/>
    <w:rsid w:val="6D325640"/>
    <w:rsid w:val="6DB00317"/>
    <w:rsid w:val="6DC009DD"/>
    <w:rsid w:val="6DCE3893"/>
    <w:rsid w:val="6E0031F1"/>
    <w:rsid w:val="6E0077C5"/>
    <w:rsid w:val="6E1B45FE"/>
    <w:rsid w:val="6E495C1B"/>
    <w:rsid w:val="6E504430"/>
    <w:rsid w:val="6E5B59D0"/>
    <w:rsid w:val="6E9758D2"/>
    <w:rsid w:val="710D3D1B"/>
    <w:rsid w:val="711B37E9"/>
    <w:rsid w:val="71C254BD"/>
    <w:rsid w:val="72A0767C"/>
    <w:rsid w:val="72CD4903"/>
    <w:rsid w:val="730C5665"/>
    <w:rsid w:val="732D33F2"/>
    <w:rsid w:val="738C75AC"/>
    <w:rsid w:val="73E831D5"/>
    <w:rsid w:val="74B925FE"/>
    <w:rsid w:val="74FE731B"/>
    <w:rsid w:val="753955B3"/>
    <w:rsid w:val="7542758E"/>
    <w:rsid w:val="75886FA4"/>
    <w:rsid w:val="758F5A57"/>
    <w:rsid w:val="75AD3D2D"/>
    <w:rsid w:val="76207CBA"/>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55368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13998</Words>
  <Characters>14619</Characters>
  <Lines>38</Lines>
  <Paragraphs>65</Paragraphs>
  <TotalTime>7</TotalTime>
  <ScaleCrop>false</ScaleCrop>
  <LinksUpToDate>false</LinksUpToDate>
  <CharactersWithSpaces>14829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2026-01-23T02:56:30Z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9243617C06DE4FC2A9872AC6A50CBAF7_13</vt:lpwstr>
  </property>
  <property fmtid="{D5CDD505-2E9C-101B-9397-08002B2CF9AE}" pid="4" name="KSOTemplateDocerSaveRecord">
    <vt:lpwstr>eyJoZGlkIjoiNTY5OGNjNGRmMTZhNjg4ZjRiNjMyZTk5NTVmMTVkYWQiLCJ1c2VySWQiOiIxMjM0Njk1MzQ0In0=</vt:lpwstr>
  </property>
</Properties>
</file>