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65620F43">
      <w:pPr>
        <w:pStyle w:val="11"/>
        <w:spacing w:line="360" w:lineRule="auto"/>
        <w:jc w:val="both"/>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448"/>
        <w:gridCol w:w="2245"/>
        <w:gridCol w:w="4295"/>
        <w:gridCol w:w="2019"/>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w:t>
            </w:r>
            <w:r>
              <w:rPr>
                <w:rFonts w:hint="eastAsia" w:eastAsia="宋体"/>
                <w:b/>
                <w:color w:val="000000"/>
                <w:sz w:val="30"/>
                <w:szCs w:val="30"/>
                <w:lang w:val="en-US" w:eastAsia="zh-CN"/>
              </w:rPr>
              <w:t>6</w:t>
            </w:r>
            <w:r>
              <w:rPr>
                <w:rFonts w:hint="eastAsia" w:eastAsia="宋体"/>
                <w:b/>
                <w:color w:val="000000"/>
                <w:sz w:val="30"/>
                <w:szCs w:val="30"/>
                <w:lang w:eastAsia="zh-CN"/>
              </w:rPr>
              <w:t>年第</w:t>
            </w:r>
            <w:r>
              <w:rPr>
                <w:rFonts w:hint="eastAsia" w:eastAsia="宋体"/>
                <w:b/>
                <w:color w:val="000000"/>
                <w:sz w:val="30"/>
                <w:szCs w:val="30"/>
                <w:lang w:val="en-US" w:eastAsia="zh-CN"/>
              </w:rPr>
              <w:t>3</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4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38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2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631"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1</w:t>
            </w:r>
          </w:p>
        </w:tc>
        <w:tc>
          <w:tcPr>
            <w:tcW w:w="124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06</w:t>
            </w:r>
          </w:p>
        </w:tc>
        <w:tc>
          <w:tcPr>
            <w:tcW w:w="238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vertAlign w:val="baseline"/>
                <w:lang w:val="en-US" w:eastAsia="zh-CN"/>
              </w:rPr>
            </w:pPr>
            <w:r>
              <w:rPr>
                <w:rFonts w:hint="default"/>
                <w:vertAlign w:val="baseline"/>
                <w:lang w:val="en-US" w:eastAsia="zh-CN"/>
              </w:rPr>
              <w:t>一次性使用心脏冷停搏液灌注器-灌注针（组件）</w:t>
            </w:r>
          </w:p>
        </w:tc>
        <w:tc>
          <w:tcPr>
            <w:tcW w:w="112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07</w:t>
            </w:r>
          </w:p>
        </w:tc>
        <w:tc>
          <w:tcPr>
            <w:tcW w:w="238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highlight w:val="none"/>
                <w:vertAlign w:val="baseline"/>
                <w:lang w:val="en-US" w:eastAsia="zh-CN"/>
              </w:rPr>
            </w:pPr>
            <w:r>
              <w:rPr>
                <w:rFonts w:hint="default"/>
                <w:highlight w:val="none"/>
                <w:vertAlign w:val="baseline"/>
                <w:lang w:val="en-US" w:eastAsia="zh-CN"/>
              </w:rPr>
              <w:t>一次性使用人工心肺机体外循环管道包部件</w:t>
            </w:r>
          </w:p>
        </w:tc>
        <w:tc>
          <w:tcPr>
            <w:tcW w:w="112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3</w:t>
            </w:r>
          </w:p>
        </w:tc>
        <w:tc>
          <w:tcPr>
            <w:tcW w:w="124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08</w:t>
            </w:r>
          </w:p>
        </w:tc>
        <w:tc>
          <w:tcPr>
            <w:tcW w:w="238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highlight w:val="none"/>
                <w:vertAlign w:val="baseline"/>
                <w:lang w:val="en-US" w:eastAsia="zh-CN"/>
              </w:rPr>
            </w:pPr>
            <w:r>
              <w:rPr>
                <w:rFonts w:hint="eastAsia"/>
                <w:highlight w:val="none"/>
                <w:vertAlign w:val="baseline"/>
                <w:lang w:val="en-US" w:eastAsia="zh-CN"/>
              </w:rPr>
              <w:t>体外循环顺行灌注插管</w:t>
            </w:r>
          </w:p>
        </w:tc>
        <w:tc>
          <w:tcPr>
            <w:tcW w:w="112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6472C973">
        <w:tblPrEx>
          <w:tblCellMar>
            <w:top w:w="0" w:type="dxa"/>
            <w:left w:w="108" w:type="dxa"/>
            <w:bottom w:w="0" w:type="dxa"/>
            <w:right w:w="108" w:type="dxa"/>
          </w:tblCellMar>
        </w:tblPrEx>
        <w:trPr>
          <w:trHeight w:val="414" w:hRule="exac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color w:val="000000"/>
                <w:kern w:val="0"/>
                <w:sz w:val="20"/>
                <w:szCs w:val="20"/>
                <w:highlight w:val="none"/>
                <w:lang w:val="en-US" w:eastAsia="zh-CN"/>
              </w:rPr>
              <w:t>4</w:t>
            </w:r>
          </w:p>
        </w:tc>
        <w:tc>
          <w:tcPr>
            <w:tcW w:w="1246"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09</w:t>
            </w:r>
          </w:p>
        </w:tc>
        <w:tc>
          <w:tcPr>
            <w:tcW w:w="238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highlight w:val="none"/>
                <w:vertAlign w:val="baseline"/>
                <w:lang w:val="en-US" w:eastAsia="zh-CN"/>
              </w:rPr>
              <w:t>一次性使用心脏停跳液灌注器</w:t>
            </w:r>
          </w:p>
        </w:tc>
        <w:tc>
          <w:tcPr>
            <w:tcW w:w="112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color w:val="000000"/>
                <w:kern w:val="0"/>
                <w:sz w:val="20"/>
                <w:szCs w:val="20"/>
                <w:highlight w:val="none"/>
                <w:lang w:val="en-US" w:eastAsia="zh-CN"/>
              </w:rPr>
              <w:t>5</w:t>
            </w:r>
          </w:p>
        </w:tc>
        <w:tc>
          <w:tcPr>
            <w:tcW w:w="124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10</w:t>
            </w:r>
          </w:p>
        </w:tc>
        <w:tc>
          <w:tcPr>
            <w:tcW w:w="238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highlight w:val="none"/>
                <w:vertAlign w:val="baseline"/>
                <w:lang w:val="en-US" w:eastAsia="zh-CN"/>
              </w:rPr>
              <w:t>体外循环逆行灌注插管</w:t>
            </w:r>
          </w:p>
        </w:tc>
        <w:tc>
          <w:tcPr>
            <w:tcW w:w="1120"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5F549F65">
        <w:tblPrEx>
          <w:tblCellMar>
            <w:top w:w="0" w:type="dxa"/>
            <w:left w:w="108" w:type="dxa"/>
            <w:bottom w:w="0" w:type="dxa"/>
            <w:right w:w="108" w:type="dxa"/>
          </w:tblCellMar>
        </w:tblPrEx>
        <w:trPr>
          <w:trHeight w:val="400"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52EAADE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1246" w:type="pct"/>
            <w:tcBorders>
              <w:top w:val="single" w:color="auto" w:sz="4" w:space="0"/>
              <w:left w:val="nil"/>
              <w:bottom w:val="single" w:color="auto" w:sz="4" w:space="0"/>
              <w:right w:val="single" w:color="auto" w:sz="4" w:space="0"/>
            </w:tcBorders>
            <w:shd w:val="clear" w:color="auto" w:fill="auto"/>
            <w:vAlign w:val="center"/>
          </w:tcPr>
          <w:p w14:paraId="20A94452">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11</w:t>
            </w:r>
          </w:p>
        </w:tc>
        <w:tc>
          <w:tcPr>
            <w:tcW w:w="2384" w:type="pct"/>
            <w:tcBorders>
              <w:top w:val="single" w:color="auto" w:sz="4" w:space="0"/>
              <w:left w:val="nil"/>
              <w:bottom w:val="single" w:color="auto" w:sz="4" w:space="0"/>
              <w:right w:val="single" w:color="auto" w:sz="4" w:space="0"/>
            </w:tcBorders>
            <w:shd w:val="clear" w:color="auto" w:fill="auto"/>
            <w:vAlign w:val="center"/>
          </w:tcPr>
          <w:p w14:paraId="2CA34E00">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highlight w:val="none"/>
                <w:vertAlign w:val="baseline"/>
                <w:lang w:val="en-US" w:eastAsia="zh-CN"/>
              </w:rPr>
              <w:t>微导丝</w:t>
            </w:r>
          </w:p>
        </w:tc>
        <w:tc>
          <w:tcPr>
            <w:tcW w:w="1120" w:type="pct"/>
            <w:tcBorders>
              <w:top w:val="single" w:color="auto" w:sz="4" w:space="0"/>
              <w:left w:val="nil"/>
              <w:bottom w:val="single" w:color="auto" w:sz="4" w:space="0"/>
              <w:right w:val="single" w:color="auto" w:sz="4" w:space="0"/>
            </w:tcBorders>
            <w:shd w:val="clear" w:color="auto" w:fill="auto"/>
            <w:vAlign w:val="center"/>
          </w:tcPr>
          <w:p w14:paraId="26F80B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16425574">
        <w:tblPrEx>
          <w:tblCellMar>
            <w:top w:w="0" w:type="dxa"/>
            <w:left w:w="108" w:type="dxa"/>
            <w:bottom w:w="0" w:type="dxa"/>
            <w:right w:w="108" w:type="dxa"/>
          </w:tblCellMar>
        </w:tblPrEx>
        <w:trPr>
          <w:trHeight w:val="400"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0BD1B5A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1246" w:type="pct"/>
            <w:tcBorders>
              <w:top w:val="single" w:color="auto" w:sz="4" w:space="0"/>
              <w:left w:val="nil"/>
              <w:bottom w:val="single" w:color="auto" w:sz="4" w:space="0"/>
              <w:right w:val="single" w:color="auto" w:sz="4" w:space="0"/>
            </w:tcBorders>
            <w:shd w:val="clear" w:color="auto" w:fill="auto"/>
            <w:vAlign w:val="center"/>
          </w:tcPr>
          <w:p w14:paraId="232FBEE3">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12</w:t>
            </w:r>
          </w:p>
        </w:tc>
        <w:tc>
          <w:tcPr>
            <w:tcW w:w="2384" w:type="pct"/>
            <w:tcBorders>
              <w:top w:val="single" w:color="auto" w:sz="4" w:space="0"/>
              <w:left w:val="nil"/>
              <w:bottom w:val="single" w:color="auto" w:sz="4" w:space="0"/>
              <w:right w:val="single" w:color="auto" w:sz="4" w:space="0"/>
            </w:tcBorders>
            <w:shd w:val="clear" w:color="auto" w:fill="auto"/>
            <w:vAlign w:val="center"/>
          </w:tcPr>
          <w:p w14:paraId="6F699CC5">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highlight w:val="none"/>
                <w:vertAlign w:val="baseline"/>
                <w:lang w:val="en-US" w:eastAsia="zh-CN"/>
              </w:rPr>
              <w:t>微导管</w:t>
            </w:r>
          </w:p>
        </w:tc>
        <w:tc>
          <w:tcPr>
            <w:tcW w:w="1120" w:type="pct"/>
            <w:tcBorders>
              <w:top w:val="single" w:color="auto" w:sz="4" w:space="0"/>
              <w:left w:val="nil"/>
              <w:bottom w:val="single" w:color="auto" w:sz="4" w:space="0"/>
              <w:right w:val="single" w:color="auto" w:sz="4" w:space="0"/>
            </w:tcBorders>
            <w:shd w:val="clear" w:color="auto" w:fill="auto"/>
            <w:vAlign w:val="center"/>
          </w:tcPr>
          <w:p w14:paraId="0E11E9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37660D49">
        <w:tblPrEx>
          <w:tblCellMar>
            <w:top w:w="0" w:type="dxa"/>
            <w:left w:w="108" w:type="dxa"/>
            <w:bottom w:w="0" w:type="dxa"/>
            <w:right w:w="108" w:type="dxa"/>
          </w:tblCellMar>
        </w:tblPrEx>
        <w:trPr>
          <w:trHeight w:val="400"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21040F9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246" w:type="pct"/>
            <w:tcBorders>
              <w:top w:val="single" w:color="auto" w:sz="4" w:space="0"/>
              <w:left w:val="nil"/>
              <w:bottom w:val="single" w:color="auto" w:sz="4" w:space="0"/>
              <w:right w:val="single" w:color="auto" w:sz="4" w:space="0"/>
            </w:tcBorders>
            <w:shd w:val="clear" w:color="auto" w:fill="auto"/>
            <w:vAlign w:val="center"/>
          </w:tcPr>
          <w:p w14:paraId="56A71873">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13</w:t>
            </w:r>
          </w:p>
        </w:tc>
        <w:tc>
          <w:tcPr>
            <w:tcW w:w="2384" w:type="pct"/>
            <w:tcBorders>
              <w:top w:val="single" w:color="auto" w:sz="4" w:space="0"/>
              <w:left w:val="nil"/>
              <w:bottom w:val="single" w:color="auto" w:sz="4" w:space="0"/>
              <w:right w:val="single" w:color="auto" w:sz="4" w:space="0"/>
            </w:tcBorders>
            <w:shd w:val="clear" w:color="auto" w:fill="auto"/>
            <w:vAlign w:val="center"/>
          </w:tcPr>
          <w:p w14:paraId="4E305109">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highlight w:val="none"/>
                <w:vertAlign w:val="baseline"/>
                <w:lang w:val="en-US" w:eastAsia="zh-CN"/>
              </w:rPr>
              <w:t>透明敷料</w:t>
            </w:r>
          </w:p>
        </w:tc>
        <w:tc>
          <w:tcPr>
            <w:tcW w:w="1120" w:type="pct"/>
            <w:tcBorders>
              <w:top w:val="single" w:color="auto" w:sz="4" w:space="0"/>
              <w:left w:val="nil"/>
              <w:bottom w:val="single" w:color="auto" w:sz="4" w:space="0"/>
              <w:right w:val="single" w:color="auto" w:sz="4" w:space="0"/>
            </w:tcBorders>
            <w:shd w:val="clear" w:color="auto" w:fill="auto"/>
            <w:vAlign w:val="center"/>
          </w:tcPr>
          <w:p w14:paraId="31E2E0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5C043393">
        <w:tblPrEx>
          <w:tblCellMar>
            <w:top w:w="0" w:type="dxa"/>
            <w:left w:w="108" w:type="dxa"/>
            <w:bottom w:w="0" w:type="dxa"/>
            <w:right w:w="108" w:type="dxa"/>
          </w:tblCellMar>
        </w:tblPrEx>
        <w:trPr>
          <w:trHeight w:val="400"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65AF176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246" w:type="pct"/>
            <w:tcBorders>
              <w:top w:val="single" w:color="auto" w:sz="4" w:space="0"/>
              <w:left w:val="nil"/>
              <w:bottom w:val="single" w:color="auto" w:sz="4" w:space="0"/>
              <w:right w:val="single" w:color="auto" w:sz="4" w:space="0"/>
            </w:tcBorders>
            <w:shd w:val="clear" w:color="auto" w:fill="auto"/>
            <w:vAlign w:val="center"/>
          </w:tcPr>
          <w:p w14:paraId="3D9FE844">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14</w:t>
            </w:r>
          </w:p>
        </w:tc>
        <w:tc>
          <w:tcPr>
            <w:tcW w:w="2384" w:type="pct"/>
            <w:tcBorders>
              <w:top w:val="single" w:color="auto" w:sz="4" w:space="0"/>
              <w:left w:val="nil"/>
              <w:bottom w:val="single" w:color="auto" w:sz="4" w:space="0"/>
              <w:right w:val="single" w:color="auto" w:sz="4" w:space="0"/>
            </w:tcBorders>
            <w:shd w:val="clear" w:color="auto" w:fill="auto"/>
            <w:vAlign w:val="center"/>
          </w:tcPr>
          <w:p w14:paraId="5905E925">
            <w:pPr>
              <w:keepNext w:val="0"/>
              <w:keepLines w:val="0"/>
              <w:widowControl/>
              <w:suppressLineNumbers w:val="0"/>
              <w:jc w:val="center"/>
              <w:textAlignment w:val="center"/>
              <w:rPr>
                <w:rFonts w:hint="eastAsia"/>
                <w:highlight w:val="none"/>
                <w:vertAlign w:val="baseline"/>
                <w:lang w:val="en-US" w:eastAsia="zh-CN"/>
              </w:rPr>
            </w:pPr>
            <w:r>
              <w:rPr>
                <w:rFonts w:hint="default"/>
                <w:highlight w:val="none"/>
                <w:vertAlign w:val="baseline"/>
                <w:lang w:val="en-US" w:eastAsia="zh-CN"/>
              </w:rPr>
              <w:t>主动脉打孔器</w:t>
            </w:r>
          </w:p>
        </w:tc>
        <w:tc>
          <w:tcPr>
            <w:tcW w:w="1120" w:type="pct"/>
            <w:tcBorders>
              <w:top w:val="single" w:color="auto" w:sz="4" w:space="0"/>
              <w:left w:val="nil"/>
              <w:bottom w:val="single" w:color="auto" w:sz="4" w:space="0"/>
              <w:right w:val="single" w:color="auto" w:sz="4" w:space="0"/>
            </w:tcBorders>
            <w:shd w:val="clear" w:color="auto" w:fill="auto"/>
            <w:vAlign w:val="center"/>
          </w:tcPr>
          <w:p w14:paraId="4695E7D0">
            <w:pPr>
              <w:keepNext w:val="0"/>
              <w:keepLines w:val="0"/>
              <w:widowControl/>
              <w:suppressLineNumbers w:val="0"/>
              <w:jc w:val="center"/>
              <w:textAlignment w:val="center"/>
              <w:rPr>
                <w:rFonts w:hint="eastAsia"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r w14:paraId="4E6CD0E6">
        <w:tblPrEx>
          <w:tblCellMar>
            <w:top w:w="0" w:type="dxa"/>
            <w:left w:w="108" w:type="dxa"/>
            <w:bottom w:w="0" w:type="dxa"/>
            <w:right w:w="108" w:type="dxa"/>
          </w:tblCellMar>
        </w:tblPrEx>
        <w:trPr>
          <w:trHeight w:val="400" w:hRule="atLeast"/>
        </w:trPr>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487EE47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1246" w:type="pct"/>
            <w:tcBorders>
              <w:top w:val="single" w:color="auto" w:sz="4" w:space="0"/>
              <w:left w:val="nil"/>
              <w:bottom w:val="single" w:color="auto" w:sz="4" w:space="0"/>
              <w:right w:val="single" w:color="auto" w:sz="4" w:space="0"/>
            </w:tcBorders>
            <w:shd w:val="clear" w:color="auto" w:fill="auto"/>
            <w:vAlign w:val="center"/>
          </w:tcPr>
          <w:p w14:paraId="68231FF0">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15</w:t>
            </w:r>
          </w:p>
        </w:tc>
        <w:tc>
          <w:tcPr>
            <w:tcW w:w="2384" w:type="pct"/>
            <w:tcBorders>
              <w:top w:val="single" w:color="auto" w:sz="4" w:space="0"/>
              <w:left w:val="nil"/>
              <w:bottom w:val="single" w:color="auto" w:sz="4" w:space="0"/>
              <w:right w:val="single" w:color="auto" w:sz="4" w:space="0"/>
            </w:tcBorders>
            <w:shd w:val="clear" w:color="auto" w:fill="auto"/>
            <w:vAlign w:val="center"/>
          </w:tcPr>
          <w:p w14:paraId="630BC4BA">
            <w:pPr>
              <w:keepNext w:val="0"/>
              <w:keepLines w:val="0"/>
              <w:widowControl/>
              <w:suppressLineNumbers w:val="0"/>
              <w:jc w:val="center"/>
              <w:textAlignment w:val="center"/>
              <w:rPr>
                <w:rFonts w:hint="default"/>
                <w:highlight w:val="none"/>
                <w:vertAlign w:val="baseline"/>
                <w:lang w:val="en-US" w:eastAsia="zh-CN"/>
              </w:rPr>
            </w:pPr>
            <w:r>
              <w:rPr>
                <w:rFonts w:hint="default"/>
                <w:highlight w:val="none"/>
                <w:vertAlign w:val="baseline"/>
                <w:lang w:val="en-US" w:eastAsia="zh-CN"/>
              </w:rPr>
              <w:t>眼部热敷治疗贴</w:t>
            </w:r>
          </w:p>
        </w:tc>
        <w:tc>
          <w:tcPr>
            <w:tcW w:w="1120" w:type="pct"/>
            <w:tcBorders>
              <w:top w:val="single" w:color="auto" w:sz="4" w:space="0"/>
              <w:left w:val="nil"/>
              <w:bottom w:val="single" w:color="auto" w:sz="4" w:space="0"/>
              <w:right w:val="single" w:color="auto" w:sz="4" w:space="0"/>
            </w:tcBorders>
            <w:shd w:val="clear" w:color="auto" w:fill="auto"/>
            <w:vAlign w:val="center"/>
          </w:tcPr>
          <w:p w14:paraId="17E03897">
            <w:pPr>
              <w:keepNext w:val="0"/>
              <w:keepLines w:val="0"/>
              <w:widowControl/>
              <w:suppressLineNumbers w:val="0"/>
              <w:jc w:val="center"/>
              <w:textAlignment w:val="center"/>
              <w:rPr>
                <w:rFonts w:hint="eastAsia"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是</w:t>
            </w:r>
          </w:p>
        </w:tc>
      </w:tr>
    </w:tbl>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lang w:eastAsia="zh-CN"/>
        </w:rPr>
        <w:t>年第</w:t>
      </w:r>
      <w:r>
        <w:rPr>
          <w:rFonts w:hint="eastAsia" w:ascii="方正小标宋简体" w:hAnsi="方正小标宋简体" w:eastAsia="方正小标宋简体" w:cs="方正小标宋简体"/>
          <w:bCs w:val="0"/>
          <w:sz w:val="44"/>
          <w:szCs w:val="44"/>
          <w:lang w:val="en-US" w:eastAsia="zh-CN"/>
        </w:rPr>
        <w:t>3</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w:t>
      </w:r>
      <w:r>
        <w:rPr>
          <w:rFonts w:hint="eastAsia" w:ascii="Tahoma" w:hAnsi="Tahoma" w:cs="宋体"/>
          <w:kern w:val="0"/>
          <w:szCs w:val="21"/>
          <w:lang w:val="en-US" w:eastAsia="zh-CN"/>
        </w:rPr>
        <w:t>6</w:t>
      </w:r>
      <w:r>
        <w:rPr>
          <w:rFonts w:hint="eastAsia" w:ascii="Tahoma" w:hAnsi="Tahoma" w:cs="宋体"/>
          <w:kern w:val="0"/>
          <w:szCs w:val="21"/>
          <w:lang w:eastAsia="zh-CN"/>
        </w:rPr>
        <w:t>年第</w:t>
      </w:r>
      <w:r>
        <w:rPr>
          <w:rFonts w:hint="eastAsia" w:ascii="Tahoma" w:hAnsi="Tahoma" w:cs="宋体"/>
          <w:kern w:val="0"/>
          <w:szCs w:val="21"/>
          <w:lang w:val="en-US" w:eastAsia="zh-CN"/>
        </w:rPr>
        <w:t>3</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28</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90"/>
        <w:gridCol w:w="770"/>
        <w:gridCol w:w="754"/>
        <w:gridCol w:w="727"/>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9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77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auto" w:fill="auto"/>
            <w:vAlign w:val="center"/>
          </w:tcPr>
          <w:p w14:paraId="2223CC2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06</w:t>
            </w:r>
          </w:p>
        </w:tc>
        <w:tc>
          <w:tcPr>
            <w:tcW w:w="1515" w:type="dxa"/>
            <w:shd w:val="clear" w:color="auto" w:fill="auto"/>
            <w:vAlign w:val="center"/>
          </w:tcPr>
          <w:p w14:paraId="5D2F7DA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一次性使用心脏冷停搏液灌注器-灌注针（组件）</w:t>
            </w:r>
          </w:p>
        </w:tc>
        <w:tc>
          <w:tcPr>
            <w:tcW w:w="2246" w:type="dxa"/>
            <w:shd w:val="clear" w:color="auto" w:fill="auto"/>
            <w:vAlign w:val="center"/>
          </w:tcPr>
          <w:p w14:paraId="2AC7B35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适用于体外循环心脏直视手术；适用于冷却、传输、灌注心脏停搏液和氧合血液。</w:t>
            </w:r>
          </w:p>
        </w:tc>
        <w:tc>
          <w:tcPr>
            <w:tcW w:w="1390" w:type="dxa"/>
            <w:shd w:val="clear" w:color="auto" w:fill="auto"/>
            <w:vAlign w:val="center"/>
          </w:tcPr>
          <w:p w14:paraId="3FB21F03">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88、115（详见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37E7F1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B7E8AF5">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auto" w:fill="auto"/>
            <w:vAlign w:val="center"/>
          </w:tcPr>
          <w:p w14:paraId="686DAD2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945"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07</w:t>
            </w:r>
          </w:p>
        </w:tc>
        <w:tc>
          <w:tcPr>
            <w:tcW w:w="1515"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一次性使用人工心肺机体外循环管道包部件</w:t>
            </w:r>
          </w:p>
        </w:tc>
        <w:tc>
          <w:tcPr>
            <w:tcW w:w="2246" w:type="dxa"/>
            <w:shd w:val="clear" w:color="auto" w:fill="auto"/>
            <w:vAlign w:val="center"/>
          </w:tcPr>
          <w:p w14:paraId="14CC902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适用于心脏手术中供人工心肺机连接各个器械组成一个动脉系统和腔静脉系统回路。</w:t>
            </w:r>
          </w:p>
        </w:tc>
        <w:tc>
          <w:tcPr>
            <w:tcW w:w="1390" w:type="dxa"/>
            <w:shd w:val="clear" w:color="auto" w:fill="auto"/>
            <w:vAlign w:val="center"/>
          </w:tcPr>
          <w:p w14:paraId="4D71D841">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60、395、5、137、80、5、210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66E5B2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07F6477">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596FAD7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63B88D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945"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08</w:t>
            </w:r>
          </w:p>
        </w:tc>
        <w:tc>
          <w:tcPr>
            <w:tcW w:w="1515" w:type="dxa"/>
            <w:shd w:val="clear" w:color="auto" w:fill="auto"/>
            <w:vAlign w:val="center"/>
          </w:tcPr>
          <w:p w14:paraId="58424B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体外循环顺行灌注插管</w:t>
            </w:r>
          </w:p>
        </w:tc>
        <w:tc>
          <w:tcPr>
            <w:tcW w:w="2246" w:type="dxa"/>
            <w:shd w:val="clear" w:color="auto" w:fill="auto"/>
            <w:vAlign w:val="center"/>
          </w:tcPr>
          <w:p w14:paraId="6192DB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用于在心肺分流手术中传输心肌停跳液。</w:t>
            </w:r>
          </w:p>
        </w:tc>
        <w:tc>
          <w:tcPr>
            <w:tcW w:w="1390" w:type="dxa"/>
            <w:shd w:val="clear" w:color="auto" w:fill="auto"/>
            <w:vAlign w:val="center"/>
          </w:tcPr>
          <w:p w14:paraId="4D94BDED">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37565A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203CA25">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9C514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945" w:type="dxa"/>
            <w:shd w:val="clear" w:color="auto" w:fill="auto"/>
            <w:noWrap/>
            <w:vAlign w:val="center"/>
          </w:tcPr>
          <w:p w14:paraId="489326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09</w:t>
            </w:r>
          </w:p>
        </w:tc>
        <w:tc>
          <w:tcPr>
            <w:tcW w:w="1515" w:type="dxa"/>
            <w:shd w:val="clear" w:color="auto" w:fill="auto"/>
            <w:vAlign w:val="center"/>
          </w:tcPr>
          <w:p w14:paraId="78C2F36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一次性使用心脏停跳液灌注器</w:t>
            </w:r>
          </w:p>
        </w:tc>
        <w:tc>
          <w:tcPr>
            <w:tcW w:w="2246" w:type="dxa"/>
            <w:shd w:val="clear" w:color="auto" w:fill="auto"/>
            <w:vAlign w:val="center"/>
          </w:tcPr>
          <w:p w14:paraId="5DB10B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适用于体外循环直视手术中进行心肌保护。</w:t>
            </w:r>
          </w:p>
        </w:tc>
        <w:tc>
          <w:tcPr>
            <w:tcW w:w="1390" w:type="dxa"/>
            <w:shd w:val="clear" w:color="auto" w:fill="auto"/>
            <w:vAlign w:val="center"/>
          </w:tcPr>
          <w:p w14:paraId="7C8FF45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750（详见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27A0F4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542812E">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A27FFE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945"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10</w:t>
            </w:r>
          </w:p>
        </w:tc>
        <w:tc>
          <w:tcPr>
            <w:tcW w:w="1515"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体外循环逆行灌注插管</w:t>
            </w:r>
          </w:p>
        </w:tc>
        <w:tc>
          <w:tcPr>
            <w:tcW w:w="2246" w:type="dxa"/>
            <w:shd w:val="clear" w:color="auto" w:fill="auto"/>
            <w:vAlign w:val="center"/>
          </w:tcPr>
          <w:p w14:paraId="6760E6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用于心肺分流手术将心肌停跳液输送至冠脉窦。</w:t>
            </w:r>
          </w:p>
        </w:tc>
        <w:tc>
          <w:tcPr>
            <w:tcW w:w="139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2100-2280（详见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07CB3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935714C">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20793A3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1884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8CC58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945" w:type="dxa"/>
            <w:shd w:val="clear" w:color="auto" w:fill="auto"/>
            <w:noWrap/>
            <w:vAlign w:val="center"/>
          </w:tcPr>
          <w:p w14:paraId="6C93117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11</w:t>
            </w:r>
          </w:p>
        </w:tc>
        <w:tc>
          <w:tcPr>
            <w:tcW w:w="1515" w:type="dxa"/>
            <w:shd w:val="clear" w:color="auto" w:fill="auto"/>
            <w:vAlign w:val="center"/>
          </w:tcPr>
          <w:p w14:paraId="6E6E5E6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微导丝</w:t>
            </w:r>
          </w:p>
        </w:tc>
        <w:tc>
          <w:tcPr>
            <w:tcW w:w="2246" w:type="dxa"/>
            <w:shd w:val="clear" w:color="auto" w:fill="auto"/>
            <w:vAlign w:val="center"/>
          </w:tcPr>
          <w:p w14:paraId="0F4529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微导丝被设计用于放射介入诊断和治疗手术，引导导管插入血管或定位</w:t>
            </w:r>
          </w:p>
        </w:tc>
        <w:tc>
          <w:tcPr>
            <w:tcW w:w="1390" w:type="dxa"/>
            <w:shd w:val="clear" w:color="auto" w:fill="auto"/>
            <w:vAlign w:val="center"/>
          </w:tcPr>
          <w:p w14:paraId="253B467E">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1000（详见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79F14DD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7F4C812">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肿瘤中心</w:t>
            </w:r>
          </w:p>
        </w:tc>
        <w:tc>
          <w:tcPr>
            <w:tcW w:w="727" w:type="dxa"/>
            <w:shd w:val="clear" w:color="auto" w:fill="auto"/>
            <w:vAlign w:val="center"/>
          </w:tcPr>
          <w:p w14:paraId="4408CA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3F9A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E4137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945" w:type="dxa"/>
            <w:shd w:val="clear" w:color="auto" w:fill="auto"/>
            <w:noWrap/>
            <w:vAlign w:val="center"/>
          </w:tcPr>
          <w:p w14:paraId="31B04D6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12</w:t>
            </w:r>
          </w:p>
        </w:tc>
        <w:tc>
          <w:tcPr>
            <w:tcW w:w="1515" w:type="dxa"/>
            <w:shd w:val="clear" w:color="auto" w:fill="auto"/>
            <w:vAlign w:val="center"/>
          </w:tcPr>
          <w:p w14:paraId="482C55F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微导管</w:t>
            </w:r>
          </w:p>
        </w:tc>
        <w:tc>
          <w:tcPr>
            <w:tcW w:w="2246" w:type="dxa"/>
            <w:shd w:val="clear" w:color="auto" w:fill="auto"/>
            <w:vAlign w:val="center"/>
          </w:tcPr>
          <w:p w14:paraId="0C2257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微导管适用于对小血管或超选择性解剖结构进行诊断及介入操作，包括用于外周和冠脉血管系统。</w:t>
            </w:r>
          </w:p>
        </w:tc>
        <w:tc>
          <w:tcPr>
            <w:tcW w:w="1390" w:type="dxa"/>
            <w:shd w:val="clear" w:color="auto" w:fill="auto"/>
            <w:vAlign w:val="center"/>
          </w:tcPr>
          <w:p w14:paraId="5711CFA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685160A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2A4ECF83">
            <w:pPr>
              <w:keepNext w:val="0"/>
              <w:keepLines w:val="0"/>
              <w:widowControl/>
              <w:suppressLineNumbers w:val="0"/>
              <w:jc w:val="center"/>
              <w:textAlignment w:val="center"/>
              <w:rPr>
                <w:rFonts w:hint="eastAsia"/>
              </w:rPr>
            </w:pPr>
            <w:r>
              <w:rPr>
                <w:rFonts w:hint="eastAsia"/>
              </w:rPr>
              <w:t>肿瘤中心</w:t>
            </w:r>
          </w:p>
        </w:tc>
        <w:tc>
          <w:tcPr>
            <w:tcW w:w="727" w:type="dxa"/>
            <w:shd w:val="clear" w:color="auto" w:fill="auto"/>
            <w:vAlign w:val="center"/>
          </w:tcPr>
          <w:p w14:paraId="2C3C71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2BB7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DB181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945" w:type="dxa"/>
            <w:shd w:val="clear" w:color="auto" w:fill="auto"/>
            <w:noWrap/>
            <w:vAlign w:val="center"/>
          </w:tcPr>
          <w:p w14:paraId="104E68F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13</w:t>
            </w:r>
          </w:p>
        </w:tc>
        <w:tc>
          <w:tcPr>
            <w:tcW w:w="1515" w:type="dxa"/>
            <w:shd w:val="clear" w:color="auto" w:fill="auto"/>
            <w:vAlign w:val="center"/>
          </w:tcPr>
          <w:p w14:paraId="520BF5D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透明敷料</w:t>
            </w:r>
          </w:p>
        </w:tc>
        <w:tc>
          <w:tcPr>
            <w:tcW w:w="2246" w:type="dxa"/>
            <w:shd w:val="clear" w:color="auto" w:fill="auto"/>
            <w:vAlign w:val="center"/>
          </w:tcPr>
          <w:p w14:paraId="347415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为聚氨酯薄膜材料，表面均匀涂有丙烯酸粘合剂。用于导管固定。</w:t>
            </w:r>
          </w:p>
        </w:tc>
        <w:tc>
          <w:tcPr>
            <w:tcW w:w="1390" w:type="dxa"/>
            <w:shd w:val="clear" w:color="auto" w:fill="auto"/>
            <w:vAlign w:val="center"/>
          </w:tcPr>
          <w:p w14:paraId="52508DE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61E92C8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7011F23">
            <w:pPr>
              <w:keepNext w:val="0"/>
              <w:keepLines w:val="0"/>
              <w:widowControl/>
              <w:suppressLineNumbers w:val="0"/>
              <w:jc w:val="center"/>
              <w:textAlignment w:val="center"/>
              <w:rPr>
                <w:rFonts w:hint="eastAsia"/>
              </w:rPr>
            </w:pPr>
            <w:r>
              <w:rPr>
                <w:rFonts w:hint="eastAsia"/>
              </w:rPr>
              <w:t>肿瘤中心</w:t>
            </w:r>
          </w:p>
        </w:tc>
        <w:tc>
          <w:tcPr>
            <w:tcW w:w="727" w:type="dxa"/>
            <w:shd w:val="clear" w:color="auto" w:fill="auto"/>
            <w:vAlign w:val="center"/>
          </w:tcPr>
          <w:p w14:paraId="655150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2AC5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A8A5E5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945" w:type="dxa"/>
            <w:shd w:val="clear" w:color="auto" w:fill="auto"/>
            <w:noWrap/>
            <w:vAlign w:val="center"/>
          </w:tcPr>
          <w:p w14:paraId="1480426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14</w:t>
            </w:r>
          </w:p>
        </w:tc>
        <w:tc>
          <w:tcPr>
            <w:tcW w:w="1515" w:type="dxa"/>
            <w:shd w:val="clear" w:color="auto" w:fill="auto"/>
            <w:vAlign w:val="center"/>
          </w:tcPr>
          <w:p w14:paraId="508892A1">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highlight w:val="none"/>
                <w:vertAlign w:val="baseline"/>
                <w:lang w:val="en-US" w:eastAsia="zh-CN"/>
              </w:rPr>
              <w:t>主动脉打孔器</w:t>
            </w:r>
          </w:p>
        </w:tc>
        <w:tc>
          <w:tcPr>
            <w:tcW w:w="2246" w:type="dxa"/>
            <w:shd w:val="clear" w:color="auto" w:fill="auto"/>
            <w:vAlign w:val="center"/>
          </w:tcPr>
          <w:p w14:paraId="648250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用于在冠状动脉搭桥手术过程中进行血管壁打孔。</w:t>
            </w:r>
          </w:p>
        </w:tc>
        <w:tc>
          <w:tcPr>
            <w:tcW w:w="1390" w:type="dxa"/>
            <w:shd w:val="clear" w:color="auto" w:fill="auto"/>
            <w:vAlign w:val="center"/>
          </w:tcPr>
          <w:p w14:paraId="054CE27E">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2A305E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19B653A">
            <w:pPr>
              <w:keepNext w:val="0"/>
              <w:keepLines w:val="0"/>
              <w:widowControl/>
              <w:suppressLineNumbers w:val="0"/>
              <w:jc w:val="center"/>
              <w:textAlignment w:val="center"/>
              <w:rPr>
                <w:rFonts w:hint="eastAsi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661A8240">
            <w:pPr>
              <w:keepNext w:val="0"/>
              <w:keepLines w:val="0"/>
              <w:widowControl/>
              <w:suppressLineNumbers w:val="0"/>
              <w:jc w:val="center"/>
              <w:textAlignment w:val="center"/>
              <w:rPr>
                <w:rFonts w:hint="eastAsia"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2D07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FC0D8E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945" w:type="dxa"/>
            <w:shd w:val="clear" w:color="auto" w:fill="auto"/>
            <w:noWrap/>
            <w:vAlign w:val="center"/>
          </w:tcPr>
          <w:p w14:paraId="60472B5E">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15</w:t>
            </w:r>
          </w:p>
        </w:tc>
        <w:tc>
          <w:tcPr>
            <w:tcW w:w="1515" w:type="dxa"/>
            <w:shd w:val="clear" w:color="auto" w:fill="auto"/>
            <w:vAlign w:val="center"/>
          </w:tcPr>
          <w:p w14:paraId="2DBD033A">
            <w:pPr>
              <w:keepNext w:val="0"/>
              <w:keepLines w:val="0"/>
              <w:widowControl/>
              <w:suppressLineNumbers w:val="0"/>
              <w:jc w:val="center"/>
              <w:textAlignment w:val="center"/>
              <w:rPr>
                <w:rFonts w:hint="default"/>
                <w:highlight w:val="none"/>
                <w:vertAlign w:val="baseline"/>
                <w:lang w:val="en-US" w:eastAsia="zh-CN"/>
              </w:rPr>
            </w:pPr>
            <w:r>
              <w:rPr>
                <w:rFonts w:hint="default"/>
                <w:highlight w:val="none"/>
                <w:vertAlign w:val="baseline"/>
                <w:lang w:val="en-US" w:eastAsia="zh-CN"/>
              </w:rPr>
              <w:t>眼部热敷治疗贴</w:t>
            </w:r>
          </w:p>
        </w:tc>
        <w:tc>
          <w:tcPr>
            <w:tcW w:w="2246" w:type="dxa"/>
            <w:shd w:val="clear" w:color="auto" w:fill="auto"/>
            <w:vAlign w:val="center"/>
          </w:tcPr>
          <w:p w14:paraId="5E093F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供医疗机构作为烫熨疗法的热源用。</w:t>
            </w:r>
          </w:p>
        </w:tc>
        <w:tc>
          <w:tcPr>
            <w:tcW w:w="1390" w:type="dxa"/>
            <w:shd w:val="clear" w:color="auto" w:fill="auto"/>
            <w:vAlign w:val="center"/>
          </w:tcPr>
          <w:p w14:paraId="26DA69B9">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12F6E7C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1D2D3214">
            <w:pPr>
              <w:keepNext w:val="0"/>
              <w:keepLines w:val="0"/>
              <w:widowControl/>
              <w:suppressLineNumbers w:val="0"/>
              <w:jc w:val="center"/>
              <w:textAlignment w:val="center"/>
              <w:rPr>
                <w:rFonts w:hint="default" w:ascii="Times New Roman" w:hAnsi="Times New Roman" w:cs="Times New Roman" w:eastAsiaTheme="minorEastAsia"/>
                <w:kern w:val="2"/>
                <w:sz w:val="21"/>
                <w:szCs w:val="24"/>
                <w:lang w:val="en-US" w:eastAsia="zh-CN" w:bidi="ar-SA"/>
              </w:rPr>
            </w:pPr>
            <w:r>
              <w:rPr>
                <w:rFonts w:hint="eastAsia" w:cs="Times New Roman"/>
                <w:kern w:val="2"/>
                <w:sz w:val="21"/>
                <w:szCs w:val="24"/>
                <w:lang w:val="en-US" w:eastAsia="zh-CN" w:bidi="ar-SA"/>
              </w:rPr>
              <w:t>眼科</w:t>
            </w:r>
          </w:p>
        </w:tc>
        <w:tc>
          <w:tcPr>
            <w:tcW w:w="727" w:type="dxa"/>
            <w:shd w:val="clear" w:color="auto" w:fill="auto"/>
            <w:vAlign w:val="center"/>
          </w:tcPr>
          <w:p w14:paraId="1B35908C">
            <w:pPr>
              <w:keepNext w:val="0"/>
              <w:keepLines w:val="0"/>
              <w:widowControl/>
              <w:suppressLineNumbers w:val="0"/>
              <w:jc w:val="center"/>
              <w:textAlignment w:val="center"/>
              <w:rPr>
                <w:rFonts w:hint="default"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bl>
    <w:p w14:paraId="6E9763DB">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53FBB94B">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bookmarkStart w:id="30" w:name="_GoBack"/>
      <w:bookmarkEnd w:id="30"/>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90"/>
        <w:gridCol w:w="770"/>
        <w:gridCol w:w="754"/>
        <w:gridCol w:w="727"/>
      </w:tblGrid>
      <w:tr w14:paraId="57CB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3742006C">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2A019F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0DF6B80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1A913EE5">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90" w:type="dxa"/>
            <w:vAlign w:val="center"/>
          </w:tcPr>
          <w:p w14:paraId="10D35EC2">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A0D85C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770" w:type="dxa"/>
            <w:vAlign w:val="center"/>
          </w:tcPr>
          <w:p w14:paraId="5585A86B">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51B5D0B4">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4C2FAAD5">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065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auto" w:fill="auto"/>
            <w:vAlign w:val="center"/>
          </w:tcPr>
          <w:p w14:paraId="19A8B4E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42D123E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06</w:t>
            </w:r>
          </w:p>
        </w:tc>
        <w:tc>
          <w:tcPr>
            <w:tcW w:w="1515" w:type="dxa"/>
            <w:shd w:val="clear" w:color="auto" w:fill="auto"/>
            <w:vAlign w:val="center"/>
          </w:tcPr>
          <w:p w14:paraId="6F3C016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一次性使用心脏冷停搏液灌注器-灌注针（组件）</w:t>
            </w:r>
          </w:p>
        </w:tc>
        <w:tc>
          <w:tcPr>
            <w:tcW w:w="2246" w:type="dxa"/>
            <w:shd w:val="clear" w:color="auto" w:fill="auto"/>
            <w:vAlign w:val="center"/>
          </w:tcPr>
          <w:p w14:paraId="4ACF75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适用于体外循环心脏直视手术；适用于冷却、传输、灌注心脏停搏液和氧合血液。</w:t>
            </w:r>
          </w:p>
        </w:tc>
        <w:tc>
          <w:tcPr>
            <w:tcW w:w="1390" w:type="dxa"/>
            <w:shd w:val="clear" w:color="auto" w:fill="auto"/>
            <w:vAlign w:val="center"/>
          </w:tcPr>
          <w:p w14:paraId="67E1047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88、115（详见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7C7F2B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1C3B515">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54218A9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4AF6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auto" w:fill="auto"/>
            <w:vAlign w:val="center"/>
          </w:tcPr>
          <w:p w14:paraId="54E21C5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945" w:type="dxa"/>
            <w:shd w:val="clear" w:color="auto" w:fill="auto"/>
            <w:noWrap/>
            <w:vAlign w:val="center"/>
          </w:tcPr>
          <w:p w14:paraId="1A5E518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07</w:t>
            </w:r>
          </w:p>
        </w:tc>
        <w:tc>
          <w:tcPr>
            <w:tcW w:w="1515" w:type="dxa"/>
            <w:shd w:val="clear" w:color="auto" w:fill="auto"/>
            <w:vAlign w:val="center"/>
          </w:tcPr>
          <w:p w14:paraId="181524F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一次性使用人工心肺机体外循环管道包部件</w:t>
            </w:r>
          </w:p>
        </w:tc>
        <w:tc>
          <w:tcPr>
            <w:tcW w:w="2246" w:type="dxa"/>
            <w:shd w:val="clear" w:color="auto" w:fill="auto"/>
            <w:vAlign w:val="center"/>
          </w:tcPr>
          <w:p w14:paraId="030F071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适用于心脏手术中供人工心肺机连接各个器械组成一个动脉系统和腔静脉系统回路。</w:t>
            </w:r>
          </w:p>
        </w:tc>
        <w:tc>
          <w:tcPr>
            <w:tcW w:w="1390" w:type="dxa"/>
            <w:shd w:val="clear" w:color="auto" w:fill="auto"/>
            <w:vAlign w:val="center"/>
          </w:tcPr>
          <w:p w14:paraId="3A56A671">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60、395、5、137、80、5、210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5AC305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0A0534D0">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6CE830A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7056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F6C9FA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1945" w:type="dxa"/>
            <w:shd w:val="clear" w:color="auto" w:fill="auto"/>
            <w:noWrap/>
            <w:vAlign w:val="center"/>
          </w:tcPr>
          <w:p w14:paraId="4852DF4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08</w:t>
            </w:r>
          </w:p>
        </w:tc>
        <w:tc>
          <w:tcPr>
            <w:tcW w:w="1515" w:type="dxa"/>
            <w:shd w:val="clear" w:color="auto" w:fill="auto"/>
            <w:vAlign w:val="center"/>
          </w:tcPr>
          <w:p w14:paraId="4621F26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体外循环顺行灌注插管</w:t>
            </w:r>
          </w:p>
        </w:tc>
        <w:tc>
          <w:tcPr>
            <w:tcW w:w="2246" w:type="dxa"/>
            <w:shd w:val="clear" w:color="auto" w:fill="auto"/>
            <w:vAlign w:val="center"/>
          </w:tcPr>
          <w:p w14:paraId="282850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用于在心肺分流手术中传输心肌停跳液。</w:t>
            </w:r>
          </w:p>
        </w:tc>
        <w:tc>
          <w:tcPr>
            <w:tcW w:w="1390" w:type="dxa"/>
            <w:shd w:val="clear" w:color="auto" w:fill="auto"/>
            <w:vAlign w:val="center"/>
          </w:tcPr>
          <w:p w14:paraId="572396E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0E5846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771A3596">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29C1761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1B96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251535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945" w:type="dxa"/>
            <w:shd w:val="clear" w:color="auto" w:fill="auto"/>
            <w:noWrap/>
            <w:vAlign w:val="center"/>
          </w:tcPr>
          <w:p w14:paraId="6EAA42F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09</w:t>
            </w:r>
          </w:p>
        </w:tc>
        <w:tc>
          <w:tcPr>
            <w:tcW w:w="1515" w:type="dxa"/>
            <w:shd w:val="clear" w:color="auto" w:fill="auto"/>
            <w:vAlign w:val="center"/>
          </w:tcPr>
          <w:p w14:paraId="30AEE277">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一次性使用心脏停跳液灌注器</w:t>
            </w:r>
          </w:p>
        </w:tc>
        <w:tc>
          <w:tcPr>
            <w:tcW w:w="2246" w:type="dxa"/>
            <w:shd w:val="clear" w:color="auto" w:fill="auto"/>
            <w:vAlign w:val="center"/>
          </w:tcPr>
          <w:p w14:paraId="06CD78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适用于体外循环直视手术中进行心肌保护。</w:t>
            </w:r>
          </w:p>
        </w:tc>
        <w:tc>
          <w:tcPr>
            <w:tcW w:w="1390" w:type="dxa"/>
            <w:shd w:val="clear" w:color="auto" w:fill="auto"/>
            <w:vAlign w:val="center"/>
          </w:tcPr>
          <w:p w14:paraId="3AC67A28">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750（详见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3F3144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0994C2D">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0EDAB24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4D24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B83960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945" w:type="dxa"/>
            <w:shd w:val="clear" w:color="auto" w:fill="auto"/>
            <w:noWrap/>
            <w:vAlign w:val="center"/>
          </w:tcPr>
          <w:p w14:paraId="2907CFE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10</w:t>
            </w:r>
          </w:p>
        </w:tc>
        <w:tc>
          <w:tcPr>
            <w:tcW w:w="1515" w:type="dxa"/>
            <w:shd w:val="clear" w:color="auto" w:fill="auto"/>
            <w:vAlign w:val="center"/>
          </w:tcPr>
          <w:p w14:paraId="4CE74AD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体外循环逆行灌注插管</w:t>
            </w:r>
          </w:p>
        </w:tc>
        <w:tc>
          <w:tcPr>
            <w:tcW w:w="2246" w:type="dxa"/>
            <w:shd w:val="clear" w:color="auto" w:fill="auto"/>
            <w:vAlign w:val="center"/>
          </w:tcPr>
          <w:p w14:paraId="668FEF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用于心肺分流手术将心肌停跳液输送至冠脉窦。</w:t>
            </w:r>
          </w:p>
        </w:tc>
        <w:tc>
          <w:tcPr>
            <w:tcW w:w="1390" w:type="dxa"/>
            <w:shd w:val="clear" w:color="auto" w:fill="auto"/>
            <w:vAlign w:val="center"/>
          </w:tcPr>
          <w:p w14:paraId="7F6CC385">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2100-2280（详见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3D4D4C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D0408D6">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541EE7A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6959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ABBB4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945" w:type="dxa"/>
            <w:shd w:val="clear" w:color="auto" w:fill="auto"/>
            <w:noWrap/>
            <w:vAlign w:val="center"/>
          </w:tcPr>
          <w:p w14:paraId="4B3DF96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11</w:t>
            </w:r>
          </w:p>
        </w:tc>
        <w:tc>
          <w:tcPr>
            <w:tcW w:w="1515" w:type="dxa"/>
            <w:shd w:val="clear" w:color="auto" w:fill="auto"/>
            <w:vAlign w:val="center"/>
          </w:tcPr>
          <w:p w14:paraId="66D24E3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微导丝</w:t>
            </w:r>
          </w:p>
        </w:tc>
        <w:tc>
          <w:tcPr>
            <w:tcW w:w="2246" w:type="dxa"/>
            <w:shd w:val="clear" w:color="auto" w:fill="auto"/>
            <w:vAlign w:val="center"/>
          </w:tcPr>
          <w:p w14:paraId="627826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微导丝被设计用于放射介入诊断和治疗手术，引导导管插入血管或定位</w:t>
            </w:r>
          </w:p>
        </w:tc>
        <w:tc>
          <w:tcPr>
            <w:tcW w:w="1390" w:type="dxa"/>
            <w:shd w:val="clear" w:color="auto" w:fill="auto"/>
            <w:vAlign w:val="center"/>
          </w:tcPr>
          <w:p w14:paraId="67D658AA">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1000（详见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0F70315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5BC7CD51">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肿瘤中心</w:t>
            </w:r>
          </w:p>
        </w:tc>
        <w:tc>
          <w:tcPr>
            <w:tcW w:w="727" w:type="dxa"/>
            <w:shd w:val="clear" w:color="auto" w:fill="auto"/>
            <w:vAlign w:val="center"/>
          </w:tcPr>
          <w:p w14:paraId="5F41DF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7B42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659B7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945" w:type="dxa"/>
            <w:shd w:val="clear" w:color="auto" w:fill="auto"/>
            <w:noWrap/>
            <w:vAlign w:val="center"/>
          </w:tcPr>
          <w:p w14:paraId="1B6D97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12</w:t>
            </w:r>
          </w:p>
        </w:tc>
        <w:tc>
          <w:tcPr>
            <w:tcW w:w="1515" w:type="dxa"/>
            <w:shd w:val="clear" w:color="auto" w:fill="auto"/>
            <w:vAlign w:val="center"/>
          </w:tcPr>
          <w:p w14:paraId="0ED3108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微导管</w:t>
            </w:r>
          </w:p>
        </w:tc>
        <w:tc>
          <w:tcPr>
            <w:tcW w:w="2246" w:type="dxa"/>
            <w:shd w:val="clear" w:color="auto" w:fill="auto"/>
            <w:vAlign w:val="center"/>
          </w:tcPr>
          <w:p w14:paraId="3F9DD0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微导管适用于对小血管或超选择性解剖结构进行诊断及介入操作，包括用于外周和冠脉血管系统。</w:t>
            </w:r>
          </w:p>
        </w:tc>
        <w:tc>
          <w:tcPr>
            <w:tcW w:w="1390" w:type="dxa"/>
            <w:shd w:val="clear" w:color="auto" w:fill="auto"/>
            <w:vAlign w:val="center"/>
          </w:tcPr>
          <w:p w14:paraId="3DA3803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7495BB2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04975FCE">
            <w:pPr>
              <w:keepNext w:val="0"/>
              <w:keepLines w:val="0"/>
              <w:widowControl/>
              <w:suppressLineNumbers w:val="0"/>
              <w:jc w:val="center"/>
              <w:textAlignment w:val="center"/>
              <w:rPr>
                <w:rFonts w:hint="eastAsia"/>
              </w:rPr>
            </w:pPr>
            <w:r>
              <w:rPr>
                <w:rFonts w:hint="eastAsia"/>
              </w:rPr>
              <w:t>肿瘤中心</w:t>
            </w:r>
          </w:p>
        </w:tc>
        <w:tc>
          <w:tcPr>
            <w:tcW w:w="727" w:type="dxa"/>
            <w:shd w:val="clear" w:color="auto" w:fill="auto"/>
            <w:vAlign w:val="center"/>
          </w:tcPr>
          <w:p w14:paraId="2D227D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1DA0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578E4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945" w:type="dxa"/>
            <w:shd w:val="clear" w:color="auto" w:fill="auto"/>
            <w:noWrap/>
            <w:vAlign w:val="center"/>
          </w:tcPr>
          <w:p w14:paraId="45CE5DE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13</w:t>
            </w:r>
          </w:p>
        </w:tc>
        <w:tc>
          <w:tcPr>
            <w:tcW w:w="1515" w:type="dxa"/>
            <w:shd w:val="clear" w:color="auto" w:fill="auto"/>
            <w:vAlign w:val="center"/>
          </w:tcPr>
          <w:p w14:paraId="320B480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透明敷料</w:t>
            </w:r>
          </w:p>
        </w:tc>
        <w:tc>
          <w:tcPr>
            <w:tcW w:w="2246" w:type="dxa"/>
            <w:shd w:val="clear" w:color="auto" w:fill="auto"/>
            <w:vAlign w:val="center"/>
          </w:tcPr>
          <w:p w14:paraId="211EC8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为聚氨酯薄膜材料，表面均匀涂有丙烯酸粘合剂。用于导管固定。</w:t>
            </w:r>
          </w:p>
        </w:tc>
        <w:tc>
          <w:tcPr>
            <w:tcW w:w="1390" w:type="dxa"/>
            <w:shd w:val="clear" w:color="auto" w:fill="auto"/>
            <w:vAlign w:val="center"/>
          </w:tcPr>
          <w:p w14:paraId="08C6366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0C09117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15B234FC">
            <w:pPr>
              <w:keepNext w:val="0"/>
              <w:keepLines w:val="0"/>
              <w:widowControl/>
              <w:suppressLineNumbers w:val="0"/>
              <w:jc w:val="center"/>
              <w:textAlignment w:val="center"/>
              <w:rPr>
                <w:rFonts w:hint="eastAsia"/>
              </w:rPr>
            </w:pPr>
            <w:r>
              <w:rPr>
                <w:rFonts w:hint="eastAsia"/>
              </w:rPr>
              <w:t>肿瘤中心</w:t>
            </w:r>
          </w:p>
        </w:tc>
        <w:tc>
          <w:tcPr>
            <w:tcW w:w="727" w:type="dxa"/>
            <w:shd w:val="clear" w:color="auto" w:fill="auto"/>
            <w:vAlign w:val="center"/>
          </w:tcPr>
          <w:p w14:paraId="4B7B69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7C9A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F3149F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945" w:type="dxa"/>
            <w:shd w:val="clear" w:color="auto" w:fill="auto"/>
            <w:noWrap/>
            <w:vAlign w:val="center"/>
          </w:tcPr>
          <w:p w14:paraId="0E184A6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14</w:t>
            </w:r>
          </w:p>
        </w:tc>
        <w:tc>
          <w:tcPr>
            <w:tcW w:w="1515" w:type="dxa"/>
            <w:shd w:val="clear" w:color="auto" w:fill="auto"/>
            <w:vAlign w:val="center"/>
          </w:tcPr>
          <w:p w14:paraId="114C8936">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highlight w:val="none"/>
                <w:vertAlign w:val="baseline"/>
                <w:lang w:val="en-US" w:eastAsia="zh-CN"/>
              </w:rPr>
              <w:t>主动脉打孔器</w:t>
            </w:r>
          </w:p>
        </w:tc>
        <w:tc>
          <w:tcPr>
            <w:tcW w:w="2246" w:type="dxa"/>
            <w:shd w:val="clear" w:color="auto" w:fill="auto"/>
            <w:vAlign w:val="center"/>
          </w:tcPr>
          <w:p w14:paraId="098BAF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用于在冠状动脉搭桥手术过程中进行血管壁打孔。</w:t>
            </w:r>
          </w:p>
        </w:tc>
        <w:tc>
          <w:tcPr>
            <w:tcW w:w="1390" w:type="dxa"/>
            <w:shd w:val="clear" w:color="auto" w:fill="auto"/>
            <w:vAlign w:val="center"/>
          </w:tcPr>
          <w:p w14:paraId="59F867A2">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2DAAAE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42803F0E">
            <w:pPr>
              <w:keepNext w:val="0"/>
              <w:keepLines w:val="0"/>
              <w:widowControl/>
              <w:suppressLineNumbers w:val="0"/>
              <w:jc w:val="center"/>
              <w:textAlignment w:val="center"/>
              <w:rPr>
                <w:rFonts w:hint="eastAsia"/>
              </w:rPr>
            </w:pPr>
            <w:r>
              <w:rPr>
                <w:rFonts w:hint="eastAsia" w:ascii="Times New Roman" w:hAnsi="Times New Roman" w:cs="Times New Roman" w:eastAsiaTheme="minorEastAsia"/>
                <w:kern w:val="2"/>
                <w:sz w:val="21"/>
                <w:szCs w:val="24"/>
                <w:lang w:val="en-US" w:eastAsia="zh-CN" w:bidi="ar-SA"/>
              </w:rPr>
              <w:t>心脏大血管外科</w:t>
            </w:r>
          </w:p>
        </w:tc>
        <w:tc>
          <w:tcPr>
            <w:tcW w:w="727" w:type="dxa"/>
            <w:shd w:val="clear" w:color="auto" w:fill="auto"/>
            <w:vAlign w:val="center"/>
          </w:tcPr>
          <w:p w14:paraId="70EA2206">
            <w:pPr>
              <w:keepNext w:val="0"/>
              <w:keepLines w:val="0"/>
              <w:widowControl/>
              <w:suppressLineNumbers w:val="0"/>
              <w:jc w:val="center"/>
              <w:textAlignment w:val="center"/>
              <w:rPr>
                <w:rFonts w:hint="eastAsia"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r w14:paraId="30A4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72BBFA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945" w:type="dxa"/>
            <w:shd w:val="clear" w:color="auto" w:fill="auto"/>
            <w:noWrap/>
            <w:vAlign w:val="center"/>
          </w:tcPr>
          <w:p w14:paraId="36A06968">
            <w:pPr>
              <w:keepNext w:val="0"/>
              <w:keepLines w:val="0"/>
              <w:widowControl/>
              <w:suppressLineNumbers w:val="0"/>
              <w:jc w:val="center"/>
              <w:textAlignment w:val="center"/>
              <w:rPr>
                <w:rFonts w:hint="default"/>
                <w:highlight w:val="none"/>
                <w:vertAlign w:val="baseline"/>
                <w:lang w:val="en-US" w:eastAsia="zh-CN"/>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03</w:t>
            </w:r>
            <w:r>
              <w:rPr>
                <w:rFonts w:hint="default"/>
                <w:vertAlign w:val="baseline"/>
                <w:lang w:val="en-US" w:eastAsia="zh-CN"/>
              </w:rPr>
              <w:t>-</w:t>
            </w:r>
            <w:r>
              <w:rPr>
                <w:rFonts w:hint="eastAsia"/>
                <w:vertAlign w:val="baseline"/>
                <w:lang w:val="en-US" w:eastAsia="zh-CN"/>
              </w:rPr>
              <w:t>15</w:t>
            </w:r>
          </w:p>
        </w:tc>
        <w:tc>
          <w:tcPr>
            <w:tcW w:w="1515" w:type="dxa"/>
            <w:shd w:val="clear" w:color="auto" w:fill="auto"/>
            <w:vAlign w:val="center"/>
          </w:tcPr>
          <w:p w14:paraId="5B2385AB">
            <w:pPr>
              <w:keepNext w:val="0"/>
              <w:keepLines w:val="0"/>
              <w:widowControl/>
              <w:suppressLineNumbers w:val="0"/>
              <w:jc w:val="center"/>
              <w:textAlignment w:val="center"/>
              <w:rPr>
                <w:rFonts w:hint="default"/>
                <w:highlight w:val="none"/>
                <w:vertAlign w:val="baseline"/>
                <w:lang w:val="en-US" w:eastAsia="zh-CN"/>
              </w:rPr>
            </w:pPr>
            <w:r>
              <w:rPr>
                <w:rFonts w:hint="default"/>
                <w:highlight w:val="none"/>
                <w:vertAlign w:val="baseline"/>
                <w:lang w:val="en-US" w:eastAsia="zh-CN"/>
              </w:rPr>
              <w:t>眼部热敷治疗贴</w:t>
            </w:r>
          </w:p>
        </w:tc>
        <w:tc>
          <w:tcPr>
            <w:tcW w:w="2246" w:type="dxa"/>
            <w:shd w:val="clear" w:color="auto" w:fill="auto"/>
            <w:vAlign w:val="center"/>
          </w:tcPr>
          <w:p w14:paraId="0E5856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供医疗机构作为烫熨疗法的热源用。</w:t>
            </w:r>
          </w:p>
        </w:tc>
        <w:tc>
          <w:tcPr>
            <w:tcW w:w="1390" w:type="dxa"/>
            <w:shd w:val="clear" w:color="auto" w:fill="auto"/>
            <w:vAlign w:val="center"/>
          </w:tcPr>
          <w:p w14:paraId="145981E4">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770" w:type="dxa"/>
            <w:shd w:val="clear" w:color="auto" w:fill="auto"/>
            <w:vAlign w:val="center"/>
          </w:tcPr>
          <w:p w14:paraId="72D8C13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AEA93CF">
            <w:pPr>
              <w:keepNext w:val="0"/>
              <w:keepLines w:val="0"/>
              <w:widowControl/>
              <w:suppressLineNumbers w:val="0"/>
              <w:jc w:val="center"/>
              <w:textAlignment w:val="center"/>
              <w:rPr>
                <w:rFonts w:hint="default" w:ascii="Times New Roman" w:hAnsi="Times New Roman" w:cs="Times New Roman" w:eastAsiaTheme="minorEastAsia"/>
                <w:kern w:val="2"/>
                <w:sz w:val="21"/>
                <w:szCs w:val="24"/>
                <w:lang w:val="en-US" w:eastAsia="zh-CN" w:bidi="ar-SA"/>
              </w:rPr>
            </w:pPr>
            <w:r>
              <w:rPr>
                <w:rFonts w:hint="eastAsia" w:cs="Times New Roman"/>
                <w:kern w:val="2"/>
                <w:sz w:val="21"/>
                <w:szCs w:val="24"/>
                <w:lang w:val="en-US" w:eastAsia="zh-CN" w:bidi="ar-SA"/>
              </w:rPr>
              <w:t>眼科</w:t>
            </w:r>
          </w:p>
        </w:tc>
        <w:tc>
          <w:tcPr>
            <w:tcW w:w="727" w:type="dxa"/>
            <w:shd w:val="clear" w:color="auto" w:fill="auto"/>
            <w:vAlign w:val="center"/>
          </w:tcPr>
          <w:p w14:paraId="5A3F99D6">
            <w:pPr>
              <w:keepNext w:val="0"/>
              <w:keepLines w:val="0"/>
              <w:widowControl/>
              <w:suppressLineNumbers w:val="0"/>
              <w:jc w:val="center"/>
              <w:textAlignment w:val="center"/>
              <w:rPr>
                <w:rFonts w:hint="default"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bl>
    <w:p w14:paraId="30B940DA">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21674"/>
      <w:bookmarkStart w:id="13" w:name="_Toc73517679"/>
      <w:bookmarkStart w:id="14" w:name="_Toc100052408"/>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18158"/>
      <w:bookmarkStart w:id="18" w:name="_Toc73521587"/>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21677"/>
      <w:bookmarkStart w:id="23" w:name="_Toc73518160"/>
      <w:bookmarkStart w:id="24" w:name="_Toc73517682"/>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4BA11386">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7F3BF08-FE3B-4FF5-A5E4-9C0FAA4D49AD}"/>
  </w:font>
  <w:font w:name="黑体">
    <w:panose1 w:val="02010609060101010101"/>
    <w:charset w:val="86"/>
    <w:family w:val="auto"/>
    <w:pitch w:val="default"/>
    <w:sig w:usb0="800002BF" w:usb1="38CF7CFA" w:usb2="00000016" w:usb3="00000000" w:csb0="00040001" w:csb1="00000000"/>
    <w:embedRegular r:id="rId2" w:fontKey="{6E3A28E6-0A95-4365-978F-28B9236E44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AF60486-3E6C-4F21-9702-F4F726115CD6}"/>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E495CCEC-7F0E-469D-B18B-A4AD64C720AA}"/>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A4B429DE-7F49-47DA-A13F-45151D203BDC}"/>
  </w:font>
  <w:font w:name="华文中宋">
    <w:panose1 w:val="02010600040101010101"/>
    <w:charset w:val="86"/>
    <w:family w:val="auto"/>
    <w:pitch w:val="default"/>
    <w:sig w:usb0="00000287" w:usb1="080F0000" w:usb2="00000000" w:usb3="00000000" w:csb0="0004009F" w:csb1="DFD70000"/>
    <w:embedRegular r:id="rId6" w:fontKey="{D578F90F-F913-4583-B4B9-E274E55B4CD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1BC7A331-E39B-41AC-931E-5C9BA6C04070}"/>
  </w:font>
  <w:font w:name="Arial Unicode MS">
    <w:panose1 w:val="020B0604020202020204"/>
    <w:charset w:val="86"/>
    <w:family w:val="auto"/>
    <w:pitch w:val="default"/>
    <w:sig w:usb0="FFFFFFFF" w:usb1="E9FFFFFF" w:usb2="0000003F" w:usb3="00000000" w:csb0="603F01FF" w:csb1="FFFF0000"/>
    <w:embedRegular r:id="rId8" w:fontKey="{5282AD4B-431C-471C-BB74-1FBF0E6C9E4C}"/>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E552E811-FE5C-4AAA-9808-19F43E96CFCA}"/>
  </w:font>
  <w:font w:name="方正小标宋_GBK">
    <w:panose1 w:val="02000000000000000000"/>
    <w:charset w:val="86"/>
    <w:family w:val="script"/>
    <w:pitch w:val="default"/>
    <w:sig w:usb0="A00002BF" w:usb1="38CF7CFA" w:usb2="00082016" w:usb3="00000000" w:csb0="00040001" w:csb1="00000000"/>
    <w:embedRegular r:id="rId10" w:fontKey="{AB5B0BFD-F4F6-4545-9FB1-12DE7ECB6167}"/>
  </w:font>
  <w:font w:name="WPSEMBED8">
    <w:panose1 w:val="020B0604020202020204"/>
    <w:charset w:val="86"/>
    <w:family w:val="auto"/>
    <w:pitch w:val="default"/>
    <w:sig w:usb0="FFFFFFFF" w:usb1="E9FFFFFF" w:usb2="0000003F" w:usb3="00000000" w:csb0="603F01FF" w:csb1="FFFF0000"/>
  </w:font>
  <w:font w:name="WPSEMBED7">
    <w:panose1 w:val="02010600040101010101"/>
    <w:charset w:val="86"/>
    <w:family w:val="auto"/>
    <w:pitch w:val="default"/>
    <w:sig w:usb0="00000287" w:usb1="080F0000" w:usb2="00000000" w:usb3="00000000" w:csb0="0004009F" w:csb1="DFD70000"/>
  </w:font>
  <w:font w:name="WPSEMBED9">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245CFC"/>
    <w:rsid w:val="02383066"/>
    <w:rsid w:val="030E2569"/>
    <w:rsid w:val="031C69F7"/>
    <w:rsid w:val="03350C22"/>
    <w:rsid w:val="033B50CF"/>
    <w:rsid w:val="036C3027"/>
    <w:rsid w:val="03BD1657"/>
    <w:rsid w:val="03D80B70"/>
    <w:rsid w:val="044E1503"/>
    <w:rsid w:val="04C609C8"/>
    <w:rsid w:val="04CE3D21"/>
    <w:rsid w:val="04E35A1E"/>
    <w:rsid w:val="058D14E6"/>
    <w:rsid w:val="059E1E1A"/>
    <w:rsid w:val="05AC5740"/>
    <w:rsid w:val="05F477B7"/>
    <w:rsid w:val="062A4F87"/>
    <w:rsid w:val="064505A5"/>
    <w:rsid w:val="066426AB"/>
    <w:rsid w:val="06AE7ADB"/>
    <w:rsid w:val="06CE7C54"/>
    <w:rsid w:val="0722284A"/>
    <w:rsid w:val="07A05F2C"/>
    <w:rsid w:val="08403A7A"/>
    <w:rsid w:val="085546C8"/>
    <w:rsid w:val="09181A0E"/>
    <w:rsid w:val="09303623"/>
    <w:rsid w:val="09491AC5"/>
    <w:rsid w:val="0958005D"/>
    <w:rsid w:val="096440B1"/>
    <w:rsid w:val="09FA4319"/>
    <w:rsid w:val="0A243FBF"/>
    <w:rsid w:val="0A263C68"/>
    <w:rsid w:val="0A5667CD"/>
    <w:rsid w:val="0A95215F"/>
    <w:rsid w:val="0B0954D3"/>
    <w:rsid w:val="0B3A73A1"/>
    <w:rsid w:val="0B4A6058"/>
    <w:rsid w:val="0B53018B"/>
    <w:rsid w:val="0B9510F4"/>
    <w:rsid w:val="0BA13F3D"/>
    <w:rsid w:val="0BE95409"/>
    <w:rsid w:val="0BF834DB"/>
    <w:rsid w:val="0C70073F"/>
    <w:rsid w:val="0C9B1CCF"/>
    <w:rsid w:val="0CB1143F"/>
    <w:rsid w:val="0CCE2622"/>
    <w:rsid w:val="0E085C48"/>
    <w:rsid w:val="0E1034F8"/>
    <w:rsid w:val="0EBB3AA4"/>
    <w:rsid w:val="0FAD08ED"/>
    <w:rsid w:val="0FCE2E27"/>
    <w:rsid w:val="100D0676"/>
    <w:rsid w:val="104811C7"/>
    <w:rsid w:val="10A23C41"/>
    <w:rsid w:val="113373E5"/>
    <w:rsid w:val="12046FD4"/>
    <w:rsid w:val="1282504A"/>
    <w:rsid w:val="12B1205F"/>
    <w:rsid w:val="13B44A8A"/>
    <w:rsid w:val="14175BB0"/>
    <w:rsid w:val="147902B3"/>
    <w:rsid w:val="148A7D85"/>
    <w:rsid w:val="14922FE9"/>
    <w:rsid w:val="14DA73E8"/>
    <w:rsid w:val="14EE3866"/>
    <w:rsid w:val="150C1BA5"/>
    <w:rsid w:val="15180BA4"/>
    <w:rsid w:val="152E1EA0"/>
    <w:rsid w:val="15420113"/>
    <w:rsid w:val="15DC43E5"/>
    <w:rsid w:val="15ED7C45"/>
    <w:rsid w:val="16503E5D"/>
    <w:rsid w:val="166251BB"/>
    <w:rsid w:val="16714F7E"/>
    <w:rsid w:val="16822017"/>
    <w:rsid w:val="16F05D79"/>
    <w:rsid w:val="1711010A"/>
    <w:rsid w:val="171A032B"/>
    <w:rsid w:val="17324FA7"/>
    <w:rsid w:val="18353FC4"/>
    <w:rsid w:val="18510A99"/>
    <w:rsid w:val="188340A0"/>
    <w:rsid w:val="18B35F28"/>
    <w:rsid w:val="18C84236"/>
    <w:rsid w:val="190B1E92"/>
    <w:rsid w:val="19285BF1"/>
    <w:rsid w:val="193D15C5"/>
    <w:rsid w:val="19A23C56"/>
    <w:rsid w:val="19C235E7"/>
    <w:rsid w:val="1A845156"/>
    <w:rsid w:val="1AF94279"/>
    <w:rsid w:val="1B0E2C71"/>
    <w:rsid w:val="1B207E01"/>
    <w:rsid w:val="1B51155A"/>
    <w:rsid w:val="1BE14C7B"/>
    <w:rsid w:val="1BF807B0"/>
    <w:rsid w:val="1BF81957"/>
    <w:rsid w:val="1C142509"/>
    <w:rsid w:val="1C6360EC"/>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0F841A8"/>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9F173D"/>
    <w:rsid w:val="26B14214"/>
    <w:rsid w:val="26BE6F37"/>
    <w:rsid w:val="27AB0837"/>
    <w:rsid w:val="27BF157B"/>
    <w:rsid w:val="281B3EE1"/>
    <w:rsid w:val="28701645"/>
    <w:rsid w:val="28AF7CCD"/>
    <w:rsid w:val="28BB6273"/>
    <w:rsid w:val="28E30882"/>
    <w:rsid w:val="2955346A"/>
    <w:rsid w:val="29831B11"/>
    <w:rsid w:val="29993F11"/>
    <w:rsid w:val="29B33674"/>
    <w:rsid w:val="29DD3B12"/>
    <w:rsid w:val="2A29419B"/>
    <w:rsid w:val="2A7D4161"/>
    <w:rsid w:val="2B737933"/>
    <w:rsid w:val="2BBE4A09"/>
    <w:rsid w:val="2CED6B8B"/>
    <w:rsid w:val="2D2325AC"/>
    <w:rsid w:val="2D81021F"/>
    <w:rsid w:val="2DF5037E"/>
    <w:rsid w:val="2E424CB4"/>
    <w:rsid w:val="2EBE628C"/>
    <w:rsid w:val="2EC151A8"/>
    <w:rsid w:val="2FA22E86"/>
    <w:rsid w:val="3045712A"/>
    <w:rsid w:val="307D0DF5"/>
    <w:rsid w:val="30DF10B2"/>
    <w:rsid w:val="310D5099"/>
    <w:rsid w:val="31E542D4"/>
    <w:rsid w:val="31EE248D"/>
    <w:rsid w:val="327630C1"/>
    <w:rsid w:val="33097BA0"/>
    <w:rsid w:val="340B487E"/>
    <w:rsid w:val="342A3E19"/>
    <w:rsid w:val="34627E5E"/>
    <w:rsid w:val="34837AB0"/>
    <w:rsid w:val="34876E3B"/>
    <w:rsid w:val="34B526CB"/>
    <w:rsid w:val="34D53509"/>
    <w:rsid w:val="355949FC"/>
    <w:rsid w:val="355A337B"/>
    <w:rsid w:val="35B423F0"/>
    <w:rsid w:val="362F5B1E"/>
    <w:rsid w:val="36607729"/>
    <w:rsid w:val="36DB2EFD"/>
    <w:rsid w:val="36E3525D"/>
    <w:rsid w:val="36F63881"/>
    <w:rsid w:val="37295B73"/>
    <w:rsid w:val="372B5403"/>
    <w:rsid w:val="37344AFF"/>
    <w:rsid w:val="373777F1"/>
    <w:rsid w:val="373E02C1"/>
    <w:rsid w:val="37B27395"/>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B61040"/>
    <w:rsid w:val="3FED5CCD"/>
    <w:rsid w:val="400D4BB3"/>
    <w:rsid w:val="40251D40"/>
    <w:rsid w:val="4091460B"/>
    <w:rsid w:val="40CF687B"/>
    <w:rsid w:val="416D6A0E"/>
    <w:rsid w:val="4175600C"/>
    <w:rsid w:val="417D1DC2"/>
    <w:rsid w:val="41D624AB"/>
    <w:rsid w:val="43301127"/>
    <w:rsid w:val="4413082D"/>
    <w:rsid w:val="44687A85"/>
    <w:rsid w:val="446B68BB"/>
    <w:rsid w:val="44BE514E"/>
    <w:rsid w:val="44E42F3B"/>
    <w:rsid w:val="450046E2"/>
    <w:rsid w:val="456B1659"/>
    <w:rsid w:val="45C06792"/>
    <w:rsid w:val="45D43FEC"/>
    <w:rsid w:val="45F33725"/>
    <w:rsid w:val="46756E72"/>
    <w:rsid w:val="46813D02"/>
    <w:rsid w:val="473A07C7"/>
    <w:rsid w:val="474A1318"/>
    <w:rsid w:val="4760687D"/>
    <w:rsid w:val="477D3000"/>
    <w:rsid w:val="4810218B"/>
    <w:rsid w:val="48E05E43"/>
    <w:rsid w:val="494A2E38"/>
    <w:rsid w:val="498F35C1"/>
    <w:rsid w:val="49BD05D0"/>
    <w:rsid w:val="4A0A5CC7"/>
    <w:rsid w:val="4A11580F"/>
    <w:rsid w:val="4A307253"/>
    <w:rsid w:val="4A51660C"/>
    <w:rsid w:val="4A6C0158"/>
    <w:rsid w:val="4A777203"/>
    <w:rsid w:val="4AB41B33"/>
    <w:rsid w:val="4B110BE1"/>
    <w:rsid w:val="4B2A4158"/>
    <w:rsid w:val="4B6824FD"/>
    <w:rsid w:val="4B9761E7"/>
    <w:rsid w:val="4BD7377D"/>
    <w:rsid w:val="4BDF11B3"/>
    <w:rsid w:val="4CBB3066"/>
    <w:rsid w:val="4CBE5242"/>
    <w:rsid w:val="4CD51A8F"/>
    <w:rsid w:val="4CEB6A0D"/>
    <w:rsid w:val="4D473FEB"/>
    <w:rsid w:val="4D7E233E"/>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065585"/>
    <w:rsid w:val="592E63F2"/>
    <w:rsid w:val="59462FFB"/>
    <w:rsid w:val="59AB76A3"/>
    <w:rsid w:val="59F6057D"/>
    <w:rsid w:val="5A292701"/>
    <w:rsid w:val="5A627185"/>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AE61B0"/>
    <w:rsid w:val="65F00D0C"/>
    <w:rsid w:val="660A4DD7"/>
    <w:rsid w:val="665713E0"/>
    <w:rsid w:val="66C33EDD"/>
    <w:rsid w:val="67714DB8"/>
    <w:rsid w:val="67787E6E"/>
    <w:rsid w:val="677E3D99"/>
    <w:rsid w:val="67BA3663"/>
    <w:rsid w:val="67DB0DB2"/>
    <w:rsid w:val="682503E0"/>
    <w:rsid w:val="687259F8"/>
    <w:rsid w:val="68B50C53"/>
    <w:rsid w:val="68C65138"/>
    <w:rsid w:val="68E5013A"/>
    <w:rsid w:val="68ED0599"/>
    <w:rsid w:val="693D39ED"/>
    <w:rsid w:val="696B473F"/>
    <w:rsid w:val="69F6673E"/>
    <w:rsid w:val="6A480FCB"/>
    <w:rsid w:val="6AF82DCE"/>
    <w:rsid w:val="6B99622E"/>
    <w:rsid w:val="6BCF7654"/>
    <w:rsid w:val="6C1F1AD0"/>
    <w:rsid w:val="6C3111FA"/>
    <w:rsid w:val="6CC61070"/>
    <w:rsid w:val="6CE25242"/>
    <w:rsid w:val="6D3260DF"/>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C93C83"/>
    <w:rsid w:val="72FF3031"/>
    <w:rsid w:val="731F3538"/>
    <w:rsid w:val="73B56776"/>
    <w:rsid w:val="74333BE9"/>
    <w:rsid w:val="74766D2B"/>
    <w:rsid w:val="74B925FE"/>
    <w:rsid w:val="74BB4498"/>
    <w:rsid w:val="74E7523A"/>
    <w:rsid w:val="750C5F2D"/>
    <w:rsid w:val="753F5076"/>
    <w:rsid w:val="7542758E"/>
    <w:rsid w:val="75886FA4"/>
    <w:rsid w:val="758919A7"/>
    <w:rsid w:val="75970855"/>
    <w:rsid w:val="75AD3D2D"/>
    <w:rsid w:val="75C86E1A"/>
    <w:rsid w:val="76B73EBA"/>
    <w:rsid w:val="76C45185"/>
    <w:rsid w:val="77A13DC6"/>
    <w:rsid w:val="77BF58CF"/>
    <w:rsid w:val="784D29BC"/>
    <w:rsid w:val="78562547"/>
    <w:rsid w:val="78D94334"/>
    <w:rsid w:val="79845204"/>
    <w:rsid w:val="79940985"/>
    <w:rsid w:val="79B16D10"/>
    <w:rsid w:val="79DE04A6"/>
    <w:rsid w:val="79E629C5"/>
    <w:rsid w:val="7A004F1D"/>
    <w:rsid w:val="7A122D59"/>
    <w:rsid w:val="7A504787"/>
    <w:rsid w:val="7A5B35CF"/>
    <w:rsid w:val="7A6056B2"/>
    <w:rsid w:val="7A993117"/>
    <w:rsid w:val="7A9D4552"/>
    <w:rsid w:val="7BF37F79"/>
    <w:rsid w:val="7C850E39"/>
    <w:rsid w:val="7CA36E25"/>
    <w:rsid w:val="7CD30F7E"/>
    <w:rsid w:val="7D8E15A5"/>
    <w:rsid w:val="7D9628D3"/>
    <w:rsid w:val="7DCF466C"/>
    <w:rsid w:val="7DE027DD"/>
    <w:rsid w:val="7DF30FF9"/>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b03dc3-a59c-4042-bd10-f4260c77b284}">
  <ds:schemaRefs/>
</ds:datastoreItem>
</file>

<file path=customXml/itemProps3.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11246</Words>
  <Characters>12134</Characters>
  <Lines>212</Lines>
  <Paragraphs>59</Paragraphs>
  <TotalTime>7</TotalTime>
  <ScaleCrop>false</ScaleCrop>
  <LinksUpToDate>false</LinksUpToDate>
  <CharactersWithSpaces>12204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2026-01-23T05:50:04Z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