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F98C9C">
      <w:pPr>
        <w:widowControl/>
        <w:wordWrap w:val="0"/>
        <w:spacing w:line="420" w:lineRule="exact"/>
        <w:ind w:right="420" w:firstLine="420" w:firstLineChars="200"/>
        <w:rPr>
          <w:rFonts w:eastAsia="宋体"/>
          <w:szCs w:val="21"/>
        </w:rPr>
      </w:pPr>
    </w:p>
    <w:p w14:paraId="7889AFEE">
      <w:pPr>
        <w:snapToGrid w:val="0"/>
        <w:spacing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15E93D12">
      <w:pPr>
        <w:pStyle w:val="28"/>
      </w:pPr>
    </w:p>
    <w:p w14:paraId="78FEC670">
      <w:pPr>
        <w:snapToGrid w:val="0"/>
        <w:spacing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078A6090">
      <w:pPr>
        <w:spacing w:line="360" w:lineRule="auto"/>
        <w:rPr>
          <w:rFonts w:ascii="宋体" w:hAnsi="宋体"/>
          <w:sz w:val="24"/>
        </w:rPr>
      </w:pPr>
    </w:p>
    <w:p w14:paraId="3EECEC95">
      <w:pPr>
        <w:spacing w:line="360" w:lineRule="auto"/>
        <w:rPr>
          <w:rFonts w:ascii="宋体" w:hAnsi="宋体"/>
          <w:sz w:val="24"/>
        </w:rPr>
      </w:pPr>
    </w:p>
    <w:p w14:paraId="4B2D9F97">
      <w:pPr>
        <w:spacing w:line="360" w:lineRule="auto"/>
        <w:rPr>
          <w:rFonts w:ascii="宋体" w:hAnsi="宋体"/>
          <w:sz w:val="24"/>
        </w:rPr>
      </w:pPr>
    </w:p>
    <w:p w14:paraId="168C78ED">
      <w:pPr>
        <w:pStyle w:val="11"/>
        <w:spacing w:line="360" w:lineRule="auto"/>
        <w:ind w:firstLine="422" w:firstLineChars="132"/>
        <w:jc w:val="center"/>
        <w:rPr>
          <w:rFonts w:ascii="仿宋_GB2312" w:eastAsia="仿宋_GB2312"/>
          <w:b/>
          <w:sz w:val="32"/>
        </w:rPr>
      </w:pPr>
    </w:p>
    <w:tbl>
      <w:tblPr>
        <w:tblStyle w:val="29"/>
        <w:tblW w:w="5085" w:type="pct"/>
        <w:tblInd w:w="0" w:type="dxa"/>
        <w:tblLayout w:type="autofit"/>
        <w:tblCellMar>
          <w:top w:w="0" w:type="dxa"/>
          <w:left w:w="108" w:type="dxa"/>
          <w:bottom w:w="0" w:type="dxa"/>
          <w:right w:w="108" w:type="dxa"/>
        </w:tblCellMar>
      </w:tblPr>
      <w:tblGrid>
        <w:gridCol w:w="899"/>
        <w:gridCol w:w="2776"/>
        <w:gridCol w:w="3095"/>
        <w:gridCol w:w="2237"/>
      </w:tblGrid>
      <w:tr w14:paraId="22847845">
        <w:tblPrEx>
          <w:tblCellMar>
            <w:top w:w="0" w:type="dxa"/>
            <w:left w:w="108" w:type="dxa"/>
            <w:bottom w:w="0" w:type="dxa"/>
            <w:right w:w="108" w:type="dxa"/>
          </w:tblCellMar>
        </w:tblPrEx>
        <w:trPr>
          <w:trHeight w:val="786"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24AB874">
            <w:pPr>
              <w:jc w:val="center"/>
              <w:rPr>
                <w:rFonts w:eastAsia="宋体"/>
                <w:b/>
                <w:color w:val="000000"/>
                <w:sz w:val="30"/>
                <w:szCs w:val="30"/>
              </w:rPr>
            </w:pPr>
            <w:r>
              <w:rPr>
                <w:rFonts w:hint="eastAsia" w:eastAsia="宋体"/>
                <w:b/>
                <w:color w:val="000000"/>
                <w:sz w:val="30"/>
                <w:szCs w:val="30"/>
              </w:rPr>
              <w:t>2025年第</w:t>
            </w:r>
            <w:r>
              <w:rPr>
                <w:rFonts w:hint="eastAsia" w:eastAsia="宋体"/>
                <w:b/>
                <w:color w:val="000000"/>
                <w:sz w:val="30"/>
                <w:szCs w:val="30"/>
                <w:lang w:val="en-US" w:eastAsia="zh-CN"/>
              </w:rPr>
              <w:t>107</w:t>
            </w:r>
            <w:r>
              <w:rPr>
                <w:rFonts w:hint="eastAsia" w:eastAsia="宋体"/>
                <w:b/>
                <w:color w:val="000000"/>
                <w:sz w:val="30"/>
                <w:szCs w:val="30"/>
              </w:rPr>
              <w:t>期医用耗材</w:t>
            </w:r>
          </w:p>
        </w:tc>
      </w:tr>
      <w:tr w14:paraId="20184A02">
        <w:tblPrEx>
          <w:tblCellMar>
            <w:top w:w="0" w:type="dxa"/>
            <w:left w:w="108" w:type="dxa"/>
            <w:bottom w:w="0" w:type="dxa"/>
            <w:right w:w="108" w:type="dxa"/>
          </w:tblCellMar>
        </w:tblPrEx>
        <w:trPr>
          <w:trHeight w:val="353"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715A60A8">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541" w:type="pct"/>
            <w:tcBorders>
              <w:top w:val="single" w:color="auto" w:sz="4" w:space="0"/>
              <w:left w:val="nil"/>
              <w:bottom w:val="single" w:color="auto" w:sz="4" w:space="0"/>
              <w:right w:val="single" w:color="auto" w:sz="4" w:space="0"/>
            </w:tcBorders>
            <w:shd w:val="clear" w:color="auto" w:fill="auto"/>
            <w:vAlign w:val="center"/>
          </w:tcPr>
          <w:p w14:paraId="2497CE65">
            <w:pPr>
              <w:jc w:val="center"/>
              <w:rPr>
                <w:rFonts w:eastAsia="宋体"/>
                <w:color w:val="000000"/>
                <w:sz w:val="22"/>
              </w:rPr>
            </w:pPr>
            <w:r>
              <w:rPr>
                <w:rFonts w:hint="eastAsia" w:eastAsia="宋体"/>
                <w:color w:val="000000"/>
                <w:sz w:val="22"/>
              </w:rPr>
              <w:t>项目编号</w:t>
            </w:r>
          </w:p>
        </w:tc>
        <w:tc>
          <w:tcPr>
            <w:tcW w:w="1718" w:type="pct"/>
            <w:tcBorders>
              <w:top w:val="single" w:color="auto" w:sz="4" w:space="0"/>
              <w:left w:val="nil"/>
              <w:bottom w:val="single" w:color="auto" w:sz="4" w:space="0"/>
              <w:right w:val="single" w:color="auto" w:sz="4" w:space="0"/>
            </w:tcBorders>
            <w:shd w:val="clear" w:color="auto" w:fill="auto"/>
            <w:vAlign w:val="center"/>
          </w:tcPr>
          <w:p w14:paraId="1FEAE845">
            <w:pPr>
              <w:jc w:val="center"/>
              <w:rPr>
                <w:rFonts w:eastAsia="宋体"/>
                <w:color w:val="000000"/>
                <w:sz w:val="22"/>
              </w:rPr>
            </w:pPr>
            <w:r>
              <w:rPr>
                <w:rFonts w:hint="eastAsia" w:eastAsia="宋体"/>
                <w:color w:val="000000"/>
                <w:sz w:val="22"/>
              </w:rPr>
              <w:t>项目名称</w:t>
            </w:r>
          </w:p>
        </w:tc>
        <w:tc>
          <w:tcPr>
            <w:tcW w:w="1241" w:type="pct"/>
            <w:tcBorders>
              <w:top w:val="single" w:color="auto" w:sz="4" w:space="0"/>
              <w:left w:val="nil"/>
              <w:bottom w:val="single" w:color="auto" w:sz="4" w:space="0"/>
              <w:right w:val="single" w:color="auto" w:sz="4" w:space="0"/>
            </w:tcBorders>
            <w:shd w:val="clear" w:color="auto" w:fill="auto"/>
            <w:vAlign w:val="center"/>
          </w:tcPr>
          <w:p w14:paraId="421486F0">
            <w:pPr>
              <w:jc w:val="center"/>
              <w:rPr>
                <w:rFonts w:eastAsia="宋体"/>
                <w:color w:val="000000"/>
                <w:sz w:val="22"/>
              </w:rPr>
            </w:pPr>
            <w:r>
              <w:rPr>
                <w:rFonts w:hint="eastAsia" w:eastAsia="宋体"/>
                <w:color w:val="000000"/>
                <w:sz w:val="22"/>
              </w:rPr>
              <w:t>是否执行深圳市阳光平台线上采购</w:t>
            </w:r>
          </w:p>
        </w:tc>
      </w:tr>
      <w:tr w14:paraId="4966E7EF">
        <w:tblPrEx>
          <w:tblCellMar>
            <w:top w:w="0" w:type="dxa"/>
            <w:left w:w="108" w:type="dxa"/>
            <w:bottom w:w="0" w:type="dxa"/>
            <w:right w:w="108" w:type="dxa"/>
          </w:tblCellMar>
        </w:tblPrEx>
        <w:trPr>
          <w:trHeight w:val="288"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5BA763B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1541" w:type="pct"/>
            <w:tcBorders>
              <w:top w:val="single" w:color="auto" w:sz="4" w:space="0"/>
              <w:left w:val="nil"/>
              <w:bottom w:val="single" w:color="auto" w:sz="4" w:space="0"/>
              <w:right w:val="single" w:color="auto" w:sz="4" w:space="0"/>
            </w:tcBorders>
            <w:shd w:val="clear" w:color="auto" w:fill="auto"/>
            <w:vAlign w:val="center"/>
          </w:tcPr>
          <w:p w14:paraId="24D9492F">
            <w:pPr>
              <w:widowControl/>
              <w:jc w:val="center"/>
              <w:textAlignment w:val="center"/>
              <w:rPr>
                <w:rFonts w:hint="default" w:eastAsia="宋体"/>
                <w:color w:val="000000"/>
                <w:sz w:val="22"/>
                <w:lang w:val="en-US" w:eastAsia="zh-CN"/>
              </w:rPr>
            </w:pPr>
            <w:r>
              <w:rPr>
                <w:rFonts w:hint="default" w:ascii="Times New Roman" w:hAnsi="Times New Roman" w:eastAsia="宋体" w:cs="Times New Roman"/>
                <w:color w:val="000000"/>
                <w:kern w:val="0"/>
                <w:sz w:val="22"/>
                <w:szCs w:val="22"/>
                <w:lang w:val="en-US" w:eastAsia="zh-CN" w:bidi="ar-SA"/>
              </w:rPr>
              <w:t>ZCB2025-HC10</w:t>
            </w:r>
            <w:r>
              <w:rPr>
                <w:rFonts w:hint="eastAsia" w:eastAsia="宋体" w:cs="Times New Roman"/>
                <w:color w:val="000000"/>
                <w:kern w:val="0"/>
                <w:sz w:val="22"/>
                <w:szCs w:val="22"/>
                <w:lang w:val="en-US" w:eastAsia="zh-CN" w:bidi="ar-SA"/>
              </w:rPr>
              <w:t>7</w:t>
            </w:r>
            <w:r>
              <w:rPr>
                <w:rFonts w:hint="default" w:ascii="Times New Roman" w:hAnsi="Times New Roman" w:eastAsia="宋体" w:cs="Times New Roman"/>
                <w:color w:val="000000"/>
                <w:kern w:val="0"/>
                <w:sz w:val="22"/>
                <w:szCs w:val="22"/>
                <w:lang w:val="en-US" w:eastAsia="zh-CN" w:bidi="ar-SA"/>
              </w:rPr>
              <w:t>-80</w:t>
            </w:r>
            <w:r>
              <w:rPr>
                <w:rFonts w:hint="eastAsia" w:eastAsia="宋体" w:cs="Times New Roman"/>
                <w:color w:val="000000"/>
                <w:kern w:val="0"/>
                <w:sz w:val="22"/>
                <w:szCs w:val="22"/>
                <w:lang w:val="en-US" w:eastAsia="zh-CN" w:bidi="ar-SA"/>
              </w:rPr>
              <w:t>7</w:t>
            </w:r>
          </w:p>
        </w:tc>
        <w:tc>
          <w:tcPr>
            <w:tcW w:w="1718" w:type="pct"/>
            <w:tcBorders>
              <w:top w:val="single" w:color="auto" w:sz="4" w:space="0"/>
              <w:left w:val="nil"/>
              <w:bottom w:val="single" w:color="auto" w:sz="4" w:space="0"/>
              <w:right w:val="single" w:color="auto" w:sz="4" w:space="0"/>
            </w:tcBorders>
            <w:shd w:val="clear" w:color="auto" w:fill="auto"/>
            <w:vAlign w:val="center"/>
          </w:tcPr>
          <w:p w14:paraId="6610083A">
            <w:pPr>
              <w:jc w:val="center"/>
              <w:rPr>
                <w:rFonts w:hint="eastAsia" w:eastAsia="宋体"/>
                <w:color w:val="000000"/>
                <w:sz w:val="22"/>
                <w:lang w:eastAsia="zh-CN"/>
              </w:rPr>
            </w:pPr>
            <w:r>
              <w:rPr>
                <w:rFonts w:hint="eastAsia" w:asciiTheme="minorHAnsi" w:hAnsiTheme="minorHAnsi" w:eastAsiaTheme="minorEastAsia" w:cstheme="minorBidi"/>
                <w:color w:val="000000"/>
                <w:kern w:val="2"/>
                <w:sz w:val="22"/>
                <w:szCs w:val="22"/>
                <w:lang w:val="en-US" w:eastAsia="zh-CN" w:bidi="ar-SA"/>
              </w:rPr>
              <w:t>颅内支持导管</w:t>
            </w:r>
          </w:p>
        </w:tc>
        <w:tc>
          <w:tcPr>
            <w:tcW w:w="1241" w:type="pct"/>
            <w:tcBorders>
              <w:top w:val="single" w:color="auto" w:sz="4" w:space="0"/>
              <w:left w:val="nil"/>
              <w:bottom w:val="single" w:color="auto" w:sz="4" w:space="0"/>
              <w:right w:val="single" w:color="auto" w:sz="4" w:space="0"/>
            </w:tcBorders>
            <w:shd w:val="clear" w:color="auto" w:fill="auto"/>
            <w:vAlign w:val="center"/>
          </w:tcPr>
          <w:p w14:paraId="259E41E4">
            <w:pPr>
              <w:widowControl/>
              <w:jc w:val="center"/>
              <w:textAlignment w:val="center"/>
              <w:rPr>
                <w:rFonts w:eastAsia="宋体"/>
                <w:color w:val="000000"/>
                <w:sz w:val="22"/>
              </w:rPr>
            </w:pPr>
            <w:r>
              <w:rPr>
                <w:rFonts w:hint="eastAsia" w:asciiTheme="minorHAnsi" w:hAnsiTheme="minorHAnsi" w:cstheme="minorBidi"/>
                <w:color w:val="000000"/>
                <w:sz w:val="22"/>
                <w:szCs w:val="22"/>
              </w:rPr>
              <w:t>是</w:t>
            </w:r>
          </w:p>
        </w:tc>
      </w:tr>
      <w:tr w14:paraId="168791A0">
        <w:tblPrEx>
          <w:tblCellMar>
            <w:top w:w="0" w:type="dxa"/>
            <w:left w:w="108" w:type="dxa"/>
            <w:bottom w:w="0" w:type="dxa"/>
            <w:right w:w="108" w:type="dxa"/>
          </w:tblCellMar>
        </w:tblPrEx>
        <w:trPr>
          <w:trHeight w:val="415"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62060D66">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1541" w:type="pct"/>
            <w:tcBorders>
              <w:top w:val="single" w:color="auto" w:sz="4" w:space="0"/>
              <w:left w:val="nil"/>
              <w:bottom w:val="single" w:color="auto" w:sz="4" w:space="0"/>
              <w:right w:val="single" w:color="auto" w:sz="4" w:space="0"/>
            </w:tcBorders>
            <w:shd w:val="clear" w:color="auto" w:fill="auto"/>
            <w:vAlign w:val="center"/>
          </w:tcPr>
          <w:p w14:paraId="173AF4FB">
            <w:pPr>
              <w:widowControl/>
              <w:jc w:val="center"/>
              <w:textAlignment w:val="center"/>
              <w:rPr>
                <w:rFonts w:hint="default" w:ascii="Times New Roman" w:hAnsi="Times New Roman" w:eastAsia="宋体" w:cs="Times New Roman"/>
                <w:color w:val="000000"/>
                <w:kern w:val="0"/>
                <w:sz w:val="22"/>
                <w:szCs w:val="22"/>
                <w:lang w:val="en-US" w:eastAsia="zh-CN"/>
              </w:rPr>
            </w:pPr>
            <w:r>
              <w:rPr>
                <w:rFonts w:hint="eastAsia" w:ascii="Times New Roman" w:hAnsi="Times New Roman" w:eastAsia="宋体" w:cs="Times New Roman"/>
                <w:color w:val="000000"/>
                <w:kern w:val="0"/>
                <w:sz w:val="22"/>
                <w:szCs w:val="22"/>
                <w:lang w:val="en-US" w:eastAsia="zh-CN"/>
              </w:rPr>
              <w:t>ZCB2025-HC10</w:t>
            </w:r>
            <w:r>
              <w:rPr>
                <w:rFonts w:hint="eastAsia" w:eastAsia="宋体" w:cs="Times New Roman"/>
                <w:color w:val="000000"/>
                <w:kern w:val="0"/>
                <w:sz w:val="22"/>
                <w:szCs w:val="22"/>
                <w:lang w:val="en-US" w:eastAsia="zh-CN"/>
              </w:rPr>
              <w:t>7</w:t>
            </w:r>
            <w:r>
              <w:rPr>
                <w:rFonts w:hint="eastAsia" w:ascii="Times New Roman" w:hAnsi="Times New Roman" w:eastAsia="宋体" w:cs="Times New Roman"/>
                <w:color w:val="000000"/>
                <w:kern w:val="0"/>
                <w:sz w:val="22"/>
                <w:szCs w:val="22"/>
                <w:lang w:val="en-US" w:eastAsia="zh-CN"/>
              </w:rPr>
              <w:t>-80</w:t>
            </w:r>
            <w:r>
              <w:rPr>
                <w:rFonts w:hint="eastAsia" w:eastAsia="宋体" w:cs="Times New Roman"/>
                <w:color w:val="000000"/>
                <w:kern w:val="0"/>
                <w:sz w:val="22"/>
                <w:szCs w:val="22"/>
                <w:lang w:val="en-US" w:eastAsia="zh-CN"/>
              </w:rPr>
              <w:t>8</w:t>
            </w:r>
          </w:p>
        </w:tc>
        <w:tc>
          <w:tcPr>
            <w:tcW w:w="1718" w:type="pct"/>
            <w:tcBorders>
              <w:top w:val="single" w:color="auto" w:sz="4" w:space="0"/>
              <w:left w:val="nil"/>
              <w:bottom w:val="single" w:color="auto" w:sz="4" w:space="0"/>
              <w:right w:val="single" w:color="auto" w:sz="4" w:space="0"/>
            </w:tcBorders>
            <w:shd w:val="clear" w:color="auto" w:fill="auto"/>
            <w:vAlign w:val="center"/>
          </w:tcPr>
          <w:p w14:paraId="457E0BDF">
            <w:pPr>
              <w:jc w:val="center"/>
              <w:rPr>
                <w:rFonts w:asciiTheme="minorHAnsi" w:hAnsiTheme="minorHAnsi" w:cstheme="minorBidi"/>
                <w:color w:val="000000"/>
                <w:sz w:val="22"/>
                <w:szCs w:val="22"/>
              </w:rPr>
            </w:pPr>
            <w:r>
              <w:rPr>
                <w:rFonts w:hint="eastAsia" w:asciiTheme="minorHAnsi" w:hAnsiTheme="minorHAnsi" w:eastAsiaTheme="minorEastAsia" w:cstheme="minorBidi"/>
                <w:color w:val="000000"/>
                <w:kern w:val="2"/>
                <w:sz w:val="22"/>
                <w:szCs w:val="22"/>
                <w:lang w:val="en-US" w:eastAsia="zh-CN" w:bidi="ar-SA"/>
              </w:rPr>
              <w:t>血栓保护系统</w:t>
            </w:r>
          </w:p>
        </w:tc>
        <w:tc>
          <w:tcPr>
            <w:tcW w:w="1241" w:type="pct"/>
            <w:tcBorders>
              <w:top w:val="single" w:color="auto" w:sz="4" w:space="0"/>
              <w:left w:val="nil"/>
              <w:bottom w:val="single" w:color="auto" w:sz="4" w:space="0"/>
              <w:right w:val="single" w:color="auto" w:sz="4" w:space="0"/>
            </w:tcBorders>
            <w:shd w:val="clear" w:color="auto" w:fill="auto"/>
            <w:vAlign w:val="center"/>
          </w:tcPr>
          <w:p w14:paraId="0B4121B1">
            <w:pPr>
              <w:widowControl/>
              <w:jc w:val="center"/>
              <w:textAlignment w:val="center"/>
              <w:rPr>
                <w:rFonts w:asciiTheme="minorHAnsi" w:hAnsiTheme="minorHAnsi" w:cstheme="minorBidi"/>
                <w:color w:val="000000"/>
                <w:sz w:val="22"/>
                <w:szCs w:val="22"/>
              </w:rPr>
            </w:pPr>
            <w:r>
              <w:rPr>
                <w:rFonts w:hint="eastAsia" w:eastAsia="宋体"/>
                <w:color w:val="000000"/>
                <w:sz w:val="22"/>
              </w:rPr>
              <w:t>是</w:t>
            </w:r>
          </w:p>
        </w:tc>
      </w:tr>
      <w:tr w14:paraId="6C4A5BC3">
        <w:tblPrEx>
          <w:tblCellMar>
            <w:top w:w="0" w:type="dxa"/>
            <w:left w:w="108" w:type="dxa"/>
            <w:bottom w:w="0" w:type="dxa"/>
            <w:right w:w="108" w:type="dxa"/>
          </w:tblCellMar>
        </w:tblPrEx>
        <w:trPr>
          <w:trHeight w:val="400"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762DC0BF">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1541" w:type="pct"/>
            <w:tcBorders>
              <w:top w:val="single" w:color="auto" w:sz="4" w:space="0"/>
              <w:left w:val="nil"/>
              <w:bottom w:val="single" w:color="auto" w:sz="4" w:space="0"/>
              <w:right w:val="single" w:color="auto" w:sz="4" w:space="0"/>
            </w:tcBorders>
            <w:shd w:val="clear" w:color="auto" w:fill="auto"/>
            <w:vAlign w:val="center"/>
          </w:tcPr>
          <w:p w14:paraId="501BFDDA">
            <w:pPr>
              <w:widowControl/>
              <w:jc w:val="center"/>
              <w:textAlignment w:val="center"/>
              <w:rPr>
                <w:rFonts w:hint="default" w:ascii="Times New Roman" w:hAnsi="Times New Roman" w:eastAsia="宋体" w:cs="Times New Roman"/>
                <w:color w:val="000000"/>
                <w:kern w:val="0"/>
                <w:sz w:val="22"/>
                <w:szCs w:val="22"/>
                <w:lang w:val="en-US" w:eastAsia="zh-CN" w:bidi="ar-SA"/>
              </w:rPr>
            </w:pPr>
            <w:r>
              <w:rPr>
                <w:rFonts w:hint="eastAsia" w:ascii="Times New Roman" w:hAnsi="Times New Roman" w:eastAsia="宋体" w:cs="Times New Roman"/>
                <w:color w:val="000000"/>
                <w:kern w:val="0"/>
                <w:sz w:val="22"/>
                <w:szCs w:val="22"/>
                <w:lang w:val="en-US" w:eastAsia="zh-CN"/>
              </w:rPr>
              <w:t>ZCB2025-HC10</w:t>
            </w:r>
            <w:r>
              <w:rPr>
                <w:rFonts w:hint="eastAsia" w:eastAsia="宋体" w:cs="Times New Roman"/>
                <w:color w:val="000000"/>
                <w:kern w:val="0"/>
                <w:sz w:val="22"/>
                <w:szCs w:val="22"/>
                <w:lang w:val="en-US" w:eastAsia="zh-CN"/>
              </w:rPr>
              <w:t>7</w:t>
            </w:r>
            <w:r>
              <w:rPr>
                <w:rFonts w:hint="eastAsia" w:ascii="Times New Roman" w:hAnsi="Times New Roman" w:eastAsia="宋体" w:cs="Times New Roman"/>
                <w:color w:val="000000"/>
                <w:kern w:val="0"/>
                <w:sz w:val="22"/>
                <w:szCs w:val="22"/>
                <w:lang w:val="en-US" w:eastAsia="zh-CN"/>
              </w:rPr>
              <w:t>-80</w:t>
            </w:r>
            <w:r>
              <w:rPr>
                <w:rFonts w:hint="eastAsia" w:eastAsia="宋体" w:cs="Times New Roman"/>
                <w:color w:val="000000"/>
                <w:kern w:val="0"/>
                <w:sz w:val="22"/>
                <w:szCs w:val="22"/>
                <w:lang w:val="en-US" w:eastAsia="zh-CN"/>
              </w:rPr>
              <w:t>9</w:t>
            </w:r>
          </w:p>
        </w:tc>
        <w:tc>
          <w:tcPr>
            <w:tcW w:w="1718" w:type="pct"/>
            <w:tcBorders>
              <w:top w:val="single" w:color="auto" w:sz="4" w:space="0"/>
              <w:left w:val="nil"/>
              <w:bottom w:val="single" w:color="auto" w:sz="4" w:space="0"/>
              <w:right w:val="single" w:color="auto" w:sz="4" w:space="0"/>
            </w:tcBorders>
            <w:shd w:val="clear" w:color="auto" w:fill="auto"/>
            <w:vAlign w:val="center"/>
          </w:tcPr>
          <w:p w14:paraId="68B9563C">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血管重建装置和传送系统</w:t>
            </w:r>
          </w:p>
        </w:tc>
        <w:tc>
          <w:tcPr>
            <w:tcW w:w="1241" w:type="pct"/>
            <w:tcBorders>
              <w:top w:val="single" w:color="auto" w:sz="4" w:space="0"/>
              <w:left w:val="nil"/>
              <w:bottom w:val="single" w:color="auto" w:sz="4" w:space="0"/>
              <w:right w:val="single" w:color="auto" w:sz="4" w:space="0"/>
            </w:tcBorders>
            <w:shd w:val="clear" w:color="auto" w:fill="auto"/>
            <w:vAlign w:val="center"/>
          </w:tcPr>
          <w:p w14:paraId="2CEFF25A">
            <w:pPr>
              <w:widowControl/>
              <w:jc w:val="center"/>
              <w:textAlignment w:val="center"/>
              <w:rPr>
                <w:rFonts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是</w:t>
            </w:r>
          </w:p>
        </w:tc>
      </w:tr>
      <w:tr w14:paraId="468FA819">
        <w:tblPrEx>
          <w:tblCellMar>
            <w:top w:w="0" w:type="dxa"/>
            <w:left w:w="108" w:type="dxa"/>
            <w:bottom w:w="0" w:type="dxa"/>
            <w:right w:w="108" w:type="dxa"/>
          </w:tblCellMar>
        </w:tblPrEx>
        <w:trPr>
          <w:trHeight w:val="400"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6ACC93BD">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4</w:t>
            </w:r>
          </w:p>
        </w:tc>
        <w:tc>
          <w:tcPr>
            <w:tcW w:w="1541" w:type="pct"/>
            <w:tcBorders>
              <w:top w:val="single" w:color="auto" w:sz="4" w:space="0"/>
              <w:left w:val="nil"/>
              <w:bottom w:val="single" w:color="auto" w:sz="4" w:space="0"/>
              <w:right w:val="single" w:color="auto" w:sz="4" w:space="0"/>
            </w:tcBorders>
            <w:shd w:val="clear" w:color="auto" w:fill="auto"/>
            <w:vAlign w:val="center"/>
          </w:tcPr>
          <w:p w14:paraId="7B965BF6">
            <w:pPr>
              <w:widowControl/>
              <w:jc w:val="center"/>
              <w:textAlignment w:val="center"/>
              <w:rPr>
                <w:rFonts w:hint="default" w:ascii="Times New Roman" w:hAnsi="Times New Roman" w:eastAsia="宋体" w:cs="Times New Roman"/>
                <w:color w:val="000000"/>
                <w:kern w:val="0"/>
                <w:sz w:val="22"/>
                <w:szCs w:val="22"/>
                <w:lang w:val="en-US" w:eastAsia="zh-CN"/>
              </w:rPr>
            </w:pPr>
            <w:r>
              <w:rPr>
                <w:rFonts w:hint="eastAsia" w:ascii="Times New Roman" w:hAnsi="Times New Roman" w:eastAsia="宋体" w:cs="Times New Roman"/>
                <w:color w:val="000000"/>
                <w:kern w:val="0"/>
                <w:sz w:val="22"/>
                <w:szCs w:val="22"/>
                <w:lang w:val="en-US" w:eastAsia="zh-CN"/>
              </w:rPr>
              <w:t>ZCB2025-HC10</w:t>
            </w:r>
            <w:r>
              <w:rPr>
                <w:rFonts w:hint="eastAsia" w:eastAsia="宋体" w:cs="Times New Roman"/>
                <w:color w:val="000000"/>
                <w:kern w:val="0"/>
                <w:sz w:val="22"/>
                <w:szCs w:val="22"/>
                <w:lang w:val="en-US" w:eastAsia="zh-CN"/>
              </w:rPr>
              <w:t>7</w:t>
            </w:r>
            <w:r>
              <w:rPr>
                <w:rFonts w:hint="eastAsia" w:ascii="Times New Roman" w:hAnsi="Times New Roman" w:eastAsia="宋体" w:cs="Times New Roman"/>
                <w:color w:val="000000"/>
                <w:kern w:val="0"/>
                <w:sz w:val="22"/>
                <w:szCs w:val="22"/>
                <w:lang w:val="en-US" w:eastAsia="zh-CN"/>
              </w:rPr>
              <w:t>-8</w:t>
            </w:r>
            <w:r>
              <w:rPr>
                <w:rFonts w:hint="eastAsia" w:eastAsia="宋体" w:cs="Times New Roman"/>
                <w:color w:val="000000"/>
                <w:kern w:val="0"/>
                <w:sz w:val="22"/>
                <w:szCs w:val="22"/>
                <w:lang w:val="en-US" w:eastAsia="zh-CN"/>
              </w:rPr>
              <w:t>10-A</w:t>
            </w:r>
          </w:p>
        </w:tc>
        <w:tc>
          <w:tcPr>
            <w:tcW w:w="1718" w:type="pct"/>
            <w:tcBorders>
              <w:top w:val="single" w:color="auto" w:sz="4" w:space="0"/>
              <w:left w:val="nil"/>
              <w:bottom w:val="single" w:color="auto" w:sz="4" w:space="0"/>
              <w:right w:val="single" w:color="auto" w:sz="4" w:space="0"/>
            </w:tcBorders>
            <w:shd w:val="clear" w:color="auto" w:fill="auto"/>
            <w:vAlign w:val="center"/>
          </w:tcPr>
          <w:p w14:paraId="5D6AA131">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颅内球囊扩张导管</w:t>
            </w:r>
            <w:r>
              <w:rPr>
                <w:rFonts w:hint="eastAsia" w:asciiTheme="minorHAnsi" w:hAnsiTheme="minorHAnsi" w:cstheme="minorBidi"/>
                <w:color w:val="000000"/>
                <w:kern w:val="2"/>
                <w:sz w:val="22"/>
                <w:szCs w:val="22"/>
                <w:lang w:val="en-US" w:eastAsia="zh-CN" w:bidi="ar-SA"/>
              </w:rPr>
              <w:t>（A包）</w:t>
            </w:r>
          </w:p>
        </w:tc>
        <w:tc>
          <w:tcPr>
            <w:tcW w:w="1241" w:type="pct"/>
            <w:tcBorders>
              <w:top w:val="single" w:color="auto" w:sz="4" w:space="0"/>
              <w:left w:val="nil"/>
              <w:bottom w:val="single" w:color="auto" w:sz="4" w:space="0"/>
              <w:right w:val="single" w:color="auto" w:sz="4" w:space="0"/>
            </w:tcBorders>
            <w:shd w:val="clear" w:color="auto" w:fill="auto"/>
            <w:vAlign w:val="center"/>
          </w:tcPr>
          <w:p w14:paraId="22FDB551">
            <w:pPr>
              <w:widowControl/>
              <w:jc w:val="center"/>
              <w:textAlignment w:val="center"/>
              <w:rPr>
                <w:rFonts w:hint="eastAsia" w:asciiTheme="minorHAnsi" w:hAnsiTheme="minorHAnsi" w:cstheme="minorBidi"/>
                <w:color w:val="000000"/>
                <w:sz w:val="22"/>
                <w:szCs w:val="22"/>
              </w:rPr>
            </w:pPr>
            <w:r>
              <w:rPr>
                <w:rFonts w:hint="eastAsia" w:asciiTheme="minorHAnsi" w:hAnsiTheme="minorHAnsi" w:cstheme="minorBidi"/>
                <w:color w:val="000000"/>
                <w:sz w:val="22"/>
                <w:szCs w:val="22"/>
              </w:rPr>
              <w:t>是</w:t>
            </w:r>
          </w:p>
        </w:tc>
      </w:tr>
      <w:tr w14:paraId="06C9985A">
        <w:tblPrEx>
          <w:tblCellMar>
            <w:top w:w="0" w:type="dxa"/>
            <w:left w:w="108" w:type="dxa"/>
            <w:bottom w:w="0" w:type="dxa"/>
            <w:right w:w="108" w:type="dxa"/>
          </w:tblCellMar>
        </w:tblPrEx>
        <w:trPr>
          <w:trHeight w:val="405"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65ED8F87">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w:t>
            </w:r>
          </w:p>
        </w:tc>
        <w:tc>
          <w:tcPr>
            <w:tcW w:w="1541" w:type="pct"/>
            <w:tcBorders>
              <w:top w:val="single" w:color="auto" w:sz="4" w:space="0"/>
              <w:left w:val="nil"/>
              <w:bottom w:val="single" w:color="auto" w:sz="4" w:space="0"/>
              <w:right w:val="single" w:color="auto" w:sz="4" w:space="0"/>
            </w:tcBorders>
            <w:shd w:val="clear" w:color="auto" w:fill="auto"/>
            <w:vAlign w:val="center"/>
          </w:tcPr>
          <w:p w14:paraId="2660B019">
            <w:pPr>
              <w:widowControl/>
              <w:jc w:val="center"/>
              <w:textAlignment w:val="center"/>
              <w:rPr>
                <w:rFonts w:hint="default" w:ascii="Times New Roman" w:hAnsi="Times New Roman" w:eastAsia="宋体" w:cs="Times New Roman"/>
                <w:color w:val="000000"/>
                <w:kern w:val="0"/>
                <w:sz w:val="22"/>
                <w:szCs w:val="22"/>
                <w:lang w:val="en-US" w:eastAsia="zh-CN"/>
              </w:rPr>
            </w:pPr>
            <w:r>
              <w:rPr>
                <w:rFonts w:hint="eastAsia" w:ascii="Times New Roman" w:hAnsi="Times New Roman" w:eastAsia="宋体" w:cs="Times New Roman"/>
                <w:color w:val="000000"/>
                <w:kern w:val="0"/>
                <w:sz w:val="22"/>
                <w:szCs w:val="22"/>
                <w:lang w:val="en-US" w:eastAsia="zh-CN"/>
              </w:rPr>
              <w:t>ZCB2025-HC10</w:t>
            </w:r>
            <w:r>
              <w:rPr>
                <w:rFonts w:hint="eastAsia" w:eastAsia="宋体" w:cs="Times New Roman"/>
                <w:color w:val="000000"/>
                <w:kern w:val="0"/>
                <w:sz w:val="22"/>
                <w:szCs w:val="22"/>
                <w:lang w:val="en-US" w:eastAsia="zh-CN"/>
              </w:rPr>
              <w:t>7</w:t>
            </w:r>
            <w:r>
              <w:rPr>
                <w:rFonts w:hint="eastAsia" w:ascii="Times New Roman" w:hAnsi="Times New Roman" w:eastAsia="宋体" w:cs="Times New Roman"/>
                <w:color w:val="000000"/>
                <w:kern w:val="0"/>
                <w:sz w:val="22"/>
                <w:szCs w:val="22"/>
                <w:lang w:val="en-US" w:eastAsia="zh-CN"/>
              </w:rPr>
              <w:t>-81</w:t>
            </w:r>
            <w:r>
              <w:rPr>
                <w:rFonts w:hint="eastAsia" w:eastAsia="宋体" w:cs="Times New Roman"/>
                <w:color w:val="000000"/>
                <w:kern w:val="0"/>
                <w:sz w:val="22"/>
                <w:szCs w:val="22"/>
                <w:lang w:val="en-US" w:eastAsia="zh-CN"/>
              </w:rPr>
              <w:t>0-B</w:t>
            </w:r>
          </w:p>
        </w:tc>
        <w:tc>
          <w:tcPr>
            <w:tcW w:w="1718" w:type="pct"/>
            <w:tcBorders>
              <w:top w:val="single" w:color="auto" w:sz="4" w:space="0"/>
              <w:left w:val="nil"/>
              <w:bottom w:val="single" w:color="auto" w:sz="4" w:space="0"/>
              <w:right w:val="single" w:color="auto" w:sz="4" w:space="0"/>
            </w:tcBorders>
            <w:shd w:val="clear" w:color="auto" w:fill="auto"/>
            <w:vAlign w:val="center"/>
          </w:tcPr>
          <w:p w14:paraId="4A9D7D83">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颅内球囊扩张导管</w:t>
            </w:r>
            <w:r>
              <w:rPr>
                <w:rFonts w:hint="eastAsia" w:asciiTheme="minorHAnsi" w:hAnsiTheme="minorHAnsi" w:cstheme="minorBidi"/>
                <w:color w:val="000000"/>
                <w:kern w:val="2"/>
                <w:sz w:val="22"/>
                <w:szCs w:val="22"/>
                <w:lang w:val="en-US" w:eastAsia="zh-CN" w:bidi="ar-SA"/>
              </w:rPr>
              <w:t>（B包）</w:t>
            </w:r>
          </w:p>
        </w:tc>
        <w:tc>
          <w:tcPr>
            <w:tcW w:w="1241" w:type="pct"/>
            <w:tcBorders>
              <w:top w:val="single" w:color="auto" w:sz="4" w:space="0"/>
              <w:left w:val="nil"/>
              <w:bottom w:val="single" w:color="auto" w:sz="4" w:space="0"/>
              <w:right w:val="single" w:color="auto" w:sz="4" w:space="0"/>
            </w:tcBorders>
            <w:shd w:val="clear" w:color="auto" w:fill="auto"/>
            <w:vAlign w:val="center"/>
          </w:tcPr>
          <w:p w14:paraId="1871C4B2">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lang w:val="en-US" w:eastAsia="zh-CN"/>
              </w:rPr>
              <w:t>是</w:t>
            </w:r>
          </w:p>
        </w:tc>
      </w:tr>
    </w:tbl>
    <w:p w14:paraId="578A3407">
      <w:pPr>
        <w:spacing w:line="360" w:lineRule="auto"/>
        <w:rPr>
          <w:rFonts w:ascii="黑体" w:hAnsi="黑体" w:eastAsia="黑体" w:cs="黑体"/>
          <w:sz w:val="30"/>
        </w:rPr>
      </w:pPr>
    </w:p>
    <w:p w14:paraId="04D312F2">
      <w:pPr>
        <w:spacing w:line="360" w:lineRule="auto"/>
        <w:rPr>
          <w:rFonts w:ascii="黑体" w:hAnsi="黑体" w:eastAsia="黑体" w:cs="黑体"/>
          <w:sz w:val="30"/>
        </w:rPr>
      </w:pPr>
    </w:p>
    <w:p w14:paraId="1B79A7FD">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6B4788BF">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2025年</w:t>
      </w:r>
    </w:p>
    <w:p w14:paraId="5E888600">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245CFDC1">
          <w:pPr>
            <w:pStyle w:val="66"/>
            <w:rPr>
              <w:rFonts w:ascii="黑体" w:hAnsi="黑体" w:eastAsia="黑体" w:cs="黑体"/>
              <w:b w:val="0"/>
              <w:bCs w:val="0"/>
              <w:sz w:val="32"/>
              <w:szCs w:val="32"/>
            </w:rPr>
          </w:pPr>
        </w:p>
        <w:p w14:paraId="57EE6BDB">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0C8441B4">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54A4F500">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4040A20D">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059635F6">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0A812280">
          <w:pPr>
            <w:pStyle w:val="21"/>
            <w:rPr>
              <w:rFonts w:ascii="黑体" w:hAnsi="黑体" w:eastAsia="黑体" w:cs="黑体"/>
              <w:sz w:val="32"/>
              <w:szCs w:val="32"/>
            </w:rPr>
          </w:pPr>
          <w:r>
            <w:rPr>
              <w:rFonts w:hint="eastAsia" w:ascii="黑体" w:hAnsi="黑体" w:eastAsia="黑体" w:cs="黑体"/>
              <w:sz w:val="32"/>
              <w:szCs w:val="32"/>
            </w:rPr>
            <w:t>第四章 评审规则</w:t>
          </w:r>
        </w:p>
        <w:p w14:paraId="7455C162">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D646C4C">
          <w:pPr>
            <w:rPr>
              <w:rFonts w:ascii="黑体" w:hAnsi="黑体" w:eastAsia="黑体" w:cs="黑体"/>
              <w:sz w:val="32"/>
              <w:szCs w:val="32"/>
            </w:rPr>
          </w:pPr>
          <w:r>
            <w:rPr>
              <w:rFonts w:hint="eastAsia" w:ascii="黑体" w:hAnsi="黑体" w:eastAsia="黑体" w:cs="黑体"/>
              <w:sz w:val="32"/>
              <w:szCs w:val="32"/>
            </w:rPr>
            <w:t>第六章 合同的文本</w:t>
          </w:r>
        </w:p>
        <w:p w14:paraId="01BDBEA6">
          <w:pPr>
            <w:rPr>
              <w:rFonts w:ascii="黑体" w:hAnsi="黑体" w:eastAsia="黑体" w:cs="黑体"/>
              <w:sz w:val="32"/>
              <w:szCs w:val="32"/>
            </w:rPr>
          </w:pPr>
          <w:r>
            <w:rPr>
              <w:rFonts w:hint="eastAsia" w:ascii="黑体" w:hAnsi="黑体" w:eastAsia="黑体" w:cs="黑体"/>
              <w:sz w:val="32"/>
              <w:szCs w:val="32"/>
            </w:rPr>
            <w:t>第七章 投标文件格式</w:t>
          </w:r>
        </w:p>
        <w:p w14:paraId="578538CD">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189657A9">
      <w:pPr>
        <w:pStyle w:val="78"/>
      </w:pPr>
      <w:r>
        <w:rPr>
          <w:rFonts w:hint="eastAsia" w:ascii="方正小标宋简体" w:hAnsi="方正小标宋简体" w:eastAsia="方正小标宋简体" w:cs="方正小标宋简体"/>
          <w:bCs w:val="0"/>
          <w:sz w:val="44"/>
          <w:szCs w:val="44"/>
        </w:rPr>
        <w:t>第一章 2025年第</w:t>
      </w:r>
      <w:r>
        <w:rPr>
          <w:rFonts w:hint="eastAsia" w:ascii="方正小标宋简体" w:hAnsi="方正小标宋简体" w:eastAsia="方正小标宋简体" w:cs="方正小标宋简体"/>
          <w:bCs w:val="0"/>
          <w:color w:val="FF0000"/>
          <w:sz w:val="44"/>
          <w:szCs w:val="44"/>
          <w:lang w:val="en-US" w:eastAsia="zh-CN"/>
        </w:rPr>
        <w:t>107</w:t>
      </w:r>
      <w:r>
        <w:rPr>
          <w:rFonts w:hint="eastAsia" w:ascii="方正小标宋简体" w:hAnsi="方正小标宋简体" w:eastAsia="方正小标宋简体" w:cs="方正小标宋简体"/>
          <w:bCs w:val="0"/>
          <w:sz w:val="44"/>
          <w:szCs w:val="44"/>
        </w:rPr>
        <w:t>期医用耗材采购公告</w:t>
      </w:r>
    </w:p>
    <w:p w14:paraId="5660F85D">
      <w:pPr>
        <w:pStyle w:val="70"/>
        <w:jc w:val="center"/>
        <w:rPr>
          <w:rFonts w:cs="Tahoma"/>
          <w:sz w:val="24"/>
          <w:szCs w:val="24"/>
        </w:rPr>
      </w:pPr>
      <w:bookmarkStart w:id="1" w:name="_Toc992"/>
      <w:r>
        <w:rPr>
          <w:rFonts w:hint="eastAsia" w:cs="Tahoma"/>
          <w:b/>
          <w:bCs/>
          <w:sz w:val="24"/>
          <w:szCs w:val="24"/>
        </w:rPr>
        <w:t>第一部分采购邀请函</w:t>
      </w:r>
    </w:p>
    <w:p w14:paraId="6582B61A">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75D4F1F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7C27B3F3">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项目名称：2025年第</w:t>
      </w:r>
      <w:r>
        <w:rPr>
          <w:rFonts w:hint="eastAsia" w:ascii="Tahoma" w:hAnsi="Tahoma" w:cs="宋体"/>
          <w:kern w:val="0"/>
          <w:szCs w:val="21"/>
          <w:lang w:val="en-US" w:eastAsia="zh-CN"/>
        </w:rPr>
        <w:t>107</w:t>
      </w:r>
      <w:r>
        <w:rPr>
          <w:rFonts w:hint="eastAsia" w:ascii="Tahoma" w:hAnsi="Tahoma" w:cs="宋体"/>
          <w:kern w:val="0"/>
          <w:szCs w:val="21"/>
        </w:rPr>
        <w:t>期医用耗材</w:t>
      </w:r>
    </w:p>
    <w:p w14:paraId="1835957B">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41754507">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19B52F9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3C1998C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7288C66B">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74503D1">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局证明页：</w:t>
      </w:r>
      <w:r>
        <w:fldChar w:fldCharType="begin"/>
      </w:r>
      <w:r>
        <w:instrText xml:space="preserve"> HYPERLINK "https://www.nmpa.gov.cn" </w:instrText>
      </w:r>
      <w:r>
        <w:fldChar w:fldCharType="separate"/>
      </w:r>
      <w:r>
        <w:rPr>
          <w:rStyle w:val="34"/>
          <w:rFonts w:hint="eastAsia" w:ascii="Tahoma" w:hAnsi="Tahoma" w:cs="宋体"/>
          <w:kern w:val="0"/>
          <w:szCs w:val="21"/>
        </w:rPr>
        <w:t>https://www.nmpa.gov.cn</w:t>
      </w:r>
      <w:r>
        <w:rPr>
          <w:rStyle w:val="34"/>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56605967">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22157627">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7202EEA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581665A2">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67088595">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22C6BDC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6A283C0D">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7B94DE3A">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10402BE7">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5574AB72">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4E449D3">
      <w:pPr>
        <w:adjustRightInd w:val="0"/>
        <w:snapToGrid w:val="0"/>
        <w:spacing w:line="440" w:lineRule="atLeast"/>
        <w:ind w:firstLine="420" w:firstLineChars="200"/>
        <w:rPr>
          <w:color w:val="000000"/>
          <w:szCs w:val="21"/>
          <w:highlight w:val="yellow"/>
        </w:rPr>
      </w:pPr>
      <w:r>
        <w:rPr>
          <w:rFonts w:hint="eastAsia"/>
          <w:color w:val="000000"/>
          <w:szCs w:val="21"/>
          <w:highlight w:val="yellow"/>
        </w:rPr>
        <w:t>报名时间：自公告之日起至202</w:t>
      </w:r>
      <w:r>
        <w:rPr>
          <w:rFonts w:hint="eastAsia"/>
          <w:color w:val="000000"/>
          <w:szCs w:val="21"/>
          <w:highlight w:val="yellow"/>
          <w:lang w:val="en-US" w:eastAsia="zh-CN"/>
        </w:rPr>
        <w:t>6</w:t>
      </w:r>
      <w:r>
        <w:rPr>
          <w:rFonts w:hint="eastAsia"/>
          <w:color w:val="000000"/>
          <w:szCs w:val="21"/>
          <w:highlight w:val="yellow"/>
        </w:rPr>
        <w:t>年</w:t>
      </w:r>
      <w:r>
        <w:rPr>
          <w:rFonts w:hint="eastAsia"/>
          <w:color w:val="000000"/>
          <w:szCs w:val="21"/>
          <w:highlight w:val="yellow"/>
          <w:lang w:val="en-US" w:eastAsia="zh-CN"/>
        </w:rPr>
        <w:t>1</w:t>
      </w:r>
      <w:r>
        <w:rPr>
          <w:rFonts w:hint="eastAsia"/>
          <w:color w:val="000000"/>
          <w:szCs w:val="21"/>
          <w:highlight w:val="yellow"/>
        </w:rPr>
        <w:t>月</w:t>
      </w:r>
      <w:r>
        <w:rPr>
          <w:rFonts w:hint="eastAsia"/>
          <w:color w:val="000000"/>
          <w:szCs w:val="21"/>
          <w:highlight w:val="yellow"/>
          <w:lang w:val="en-US" w:eastAsia="zh-CN"/>
        </w:rPr>
        <w:t>16</w:t>
      </w:r>
      <w:r>
        <w:rPr>
          <w:rFonts w:hint="eastAsia"/>
          <w:color w:val="000000"/>
          <w:szCs w:val="21"/>
          <w:highlight w:val="yellow"/>
        </w:rPr>
        <w:t>日下午5：00</w:t>
      </w:r>
    </w:p>
    <w:p w14:paraId="76CD0E06">
      <w:pPr>
        <w:adjustRightInd w:val="0"/>
        <w:snapToGrid w:val="0"/>
        <w:spacing w:line="440" w:lineRule="atLeast"/>
        <w:ind w:firstLine="422" w:firstLineChars="200"/>
        <w:rPr>
          <w:color w:val="000000"/>
        </w:rPr>
      </w:pPr>
      <w:r>
        <w:rPr>
          <w:rFonts w:hint="eastAsia" w:ascii="Tahoma" w:hAnsi="Tahoma" w:cs="宋体"/>
          <w:b/>
          <w:bCs/>
          <w:szCs w:val="21"/>
        </w:rPr>
        <w:t>投标人将以下资格审查资料</w:t>
      </w:r>
      <w:r>
        <w:rPr>
          <w:rFonts w:hint="eastAsia"/>
          <w:color w:val="000000"/>
          <w:szCs w:val="21"/>
        </w:rPr>
        <w:t>加盖公章扫描成电子版发送至电子邮箱：zdbyzcb_88@163.com</w:t>
      </w:r>
      <w:r>
        <w:rPr>
          <w:rFonts w:hint="eastAsia" w:ascii="Tahoma" w:hAnsi="Tahoma" w:cs="宋体"/>
          <w:kern w:val="0"/>
          <w:szCs w:val="21"/>
        </w:rPr>
        <w:t>（资格审查资料属于采购档案的一部分）：</w:t>
      </w:r>
    </w:p>
    <w:p w14:paraId="3FE52E8B">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2025年第*期**项目医用耗材投标报名及资格审查文件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6298C9FE">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2EE6656A">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28F92D">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kern w:val="0"/>
          <w:szCs w:val="21"/>
          <w:highlight w:val="none"/>
        </w:rPr>
        <w:t>【</w:t>
      </w:r>
      <w:r>
        <w:rPr>
          <w:rFonts w:hint="eastAsia" w:ascii="Tahoma" w:hAnsi="Tahoma" w:cs="宋体"/>
          <w:kern w:val="0"/>
          <w:szCs w:val="21"/>
          <w:highlight w:val="none"/>
          <w:lang w:val="en-US" w:eastAsia="zh-CN"/>
        </w:rPr>
        <w:t>发送电子版后等通知。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4CDFD379">
      <w:pPr>
        <w:adjustRightInd w:val="0"/>
        <w:snapToGrid w:val="0"/>
        <w:spacing w:line="440" w:lineRule="atLeast"/>
        <w:ind w:firstLine="422" w:firstLineChars="200"/>
        <w:rPr>
          <w:rFonts w:ascii="宋体" w:hAnsi="宋体" w:cs="宋体"/>
          <w:b/>
          <w:color w:val="000000"/>
          <w:szCs w:val="21"/>
        </w:rPr>
      </w:pPr>
      <w:r>
        <w:rPr>
          <w:rFonts w:hint="eastAsia"/>
          <w:b/>
          <w:bCs/>
          <w:color w:val="000000"/>
          <w:szCs w:val="21"/>
        </w:rPr>
        <w:t>由招采办先行审核电子版，审核通过后，会电话或者邮件通知投标供应商将纸质资料装订（资格审查文件一正一副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b/>
          <w:bCs/>
          <w:color w:val="000000"/>
          <w:szCs w:val="21"/>
          <w:highlight w:val="yellow"/>
          <w:lang w:eastAsia="zh-CN"/>
        </w:rPr>
        <w:t>【</w:t>
      </w:r>
      <w:r>
        <w:rPr>
          <w:rFonts w:hint="eastAsia"/>
          <w:b/>
          <w:bCs/>
          <w:color w:val="000000"/>
          <w:szCs w:val="21"/>
          <w:highlight w:val="yellow"/>
          <w:lang w:val="en-US" w:eastAsia="zh-CN"/>
        </w:rPr>
        <w:t>未收到通知无需先行递交纸质资料</w:t>
      </w:r>
      <w:r>
        <w:rPr>
          <w:rFonts w:hint="eastAsia"/>
          <w:b/>
          <w:bCs/>
          <w:color w:val="000000"/>
          <w:szCs w:val="21"/>
          <w:highlight w:val="yellow"/>
          <w:lang w:eastAsia="zh-CN"/>
        </w:rPr>
        <w:t>】【</w:t>
      </w:r>
      <w:r>
        <w:rPr>
          <w:rFonts w:hint="eastAsia"/>
          <w:b/>
          <w:bCs/>
          <w:color w:val="000000"/>
          <w:szCs w:val="21"/>
          <w:highlight w:val="yellow"/>
          <w:lang w:val="en-US" w:eastAsia="zh-CN"/>
        </w:rPr>
        <w:t>纸质资料的递交时间不受报名时间截止的限制</w:t>
      </w:r>
      <w:r>
        <w:rPr>
          <w:rFonts w:hint="eastAsia"/>
          <w:b/>
          <w:bCs/>
          <w:color w:val="000000"/>
          <w:szCs w:val="21"/>
          <w:highlight w:val="yellow"/>
          <w:lang w:eastAsia="zh-CN"/>
        </w:rPr>
        <w:t>】</w:t>
      </w:r>
    </w:p>
    <w:p w14:paraId="2B4FB5D9">
      <w:pPr>
        <w:adjustRightInd w:val="0"/>
        <w:snapToGrid w:val="0"/>
        <w:spacing w:line="440" w:lineRule="atLeast"/>
        <w:ind w:left="42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highlight w:val="yellow"/>
          <w:lang w:val="en-US" w:eastAsia="zh-CN"/>
        </w:rPr>
        <w:t>5</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rPr>
        <w:t>请勿混合打包，以免遗漏项目</w:t>
      </w:r>
      <w:r>
        <w:rPr>
          <w:rFonts w:ascii="宋体" w:hAnsi="宋体" w:cs="宋体"/>
          <w:b/>
          <w:color w:val="000000"/>
          <w:szCs w:val="21"/>
        </w:rPr>
        <w:t>）。</w:t>
      </w:r>
    </w:p>
    <w:p w14:paraId="299D334F">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686877F3">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w:t>
      </w:r>
      <w:r>
        <w:rPr>
          <w:rFonts w:hint="eastAsia"/>
        </w:rPr>
        <w:t>。投标文件（具体格式见第五章投标文件）请在开标当天带至开标现场，投标文件需密封且封面需加盖公章。</w:t>
      </w:r>
    </w:p>
    <w:p w14:paraId="6586830D">
      <w:pPr>
        <w:adjustRightInd w:val="0"/>
        <w:snapToGrid w:val="0"/>
        <w:spacing w:line="440" w:lineRule="atLeast"/>
        <w:ind w:left="420" w:left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yellow"/>
        </w:rPr>
        <w:t>202</w:t>
      </w:r>
      <w:r>
        <w:rPr>
          <w:rFonts w:hint="eastAsia" w:ascii="宋体" w:hAnsi="宋体" w:eastAsia="宋体" w:cs="宋体"/>
          <w:b/>
          <w:bCs/>
          <w:color w:val="000000"/>
          <w:sz w:val="20"/>
          <w:szCs w:val="20"/>
          <w:highlight w:val="yellow"/>
          <w:lang w:val="en-US" w:eastAsia="zh-CN"/>
        </w:rPr>
        <w:t>6</w:t>
      </w:r>
      <w:r>
        <w:rPr>
          <w:rFonts w:hint="eastAsia" w:ascii="宋体" w:hAnsi="宋体" w:eastAsia="宋体" w:cs="宋体"/>
          <w:b/>
          <w:bCs/>
          <w:color w:val="000000"/>
          <w:sz w:val="20"/>
          <w:szCs w:val="20"/>
          <w:highlight w:val="yellow"/>
          <w:u w:val="single"/>
        </w:rPr>
        <w:t>年</w:t>
      </w:r>
      <w:r>
        <w:rPr>
          <w:rFonts w:hint="eastAsia" w:ascii="宋体" w:hAnsi="宋体" w:eastAsia="宋体" w:cs="宋体"/>
          <w:b/>
          <w:bCs/>
          <w:color w:val="000000"/>
          <w:sz w:val="20"/>
          <w:szCs w:val="20"/>
          <w:highlight w:val="yellow"/>
          <w:u w:val="single"/>
          <w:lang w:val="en-US" w:eastAsia="zh-CN"/>
        </w:rPr>
        <w:t>1</w:t>
      </w:r>
      <w:r>
        <w:rPr>
          <w:rFonts w:hint="eastAsia" w:ascii="宋体" w:hAnsi="宋体" w:eastAsia="宋体" w:cs="宋体"/>
          <w:b/>
          <w:bCs/>
          <w:color w:val="000000"/>
          <w:sz w:val="20"/>
          <w:szCs w:val="20"/>
          <w:highlight w:val="yellow"/>
          <w:u w:val="single"/>
        </w:rPr>
        <w:t>月</w:t>
      </w:r>
      <w:r>
        <w:rPr>
          <w:rFonts w:hint="eastAsia" w:ascii="宋体" w:hAnsi="宋体" w:eastAsia="宋体" w:cs="宋体"/>
          <w:b/>
          <w:bCs/>
          <w:color w:val="000000"/>
          <w:sz w:val="20"/>
          <w:szCs w:val="20"/>
          <w:highlight w:val="yellow"/>
          <w:u w:val="single"/>
          <w:lang w:val="en-US" w:eastAsia="zh-CN"/>
        </w:rPr>
        <w:t>30</w:t>
      </w:r>
      <w:r>
        <w:rPr>
          <w:rFonts w:hint="eastAsia" w:ascii="宋体" w:hAnsi="宋体" w:eastAsia="宋体" w:cs="宋体"/>
          <w:b/>
          <w:bCs/>
          <w:color w:val="000000"/>
          <w:sz w:val="20"/>
          <w:szCs w:val="20"/>
          <w:highlight w:val="yellow"/>
          <w:u w:val="single"/>
        </w:rPr>
        <w:t>日</w:t>
      </w:r>
      <w:r>
        <w:rPr>
          <w:rFonts w:hint="eastAsia" w:ascii="宋体" w:hAnsi="宋体" w:eastAsia="宋体" w:cs="宋体"/>
          <w:b/>
          <w:bCs/>
          <w:color w:val="000000"/>
          <w:sz w:val="20"/>
          <w:szCs w:val="20"/>
          <w:highlight w:val="yellow"/>
          <w:u w:val="single"/>
          <w:lang w:val="en-US" w:eastAsia="zh-CN"/>
        </w:rPr>
        <w:t>上</w:t>
      </w:r>
      <w:r>
        <w:rPr>
          <w:rFonts w:hint="eastAsia" w:ascii="宋体" w:hAnsi="宋体" w:eastAsia="宋体" w:cs="宋体"/>
          <w:b/>
          <w:bCs/>
          <w:color w:val="000000"/>
          <w:sz w:val="20"/>
          <w:szCs w:val="20"/>
          <w:highlight w:val="yellow"/>
          <w:u w:val="single"/>
        </w:rPr>
        <w:t>午</w:t>
      </w:r>
      <w:r>
        <w:rPr>
          <w:rFonts w:hint="eastAsia" w:ascii="宋体" w:hAnsi="宋体" w:eastAsia="宋体" w:cs="宋体"/>
          <w:b/>
          <w:bCs/>
          <w:color w:val="000000"/>
          <w:sz w:val="20"/>
          <w:szCs w:val="20"/>
          <w:highlight w:val="yellow"/>
          <w:u w:val="single"/>
          <w:lang w:val="en-US" w:eastAsia="zh-CN"/>
        </w:rPr>
        <w:t>8</w:t>
      </w:r>
      <w:r>
        <w:rPr>
          <w:rFonts w:hint="eastAsia" w:ascii="宋体" w:hAnsi="宋体" w:eastAsia="宋体" w:cs="宋体"/>
          <w:b/>
          <w:bCs/>
          <w:color w:val="000000"/>
          <w:sz w:val="20"/>
          <w:szCs w:val="20"/>
          <w:highlight w:val="yellow"/>
          <w:u w:val="single"/>
        </w:rPr>
        <w:t>：30分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 xml:space="preserve">福田区福华路92号福星北小区中山大学附属第八医院(深圳福田)行政楼307会议室 </w:t>
      </w:r>
    </w:p>
    <w:p w14:paraId="21E9F995">
      <w:pPr>
        <w:pStyle w:val="43"/>
        <w:adjustRightInd w:val="0"/>
        <w:snapToGrid w:val="0"/>
        <w:spacing w:line="440" w:lineRule="atLeast"/>
        <w:ind w:left="426" w:firstLine="0" w:firstLineChars="0"/>
      </w:pPr>
      <w:r>
        <w:rPr>
          <w:rFonts w:hint="eastAsia"/>
          <w:color w:val="000000"/>
          <w:szCs w:val="21"/>
          <w:highlight w:val="yellow"/>
        </w:rPr>
        <w:t>开标资料需作密封处理</w:t>
      </w:r>
      <w:r>
        <w:rPr>
          <w:rFonts w:hint="eastAsia"/>
          <w:color w:val="000000"/>
          <w:szCs w:val="21"/>
        </w:rPr>
        <w:t>（以下资料现场提交）</w:t>
      </w:r>
    </w:p>
    <w:p w14:paraId="7EE85620">
      <w:pPr>
        <w:pStyle w:val="43"/>
        <w:adjustRightInd w:val="0"/>
        <w:snapToGrid w:val="0"/>
        <w:spacing w:line="440" w:lineRule="atLeast"/>
        <w:ind w:left="420" w:firstLine="0" w:firstLineChars="0"/>
        <w:rPr>
          <w:rFonts w:ascii="Times New Roman" w:hAnsi="Times New Roman"/>
          <w:color w:val="FF0000"/>
          <w:szCs w:val="21"/>
        </w:rPr>
      </w:pPr>
      <w:r>
        <w:rPr>
          <w:rFonts w:hint="eastAsia" w:ascii="Times New Roman" w:hAnsi="Times New Roman"/>
          <w:color w:val="FF0000"/>
          <w:szCs w:val="21"/>
        </w:rPr>
        <w:t>1.纸质资料：投标文件（1正2副）</w:t>
      </w:r>
      <w:r>
        <w:rPr>
          <w:rFonts w:hint="eastAsia"/>
          <w:color w:val="FF0000"/>
          <w:szCs w:val="21"/>
        </w:rPr>
        <w:t>于开标当天带至开标现场</w:t>
      </w:r>
      <w:r>
        <w:rPr>
          <w:rFonts w:hint="eastAsia" w:ascii="Times New Roman" w:hAnsi="Times New Roman"/>
          <w:color w:val="FF0000"/>
          <w:szCs w:val="21"/>
        </w:rPr>
        <w:t>。</w:t>
      </w:r>
    </w:p>
    <w:p w14:paraId="489734BD">
      <w:pPr>
        <w:pStyle w:val="43"/>
        <w:adjustRightInd w:val="0"/>
        <w:snapToGrid w:val="0"/>
        <w:spacing w:line="440" w:lineRule="atLeast"/>
        <w:ind w:left="420" w:firstLine="0" w:firstLineChars="0"/>
        <w:rPr>
          <w:rFonts w:ascii="Times New Roman" w:hAnsi="Times New Roman"/>
          <w:color w:val="FF0000"/>
          <w:szCs w:val="21"/>
        </w:rPr>
      </w:pPr>
      <w:r>
        <w:rPr>
          <w:rFonts w:hint="eastAsia" w:ascii="Times New Roman" w:hAnsi="Times New Roman"/>
          <w:color w:val="FF0000"/>
          <w:szCs w:val="21"/>
        </w:rPr>
        <w:t>2、</w:t>
      </w:r>
      <w:r>
        <w:rPr>
          <w:rFonts w:hint="eastAsia"/>
          <w:color w:val="FF0000"/>
          <w:szCs w:val="21"/>
        </w:rPr>
        <w:t>电子资料：投标文件PDF盖章扫描件</w:t>
      </w:r>
      <w:r>
        <w:rPr>
          <w:rFonts w:hint="eastAsia"/>
          <w:color w:val="FF0000"/>
          <w:szCs w:val="21"/>
          <w:lang w:eastAsia="zh-CN"/>
        </w:rPr>
        <w:t>、</w:t>
      </w:r>
      <w:r>
        <w:rPr>
          <w:rFonts w:hint="eastAsia"/>
          <w:color w:val="FF0000"/>
          <w:szCs w:val="21"/>
          <w:lang w:val="en-US" w:eastAsia="zh-CN"/>
        </w:rPr>
        <w:t>附件2</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4321BA85">
      <w:pPr>
        <w:adjustRightInd w:val="0"/>
        <w:snapToGrid w:val="0"/>
        <w:spacing w:line="420" w:lineRule="exact"/>
        <w:ind w:left="420"/>
        <w:jc w:val="left"/>
      </w:pPr>
    </w:p>
    <w:p w14:paraId="0174CAB4">
      <w:pPr>
        <w:adjustRightInd w:val="0"/>
        <w:snapToGrid w:val="0"/>
        <w:spacing w:line="420" w:lineRule="exact"/>
        <w:ind w:left="420"/>
        <w:jc w:val="left"/>
        <w:rPr>
          <w:b/>
        </w:rPr>
      </w:pPr>
      <w:r>
        <w:rPr>
          <w:rFonts w:hint="eastAsia"/>
          <w:b/>
        </w:rPr>
        <w:t>六、有关本次采购事宜，可按如下联系方式进行咨询</w:t>
      </w:r>
    </w:p>
    <w:p w14:paraId="0C982B33">
      <w:pPr>
        <w:adjustRightInd w:val="0"/>
        <w:snapToGrid w:val="0"/>
        <w:spacing w:line="420" w:lineRule="exact"/>
        <w:ind w:left="420"/>
        <w:jc w:val="left"/>
      </w:pPr>
      <w:r>
        <w:rPr>
          <w:rFonts w:hint="eastAsia"/>
        </w:rPr>
        <w:t>（一）联系单位：中山大学附属第八医院（深圳福田）招采办</w:t>
      </w:r>
    </w:p>
    <w:p w14:paraId="2F6D13C3">
      <w:pPr>
        <w:adjustRightInd w:val="0"/>
        <w:snapToGrid w:val="0"/>
        <w:spacing w:line="420" w:lineRule="exact"/>
        <w:ind w:left="420"/>
        <w:jc w:val="left"/>
      </w:pPr>
      <w:r>
        <w:rPr>
          <w:rFonts w:hint="eastAsia"/>
        </w:rPr>
        <w:t>（二）联系地址：深圳市福田区福华路92号福星北小区中山大学附属第八医院(深圳福田)行政楼3</w:t>
      </w:r>
      <w:r>
        <w:rPr>
          <w:rFonts w:hint="eastAsia"/>
          <w:lang w:val="en-US" w:eastAsia="zh-CN"/>
        </w:rPr>
        <w:t>1</w:t>
      </w:r>
      <w:r>
        <w:rPr>
          <w:rFonts w:hint="eastAsia"/>
        </w:rPr>
        <w:t>2</w:t>
      </w:r>
    </w:p>
    <w:p w14:paraId="2B9E90DB">
      <w:pPr>
        <w:adjustRightInd w:val="0"/>
        <w:snapToGrid w:val="0"/>
        <w:spacing w:line="420" w:lineRule="exact"/>
        <w:ind w:left="420"/>
        <w:jc w:val="left"/>
        <w:rPr>
          <w:rFonts w:eastAsia="宋体"/>
        </w:rPr>
      </w:pPr>
      <w:r>
        <w:rPr>
          <w:rFonts w:hint="eastAsia"/>
        </w:rPr>
        <w:t>（三）联系人及联系电话：林老师</w:t>
      </w:r>
      <w:r>
        <w:rPr>
          <w:rFonts w:hint="eastAsia"/>
          <w:lang w:val="en-US" w:eastAsia="zh-CN"/>
        </w:rPr>
        <w:t>1363277790</w:t>
      </w:r>
      <w:r>
        <w:rPr>
          <w:rFonts w:hint="eastAsia"/>
        </w:rPr>
        <w:t>3</w:t>
      </w:r>
    </w:p>
    <w:p w14:paraId="1C0F763A">
      <w:pPr>
        <w:adjustRightInd w:val="0"/>
        <w:snapToGrid w:val="0"/>
        <w:spacing w:line="420" w:lineRule="exact"/>
        <w:ind w:left="420"/>
        <w:jc w:val="left"/>
        <w:rPr>
          <w:rFonts w:eastAsia="宋体"/>
        </w:rPr>
      </w:pPr>
    </w:p>
    <w:p w14:paraId="243BC981">
      <w:pPr>
        <w:pStyle w:val="70"/>
        <w:ind w:firstLine="4216" w:firstLineChars="1400"/>
        <w:jc w:val="both"/>
        <w:rPr>
          <w:rFonts w:cs="Tahoma"/>
          <w:b/>
          <w:bCs/>
          <w:sz w:val="30"/>
          <w:szCs w:val="30"/>
        </w:rPr>
      </w:pPr>
      <w:r>
        <w:rPr>
          <w:rFonts w:hint="eastAsia" w:cs="Tahoma"/>
          <w:b/>
          <w:bCs/>
          <w:sz w:val="30"/>
          <w:szCs w:val="30"/>
        </w:rPr>
        <w:t>第二部分采购项目</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20"/>
        <w:gridCol w:w="2688"/>
        <w:gridCol w:w="1470"/>
        <w:gridCol w:w="807"/>
        <w:gridCol w:w="663"/>
        <w:gridCol w:w="1185"/>
        <w:gridCol w:w="818"/>
      </w:tblGrid>
      <w:tr w14:paraId="472EB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blHeader/>
          <w:jc w:val="center"/>
        </w:trPr>
        <w:tc>
          <w:tcPr>
            <w:tcW w:w="375" w:type="dxa"/>
            <w:vAlign w:val="center"/>
          </w:tcPr>
          <w:p w14:paraId="0C1F72EA">
            <w:pPr>
              <w:snapToGrid w:val="0"/>
              <w:jc w:val="center"/>
              <w:rPr>
                <w:rFonts w:ascii="宋体" w:eastAsia="宋体"/>
                <w:b/>
                <w:sz w:val="22"/>
              </w:rPr>
            </w:pPr>
            <w:r>
              <w:rPr>
                <w:rFonts w:hint="eastAsia" w:ascii="宋体" w:eastAsia="宋体"/>
                <w:b/>
                <w:sz w:val="22"/>
              </w:rPr>
              <w:t>序号</w:t>
            </w:r>
          </w:p>
        </w:tc>
        <w:tc>
          <w:tcPr>
            <w:tcW w:w="1281" w:type="dxa"/>
            <w:vAlign w:val="center"/>
          </w:tcPr>
          <w:p w14:paraId="56DA1024">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采购文件编号</w:t>
            </w:r>
          </w:p>
        </w:tc>
        <w:tc>
          <w:tcPr>
            <w:tcW w:w="1620" w:type="dxa"/>
            <w:vAlign w:val="center"/>
          </w:tcPr>
          <w:p w14:paraId="7502A19D">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采购项目名称</w:t>
            </w:r>
          </w:p>
        </w:tc>
        <w:tc>
          <w:tcPr>
            <w:tcW w:w="2688" w:type="dxa"/>
            <w:vAlign w:val="center"/>
          </w:tcPr>
          <w:p w14:paraId="7784EA13">
            <w:pPr>
              <w:widowControl/>
              <w:snapToGrid w:val="0"/>
              <w:jc w:val="center"/>
              <w:rPr>
                <w:rFonts w:ascii="宋体" w:hAnsi="宋体" w:eastAsia="宋体" w:cs="宋体"/>
                <w:b/>
                <w:color w:val="FF0000"/>
                <w:kern w:val="0"/>
                <w:sz w:val="22"/>
                <w:szCs w:val="22"/>
              </w:rPr>
            </w:pPr>
            <w:r>
              <w:rPr>
                <w:rFonts w:hint="eastAsia" w:ascii="宋体" w:hAnsi="宋体" w:eastAsia="宋体" w:cs="宋体"/>
                <w:b/>
                <w:color w:val="000000"/>
                <w:kern w:val="0"/>
                <w:sz w:val="22"/>
                <w:szCs w:val="22"/>
              </w:rPr>
              <w:t>技术要求(在用详细明细见附件，仅供参考）</w:t>
            </w:r>
          </w:p>
        </w:tc>
        <w:tc>
          <w:tcPr>
            <w:tcW w:w="1470" w:type="dxa"/>
            <w:vAlign w:val="center"/>
          </w:tcPr>
          <w:p w14:paraId="13D6B353">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单价限价</w:t>
            </w:r>
          </w:p>
          <w:p w14:paraId="084A2E28">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w:t>
            </w:r>
            <w:r>
              <w:rPr>
                <w:rFonts w:hint="eastAsia" w:ascii="宋体" w:hAnsi="宋体" w:cs="宋体"/>
                <w:szCs w:val="21"/>
              </w:rPr>
              <w:t>★</w:t>
            </w:r>
            <w:r>
              <w:rPr>
                <w:rFonts w:hint="eastAsia" w:ascii="宋体" w:hAnsi="宋体" w:eastAsia="宋体" w:cs="宋体"/>
                <w:b/>
                <w:color w:val="000000"/>
                <w:kern w:val="0"/>
                <w:sz w:val="22"/>
                <w:szCs w:val="22"/>
              </w:rPr>
              <w:t>同类耗材不得超过在库价）</w:t>
            </w:r>
          </w:p>
        </w:tc>
        <w:tc>
          <w:tcPr>
            <w:tcW w:w="807" w:type="dxa"/>
            <w:vAlign w:val="center"/>
          </w:tcPr>
          <w:p w14:paraId="787467E7">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允许进口/国产</w:t>
            </w:r>
          </w:p>
        </w:tc>
        <w:tc>
          <w:tcPr>
            <w:tcW w:w="663" w:type="dxa"/>
            <w:vAlign w:val="center"/>
          </w:tcPr>
          <w:p w14:paraId="40CC6EE2">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使用科室</w:t>
            </w:r>
          </w:p>
        </w:tc>
        <w:tc>
          <w:tcPr>
            <w:tcW w:w="1185" w:type="dxa"/>
            <w:vAlign w:val="center"/>
          </w:tcPr>
          <w:p w14:paraId="2C60524B">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样品要求</w:t>
            </w:r>
          </w:p>
        </w:tc>
        <w:tc>
          <w:tcPr>
            <w:tcW w:w="818" w:type="dxa"/>
            <w:shd w:val="clear" w:color="auto" w:fill="auto"/>
            <w:vAlign w:val="center"/>
          </w:tcPr>
          <w:p w14:paraId="77F57C8D">
            <w:pPr>
              <w:snapToGrid w:val="0"/>
              <w:jc w:val="center"/>
              <w:rPr>
                <w:rFonts w:ascii="宋体" w:eastAsia="宋体"/>
                <w:b/>
                <w:color w:val="000000"/>
                <w:sz w:val="22"/>
              </w:rPr>
            </w:pPr>
            <w:r>
              <w:rPr>
                <w:rFonts w:hint="eastAsia" w:ascii="宋体" w:eastAsia="宋体"/>
                <w:b/>
                <w:color w:val="000000"/>
                <w:sz w:val="22"/>
              </w:rPr>
              <w:t>是否执行深圳市阳光平台线上采购</w:t>
            </w:r>
          </w:p>
        </w:tc>
      </w:tr>
      <w:tr w14:paraId="03774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40EAF5E3">
            <w:pPr>
              <w:widowControl/>
              <w:jc w:val="center"/>
              <w:textAlignment w:val="center"/>
              <w:rPr>
                <w:rFonts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1</w:t>
            </w:r>
          </w:p>
        </w:tc>
        <w:tc>
          <w:tcPr>
            <w:tcW w:w="1281" w:type="dxa"/>
            <w:shd w:val="clear" w:color="auto" w:fill="auto"/>
            <w:noWrap/>
            <w:vAlign w:val="center"/>
          </w:tcPr>
          <w:p w14:paraId="4571D82E">
            <w:pPr>
              <w:widowControl/>
              <w:jc w:val="center"/>
              <w:textAlignment w:val="center"/>
              <w:rPr>
                <w:rFonts w:hint="default" w:ascii="Times New Roman" w:hAnsi="Times New Roman" w:eastAsia="宋体" w:cs="Times New Roman"/>
                <w:color w:val="000000"/>
                <w:kern w:val="2"/>
                <w:sz w:val="22"/>
                <w:szCs w:val="24"/>
                <w:lang w:val="en-US" w:eastAsia="zh-CN" w:bidi="ar-SA"/>
              </w:rPr>
            </w:pPr>
            <w:r>
              <w:rPr>
                <w:rFonts w:hint="default" w:ascii="Times New Roman" w:hAnsi="Times New Roman" w:eastAsia="宋体" w:cs="Times New Roman"/>
                <w:color w:val="000000"/>
                <w:kern w:val="0"/>
                <w:sz w:val="22"/>
                <w:szCs w:val="22"/>
                <w:lang w:val="en-US" w:eastAsia="zh-CN" w:bidi="ar-SA"/>
              </w:rPr>
              <w:t>ZCB2025-HC10</w:t>
            </w:r>
            <w:r>
              <w:rPr>
                <w:rFonts w:hint="eastAsia" w:eastAsia="宋体" w:cs="Times New Roman"/>
                <w:color w:val="000000"/>
                <w:kern w:val="0"/>
                <w:sz w:val="22"/>
                <w:szCs w:val="22"/>
                <w:lang w:val="en-US" w:eastAsia="zh-CN" w:bidi="ar-SA"/>
              </w:rPr>
              <w:t>7</w:t>
            </w:r>
            <w:r>
              <w:rPr>
                <w:rFonts w:hint="default" w:ascii="Times New Roman" w:hAnsi="Times New Roman" w:eastAsia="宋体" w:cs="Times New Roman"/>
                <w:color w:val="000000"/>
                <w:kern w:val="0"/>
                <w:sz w:val="22"/>
                <w:szCs w:val="22"/>
                <w:lang w:val="en-US" w:eastAsia="zh-CN" w:bidi="ar-SA"/>
              </w:rPr>
              <w:t>-80</w:t>
            </w:r>
            <w:r>
              <w:rPr>
                <w:rFonts w:hint="eastAsia" w:eastAsia="宋体" w:cs="Times New Roman"/>
                <w:color w:val="000000"/>
                <w:kern w:val="0"/>
                <w:sz w:val="22"/>
                <w:szCs w:val="22"/>
                <w:lang w:val="en-US" w:eastAsia="zh-CN" w:bidi="ar-SA"/>
              </w:rPr>
              <w:t>7</w:t>
            </w:r>
          </w:p>
        </w:tc>
        <w:tc>
          <w:tcPr>
            <w:tcW w:w="1620" w:type="dxa"/>
            <w:shd w:val="clear" w:color="auto" w:fill="auto"/>
            <w:vAlign w:val="center"/>
          </w:tcPr>
          <w:p w14:paraId="7497E0EC">
            <w:pPr>
              <w:jc w:val="center"/>
              <w:rPr>
                <w:rFonts w:hint="eastAsia" w:ascii="Times New Roman" w:hAnsi="Times New Roman" w:eastAsia="宋体" w:cs="Times New Roman"/>
                <w:color w:val="000000"/>
                <w:kern w:val="2"/>
                <w:sz w:val="22"/>
                <w:szCs w:val="24"/>
                <w:lang w:val="en-US" w:eastAsia="zh-CN" w:bidi="ar-SA"/>
              </w:rPr>
            </w:pPr>
            <w:r>
              <w:rPr>
                <w:rFonts w:hint="eastAsia" w:asciiTheme="minorHAnsi" w:hAnsiTheme="minorHAnsi" w:eastAsiaTheme="minorEastAsia" w:cstheme="minorBidi"/>
                <w:color w:val="000000"/>
                <w:kern w:val="2"/>
                <w:sz w:val="22"/>
                <w:szCs w:val="22"/>
                <w:lang w:val="en-US" w:eastAsia="zh-CN" w:bidi="ar-SA"/>
              </w:rPr>
              <w:t>颅内支持导管</w:t>
            </w:r>
          </w:p>
        </w:tc>
        <w:tc>
          <w:tcPr>
            <w:tcW w:w="2688" w:type="dxa"/>
            <w:vAlign w:val="center"/>
          </w:tcPr>
          <w:p w14:paraId="022124D8">
            <w:pPr>
              <w:numPr>
                <w:ilvl w:val="0"/>
                <w:numId w:val="0"/>
              </w:numPr>
              <w:snapToGrid w:val="0"/>
              <w:jc w:val="left"/>
              <w:rPr>
                <w:rFonts w:hint="eastAsia" w:eastAsia="宋体"/>
                <w:lang w:eastAsia="zh-CN"/>
              </w:rPr>
            </w:pPr>
            <w:r>
              <w:rPr>
                <w:rFonts w:hint="eastAsia" w:eastAsia="宋体"/>
                <w:lang w:eastAsia="zh-CN"/>
              </w:rPr>
              <w:t>用于在神经血管内输送介入/诊断器械。</w:t>
            </w:r>
          </w:p>
        </w:tc>
        <w:tc>
          <w:tcPr>
            <w:tcW w:w="1470" w:type="dxa"/>
            <w:vAlign w:val="center"/>
          </w:tcPr>
          <w:p w14:paraId="38356FF3">
            <w:pPr>
              <w:snapToGrid w:val="0"/>
              <w:jc w:val="right"/>
              <w:rPr>
                <w:rFonts w:hint="eastAsia" w:eastAsia="宋体"/>
                <w:lang w:eastAsia="zh-CN"/>
              </w:rPr>
            </w:pPr>
            <w:r>
              <w:rPr>
                <w:rFonts w:hint="eastAsia" w:eastAsia="宋体"/>
                <w:lang w:val="en-US" w:eastAsia="zh-CN"/>
              </w:rPr>
              <w:t>14800</w:t>
            </w:r>
            <w:r>
              <w:rPr>
                <w:rFonts w:hint="eastAsia" w:eastAsia="宋体"/>
                <w:lang w:eastAsia="zh-CN"/>
              </w:rPr>
              <w:t>（</w:t>
            </w:r>
            <w:r>
              <w:rPr>
                <w:rFonts w:hint="eastAsia" w:eastAsia="宋体"/>
                <w:lang w:val="en-US" w:eastAsia="zh-CN"/>
              </w:rPr>
              <w:t>详见原中标目录）</w:t>
            </w:r>
          </w:p>
        </w:tc>
        <w:tc>
          <w:tcPr>
            <w:tcW w:w="807" w:type="dxa"/>
            <w:vAlign w:val="center"/>
          </w:tcPr>
          <w:p w14:paraId="289B8B1F">
            <w:pPr>
              <w:widowControl/>
              <w:snapToGrid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Cs w:val="20"/>
                <w:lang w:val="en-US" w:eastAsia="zh-CN"/>
              </w:rPr>
              <w:t>国产</w:t>
            </w:r>
          </w:p>
        </w:tc>
        <w:tc>
          <w:tcPr>
            <w:tcW w:w="663" w:type="dxa"/>
            <w:vAlign w:val="center"/>
          </w:tcPr>
          <w:p w14:paraId="38B86241">
            <w:pPr>
              <w:widowControl/>
              <w:snapToGrid w:val="0"/>
              <w:jc w:val="center"/>
              <w:textAlignment w:val="center"/>
              <w:rPr>
                <w:rFonts w:eastAsia="宋体" w:hAnsiTheme="minorEastAsia" w:cstheme="minorEastAsia"/>
                <w:szCs w:val="20"/>
              </w:rPr>
            </w:pPr>
            <w:r>
              <w:rPr>
                <w:rFonts w:hint="eastAsia" w:eastAsia="宋体" w:hAnsiTheme="minorEastAsia" w:cstheme="minorEastAsia"/>
                <w:szCs w:val="20"/>
              </w:rPr>
              <w:t>脑血管病专科</w:t>
            </w:r>
          </w:p>
        </w:tc>
        <w:tc>
          <w:tcPr>
            <w:tcW w:w="1185" w:type="dxa"/>
            <w:vAlign w:val="center"/>
          </w:tcPr>
          <w:p w14:paraId="4DCA0D08">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22CFD399">
            <w:pPr>
              <w:widowControl/>
              <w:snapToGrid w:val="0"/>
              <w:jc w:val="center"/>
              <w:textAlignment w:val="center"/>
              <w:rPr>
                <w:rFonts w:eastAsia="宋体"/>
                <w:color w:val="000000"/>
              </w:rPr>
            </w:pPr>
            <w:r>
              <w:rPr>
                <w:rFonts w:hint="eastAsia" w:eastAsia="宋体"/>
                <w:color w:val="000000"/>
              </w:rPr>
              <w:t>是</w:t>
            </w:r>
          </w:p>
        </w:tc>
      </w:tr>
      <w:tr w14:paraId="04D08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2744E5EB">
            <w:pPr>
              <w:widowControl/>
              <w:jc w:val="center"/>
              <w:textAlignment w:val="center"/>
              <w:rPr>
                <w:rFonts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2</w:t>
            </w:r>
          </w:p>
        </w:tc>
        <w:tc>
          <w:tcPr>
            <w:tcW w:w="1281" w:type="dxa"/>
            <w:shd w:val="clear" w:color="auto" w:fill="auto"/>
            <w:noWrap/>
            <w:vAlign w:val="center"/>
          </w:tcPr>
          <w:p w14:paraId="236188B5">
            <w:pPr>
              <w:widowControl/>
              <w:jc w:val="center"/>
              <w:textAlignment w:val="center"/>
              <w:rPr>
                <w:rFonts w:hint="default" w:ascii="Times New Roman" w:hAnsi="Times New Roman" w:eastAsia="宋体" w:cs="Times New Roman"/>
                <w:color w:val="000000"/>
                <w:kern w:val="0"/>
                <w:sz w:val="22"/>
                <w:szCs w:val="22"/>
                <w:lang w:val="en-US" w:eastAsia="zh-CN" w:bidi="ar-SA"/>
              </w:rPr>
            </w:pPr>
            <w:r>
              <w:rPr>
                <w:rFonts w:hint="eastAsia" w:ascii="Times New Roman" w:hAnsi="Times New Roman" w:eastAsia="宋体" w:cs="Times New Roman"/>
                <w:color w:val="000000"/>
                <w:kern w:val="0"/>
                <w:sz w:val="22"/>
                <w:szCs w:val="22"/>
                <w:lang w:val="en-US" w:eastAsia="zh-CN"/>
              </w:rPr>
              <w:t>ZCB2025-HC10</w:t>
            </w:r>
            <w:r>
              <w:rPr>
                <w:rFonts w:hint="eastAsia" w:eastAsia="宋体" w:cs="Times New Roman"/>
                <w:color w:val="000000"/>
                <w:kern w:val="0"/>
                <w:sz w:val="22"/>
                <w:szCs w:val="22"/>
                <w:lang w:val="en-US" w:eastAsia="zh-CN"/>
              </w:rPr>
              <w:t>7</w:t>
            </w:r>
            <w:r>
              <w:rPr>
                <w:rFonts w:hint="eastAsia" w:ascii="Times New Roman" w:hAnsi="Times New Roman" w:eastAsia="宋体" w:cs="Times New Roman"/>
                <w:color w:val="000000"/>
                <w:kern w:val="0"/>
                <w:sz w:val="22"/>
                <w:szCs w:val="22"/>
                <w:lang w:val="en-US" w:eastAsia="zh-CN"/>
              </w:rPr>
              <w:t>-80</w:t>
            </w:r>
            <w:r>
              <w:rPr>
                <w:rFonts w:hint="eastAsia" w:eastAsia="宋体" w:cs="Times New Roman"/>
                <w:color w:val="000000"/>
                <w:kern w:val="0"/>
                <w:sz w:val="22"/>
                <w:szCs w:val="22"/>
                <w:lang w:val="en-US" w:eastAsia="zh-CN"/>
              </w:rPr>
              <w:t>8</w:t>
            </w:r>
          </w:p>
        </w:tc>
        <w:tc>
          <w:tcPr>
            <w:tcW w:w="1620" w:type="dxa"/>
            <w:shd w:val="clear" w:color="auto" w:fill="auto"/>
            <w:vAlign w:val="center"/>
          </w:tcPr>
          <w:p w14:paraId="2BB32776">
            <w:pPr>
              <w:jc w:val="center"/>
              <w:rPr>
                <w:rFonts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血栓保护系统</w:t>
            </w:r>
          </w:p>
        </w:tc>
        <w:tc>
          <w:tcPr>
            <w:tcW w:w="2688" w:type="dxa"/>
            <w:vAlign w:val="center"/>
          </w:tcPr>
          <w:p w14:paraId="17345EE2">
            <w:pPr>
              <w:snapToGrid w:val="0"/>
              <w:jc w:val="left"/>
              <w:rPr>
                <w:rFonts w:eastAsia="宋体"/>
              </w:rPr>
            </w:pPr>
            <w:r>
              <w:rPr>
                <w:rFonts w:hint="eastAsia" w:eastAsia="宋体"/>
              </w:rPr>
              <w:t>用于在颈动脉、冠状动脉和隐静脉移植物中实施血管成形术以及支架手术过程中容纳并取出血栓。</w:t>
            </w:r>
          </w:p>
        </w:tc>
        <w:tc>
          <w:tcPr>
            <w:tcW w:w="1470" w:type="dxa"/>
            <w:vAlign w:val="center"/>
          </w:tcPr>
          <w:p w14:paraId="2FDFEFF6">
            <w:pPr>
              <w:snapToGrid w:val="0"/>
              <w:jc w:val="right"/>
              <w:rPr>
                <w:rFonts w:eastAsia="宋体"/>
              </w:rPr>
            </w:pPr>
            <w:r>
              <w:rPr>
                <w:rFonts w:hint="eastAsia" w:eastAsia="宋体"/>
                <w:lang w:val="en-US" w:eastAsia="zh-CN"/>
              </w:rPr>
              <w:t>15208</w:t>
            </w:r>
            <w:r>
              <w:rPr>
                <w:rFonts w:hint="eastAsia" w:eastAsia="宋体"/>
                <w:lang w:eastAsia="zh-CN"/>
              </w:rPr>
              <w:t>（</w:t>
            </w:r>
            <w:r>
              <w:rPr>
                <w:rFonts w:hint="eastAsia" w:eastAsia="宋体"/>
                <w:lang w:val="en-US" w:eastAsia="zh-CN"/>
              </w:rPr>
              <w:t>详见原中标目录）</w:t>
            </w:r>
          </w:p>
        </w:tc>
        <w:tc>
          <w:tcPr>
            <w:tcW w:w="807" w:type="dxa"/>
            <w:shd w:val="clear" w:color="auto" w:fill="auto"/>
            <w:vAlign w:val="center"/>
          </w:tcPr>
          <w:p w14:paraId="4B4F19DE">
            <w:pPr>
              <w:widowControl/>
              <w:snapToGrid w:val="0"/>
              <w:jc w:val="center"/>
              <w:textAlignment w:val="center"/>
              <w:rPr>
                <w:rFonts w:hint="default"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允</w:t>
            </w:r>
            <w:r>
              <w:rPr>
                <w:rFonts w:hint="eastAsia" w:eastAsia="宋体" w:hAnsiTheme="minorEastAsia" w:cstheme="minorEastAsia"/>
                <w:szCs w:val="20"/>
                <w:lang w:val="en-US" w:eastAsia="zh-CN"/>
              </w:rPr>
              <w:t>许进口</w:t>
            </w:r>
          </w:p>
        </w:tc>
        <w:tc>
          <w:tcPr>
            <w:tcW w:w="663" w:type="dxa"/>
            <w:shd w:val="clear" w:color="auto" w:fill="auto"/>
            <w:vAlign w:val="center"/>
          </w:tcPr>
          <w:p w14:paraId="41F09841">
            <w:pPr>
              <w:widowControl/>
              <w:snapToGrid w:val="0"/>
              <w:jc w:val="center"/>
              <w:textAlignment w:val="center"/>
              <w:rPr>
                <w:rFonts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脑血管病专科</w:t>
            </w:r>
          </w:p>
        </w:tc>
        <w:tc>
          <w:tcPr>
            <w:tcW w:w="1185" w:type="dxa"/>
            <w:shd w:val="clear" w:color="auto" w:fill="auto"/>
            <w:vAlign w:val="center"/>
          </w:tcPr>
          <w:p w14:paraId="09270D24">
            <w:pPr>
              <w:widowControl/>
              <w:snapToGrid w:val="0"/>
              <w:jc w:val="left"/>
              <w:textAlignment w:val="center"/>
              <w:rPr>
                <w:rFonts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37F763DC">
            <w:pPr>
              <w:widowControl/>
              <w:snapToGrid w:val="0"/>
              <w:jc w:val="center"/>
              <w:textAlignment w:val="center"/>
              <w:rPr>
                <w:rFonts w:ascii="Times New Roman" w:hAnsi="Times New Roman" w:eastAsia="宋体" w:cs="Times New Roman"/>
                <w:color w:val="000000"/>
                <w:kern w:val="2"/>
                <w:sz w:val="21"/>
                <w:szCs w:val="24"/>
                <w:lang w:val="en-US" w:eastAsia="zh-CN" w:bidi="ar-SA"/>
              </w:rPr>
            </w:pPr>
            <w:r>
              <w:rPr>
                <w:rFonts w:hint="eastAsia" w:eastAsia="宋体"/>
                <w:color w:val="000000"/>
              </w:rPr>
              <w:t>是</w:t>
            </w:r>
          </w:p>
        </w:tc>
      </w:tr>
      <w:tr w14:paraId="0A91D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6A6C745E">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3</w:t>
            </w:r>
          </w:p>
        </w:tc>
        <w:tc>
          <w:tcPr>
            <w:tcW w:w="1281" w:type="dxa"/>
            <w:shd w:val="clear" w:color="auto" w:fill="auto"/>
            <w:noWrap/>
            <w:vAlign w:val="center"/>
          </w:tcPr>
          <w:p w14:paraId="0AA1FCDC">
            <w:pPr>
              <w:widowControl/>
              <w:jc w:val="center"/>
              <w:textAlignment w:val="center"/>
              <w:rPr>
                <w:rFonts w:hint="default" w:ascii="Times New Roman" w:hAnsi="Times New Roman" w:eastAsia="宋体" w:cs="Times New Roman"/>
                <w:color w:val="000000"/>
                <w:kern w:val="0"/>
                <w:sz w:val="22"/>
                <w:szCs w:val="22"/>
                <w:lang w:val="en-US" w:eastAsia="zh-CN" w:bidi="ar-SA"/>
              </w:rPr>
            </w:pPr>
            <w:r>
              <w:rPr>
                <w:rFonts w:hint="eastAsia" w:ascii="Times New Roman" w:hAnsi="Times New Roman" w:eastAsia="宋体" w:cs="Times New Roman"/>
                <w:color w:val="000000"/>
                <w:kern w:val="0"/>
                <w:sz w:val="22"/>
                <w:szCs w:val="22"/>
                <w:lang w:val="en-US" w:eastAsia="zh-CN"/>
              </w:rPr>
              <w:t>ZCB2025-HC10</w:t>
            </w:r>
            <w:r>
              <w:rPr>
                <w:rFonts w:hint="eastAsia" w:eastAsia="宋体" w:cs="Times New Roman"/>
                <w:color w:val="000000"/>
                <w:kern w:val="0"/>
                <w:sz w:val="22"/>
                <w:szCs w:val="22"/>
                <w:lang w:val="en-US" w:eastAsia="zh-CN"/>
              </w:rPr>
              <w:t>7</w:t>
            </w:r>
            <w:r>
              <w:rPr>
                <w:rFonts w:hint="eastAsia" w:ascii="Times New Roman" w:hAnsi="Times New Roman" w:eastAsia="宋体" w:cs="Times New Roman"/>
                <w:color w:val="000000"/>
                <w:kern w:val="0"/>
                <w:sz w:val="22"/>
                <w:szCs w:val="22"/>
                <w:lang w:val="en-US" w:eastAsia="zh-CN"/>
              </w:rPr>
              <w:t>-80</w:t>
            </w:r>
            <w:r>
              <w:rPr>
                <w:rFonts w:hint="eastAsia" w:eastAsia="宋体" w:cs="Times New Roman"/>
                <w:color w:val="000000"/>
                <w:kern w:val="0"/>
                <w:sz w:val="22"/>
                <w:szCs w:val="22"/>
                <w:lang w:val="en-US" w:eastAsia="zh-CN"/>
              </w:rPr>
              <w:t>9</w:t>
            </w:r>
          </w:p>
        </w:tc>
        <w:tc>
          <w:tcPr>
            <w:tcW w:w="1620" w:type="dxa"/>
            <w:shd w:val="clear" w:color="auto" w:fill="auto"/>
            <w:vAlign w:val="center"/>
          </w:tcPr>
          <w:p w14:paraId="7E88023F">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血管重建装置和传送系统</w:t>
            </w:r>
          </w:p>
        </w:tc>
        <w:tc>
          <w:tcPr>
            <w:tcW w:w="2688" w:type="dxa"/>
            <w:shd w:val="clear" w:color="auto" w:fill="auto"/>
            <w:vAlign w:val="center"/>
          </w:tcPr>
          <w:p w14:paraId="299F5BD4">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与治疗颅内动脉瘤的栓塞装置一起使用。由支架和传送系统组成。</w:t>
            </w:r>
          </w:p>
        </w:tc>
        <w:tc>
          <w:tcPr>
            <w:tcW w:w="1470" w:type="dxa"/>
            <w:shd w:val="clear" w:color="auto" w:fill="auto"/>
            <w:vAlign w:val="center"/>
          </w:tcPr>
          <w:p w14:paraId="4A046E84">
            <w:pPr>
              <w:snapToGrid w:val="0"/>
              <w:jc w:val="right"/>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44833.33</w:t>
            </w:r>
            <w:r>
              <w:rPr>
                <w:rFonts w:hint="eastAsia" w:eastAsia="宋体"/>
                <w:lang w:eastAsia="zh-CN"/>
              </w:rPr>
              <w:t>（</w:t>
            </w:r>
            <w:r>
              <w:rPr>
                <w:rFonts w:hint="eastAsia" w:eastAsia="宋体"/>
                <w:lang w:val="en-US" w:eastAsia="zh-CN"/>
              </w:rPr>
              <w:t>详见原中标目录）</w:t>
            </w:r>
          </w:p>
        </w:tc>
        <w:tc>
          <w:tcPr>
            <w:tcW w:w="807" w:type="dxa"/>
            <w:shd w:val="clear" w:color="auto" w:fill="auto"/>
            <w:vAlign w:val="center"/>
          </w:tcPr>
          <w:p w14:paraId="63A62989">
            <w:pPr>
              <w:widowControl/>
              <w:snapToGrid w:val="0"/>
              <w:jc w:val="center"/>
              <w:textAlignment w:val="center"/>
              <w:rPr>
                <w:rFonts w:hint="default"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允</w:t>
            </w:r>
            <w:r>
              <w:rPr>
                <w:rFonts w:hint="eastAsia" w:eastAsia="宋体" w:hAnsiTheme="minorEastAsia" w:cstheme="minorEastAsia"/>
                <w:szCs w:val="20"/>
                <w:lang w:val="en-US" w:eastAsia="zh-CN"/>
              </w:rPr>
              <w:t>许进口</w:t>
            </w:r>
          </w:p>
        </w:tc>
        <w:tc>
          <w:tcPr>
            <w:tcW w:w="663" w:type="dxa"/>
            <w:shd w:val="clear" w:color="auto" w:fill="auto"/>
            <w:vAlign w:val="center"/>
          </w:tcPr>
          <w:p w14:paraId="2E0C2154">
            <w:pPr>
              <w:widowControl/>
              <w:snapToGrid w:val="0"/>
              <w:jc w:val="center"/>
              <w:textAlignment w:val="center"/>
              <w:rPr>
                <w:rFonts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脑血管病专科</w:t>
            </w:r>
          </w:p>
        </w:tc>
        <w:tc>
          <w:tcPr>
            <w:tcW w:w="1185" w:type="dxa"/>
            <w:shd w:val="clear" w:color="auto" w:fill="auto"/>
            <w:vAlign w:val="center"/>
          </w:tcPr>
          <w:p w14:paraId="57D0F8F2">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27642134">
            <w:pPr>
              <w:widowControl/>
              <w:snapToGrid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eastAsia="宋体"/>
                <w:color w:val="000000"/>
              </w:rPr>
              <w:t>是</w:t>
            </w:r>
          </w:p>
        </w:tc>
      </w:tr>
      <w:tr w14:paraId="31FE2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295AB77B">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4</w:t>
            </w:r>
          </w:p>
        </w:tc>
        <w:tc>
          <w:tcPr>
            <w:tcW w:w="1281" w:type="dxa"/>
            <w:shd w:val="clear" w:color="auto" w:fill="auto"/>
            <w:noWrap/>
            <w:vAlign w:val="center"/>
          </w:tcPr>
          <w:p w14:paraId="764E62E4">
            <w:pPr>
              <w:widowControl/>
              <w:jc w:val="center"/>
              <w:textAlignment w:val="center"/>
              <w:rPr>
                <w:rFonts w:hint="default" w:ascii="Times New Roman" w:hAnsi="Times New Roman" w:eastAsia="宋体" w:cs="Times New Roman"/>
                <w:color w:val="000000"/>
                <w:kern w:val="0"/>
                <w:sz w:val="22"/>
                <w:szCs w:val="22"/>
                <w:lang w:val="en-US" w:eastAsia="zh-CN" w:bidi="ar-SA"/>
              </w:rPr>
            </w:pPr>
            <w:r>
              <w:rPr>
                <w:rFonts w:hint="eastAsia" w:ascii="Times New Roman" w:hAnsi="Times New Roman" w:eastAsia="宋体" w:cs="Times New Roman"/>
                <w:color w:val="000000"/>
                <w:kern w:val="0"/>
                <w:sz w:val="22"/>
                <w:szCs w:val="22"/>
                <w:lang w:val="en-US" w:eastAsia="zh-CN"/>
              </w:rPr>
              <w:t>ZCB2025-HC10</w:t>
            </w:r>
            <w:r>
              <w:rPr>
                <w:rFonts w:hint="eastAsia" w:eastAsia="宋体" w:cs="Times New Roman"/>
                <w:color w:val="000000"/>
                <w:kern w:val="0"/>
                <w:sz w:val="22"/>
                <w:szCs w:val="22"/>
                <w:lang w:val="en-US" w:eastAsia="zh-CN"/>
              </w:rPr>
              <w:t>7</w:t>
            </w:r>
            <w:r>
              <w:rPr>
                <w:rFonts w:hint="eastAsia" w:ascii="Times New Roman" w:hAnsi="Times New Roman" w:eastAsia="宋体" w:cs="Times New Roman"/>
                <w:color w:val="000000"/>
                <w:kern w:val="0"/>
                <w:sz w:val="22"/>
                <w:szCs w:val="22"/>
                <w:lang w:val="en-US" w:eastAsia="zh-CN"/>
              </w:rPr>
              <w:t>-8</w:t>
            </w:r>
            <w:r>
              <w:rPr>
                <w:rFonts w:hint="eastAsia" w:eastAsia="宋体" w:cs="Times New Roman"/>
                <w:color w:val="000000"/>
                <w:kern w:val="0"/>
                <w:sz w:val="22"/>
                <w:szCs w:val="22"/>
                <w:lang w:val="en-US" w:eastAsia="zh-CN"/>
              </w:rPr>
              <w:t>10-A</w:t>
            </w:r>
          </w:p>
        </w:tc>
        <w:tc>
          <w:tcPr>
            <w:tcW w:w="1620" w:type="dxa"/>
            <w:shd w:val="clear" w:color="auto" w:fill="auto"/>
            <w:vAlign w:val="center"/>
          </w:tcPr>
          <w:p w14:paraId="13EA9743">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颅内球囊扩张导管</w:t>
            </w:r>
            <w:r>
              <w:rPr>
                <w:rFonts w:hint="eastAsia" w:asciiTheme="minorHAnsi" w:hAnsiTheme="minorHAnsi" w:cstheme="minorBidi"/>
                <w:color w:val="000000"/>
                <w:kern w:val="2"/>
                <w:sz w:val="22"/>
                <w:szCs w:val="22"/>
                <w:lang w:val="en-US" w:eastAsia="zh-CN" w:bidi="ar-SA"/>
              </w:rPr>
              <w:t>（A包）</w:t>
            </w:r>
          </w:p>
        </w:tc>
        <w:tc>
          <w:tcPr>
            <w:tcW w:w="2688" w:type="dxa"/>
            <w:shd w:val="clear" w:color="auto" w:fill="auto"/>
            <w:vAlign w:val="center"/>
          </w:tcPr>
          <w:p w14:paraId="2B6BBE1F">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适用于非急性期症状性颅内动脉粥样硬化性狭窄病人的介入治疗，通过球囊扩张，改善颅内动脉血管的血流灌注</w:t>
            </w:r>
          </w:p>
        </w:tc>
        <w:tc>
          <w:tcPr>
            <w:tcW w:w="1470" w:type="dxa"/>
            <w:shd w:val="clear" w:color="auto" w:fill="auto"/>
            <w:vAlign w:val="center"/>
          </w:tcPr>
          <w:p w14:paraId="02376116">
            <w:pPr>
              <w:snapToGrid w:val="0"/>
              <w:jc w:val="right"/>
              <w:rPr>
                <w:rFonts w:hint="default" w:eastAsia="宋体"/>
                <w:lang w:val="en-US" w:eastAsia="zh-CN"/>
              </w:rPr>
            </w:pPr>
            <w:r>
              <w:rPr>
                <w:rFonts w:hint="eastAsia" w:eastAsia="宋体"/>
                <w:lang w:val="en-US" w:eastAsia="zh-CN"/>
              </w:rPr>
              <w:t>12000</w:t>
            </w:r>
            <w:r>
              <w:rPr>
                <w:rFonts w:hint="eastAsia" w:eastAsia="宋体"/>
                <w:lang w:eastAsia="zh-CN"/>
              </w:rPr>
              <w:t>（</w:t>
            </w:r>
            <w:r>
              <w:rPr>
                <w:rFonts w:hint="eastAsia" w:eastAsia="宋体"/>
                <w:lang w:val="en-US" w:eastAsia="zh-CN"/>
              </w:rPr>
              <w:t>详见原中标目录）</w:t>
            </w:r>
          </w:p>
        </w:tc>
        <w:tc>
          <w:tcPr>
            <w:tcW w:w="807" w:type="dxa"/>
            <w:shd w:val="clear" w:color="auto" w:fill="auto"/>
            <w:vAlign w:val="center"/>
          </w:tcPr>
          <w:p w14:paraId="7C674028">
            <w:pPr>
              <w:widowControl/>
              <w:snapToGrid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Cs w:val="20"/>
                <w:lang w:val="en-US" w:eastAsia="zh-CN"/>
              </w:rPr>
              <w:t>国产</w:t>
            </w:r>
          </w:p>
        </w:tc>
        <w:tc>
          <w:tcPr>
            <w:tcW w:w="663" w:type="dxa"/>
            <w:shd w:val="clear" w:color="auto" w:fill="auto"/>
            <w:vAlign w:val="center"/>
          </w:tcPr>
          <w:p w14:paraId="0ED0D56F">
            <w:pPr>
              <w:widowControl/>
              <w:snapToGrid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脑血管病专科</w:t>
            </w:r>
          </w:p>
        </w:tc>
        <w:tc>
          <w:tcPr>
            <w:tcW w:w="1185" w:type="dxa"/>
            <w:shd w:val="clear" w:color="auto" w:fill="auto"/>
            <w:vAlign w:val="center"/>
          </w:tcPr>
          <w:p w14:paraId="393D65D9">
            <w:pPr>
              <w:widowControl/>
              <w:snapToGrid w:val="0"/>
              <w:jc w:val="left"/>
              <w:textAlignment w:val="center"/>
              <w:rPr>
                <w:rFonts w:hint="eastAsia"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2F2CCB80">
            <w:pPr>
              <w:widowControl/>
              <w:snapToGrid w:val="0"/>
              <w:jc w:val="center"/>
              <w:textAlignment w:val="center"/>
              <w:rPr>
                <w:rFonts w:hint="eastAsia" w:eastAsia="宋体"/>
                <w:color w:val="000000"/>
              </w:rPr>
            </w:pPr>
            <w:r>
              <w:rPr>
                <w:rFonts w:hint="eastAsia" w:eastAsia="宋体"/>
                <w:color w:val="000000"/>
              </w:rPr>
              <w:t>是</w:t>
            </w:r>
          </w:p>
        </w:tc>
      </w:tr>
      <w:tr w14:paraId="21CBF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756AAE5C">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5</w:t>
            </w:r>
          </w:p>
        </w:tc>
        <w:tc>
          <w:tcPr>
            <w:tcW w:w="1281" w:type="dxa"/>
            <w:shd w:val="clear" w:color="auto" w:fill="auto"/>
            <w:noWrap/>
            <w:vAlign w:val="center"/>
          </w:tcPr>
          <w:p w14:paraId="547990E9">
            <w:pPr>
              <w:widowControl/>
              <w:jc w:val="center"/>
              <w:textAlignment w:val="center"/>
              <w:rPr>
                <w:rFonts w:hint="eastAsia" w:ascii="Times New Roman" w:hAnsi="Times New Roman" w:eastAsia="宋体" w:cs="Times New Roman"/>
                <w:color w:val="000000"/>
                <w:kern w:val="0"/>
                <w:sz w:val="22"/>
                <w:szCs w:val="22"/>
                <w:lang w:val="en-US" w:eastAsia="zh-CN" w:bidi="ar-SA"/>
              </w:rPr>
            </w:pPr>
            <w:r>
              <w:rPr>
                <w:rFonts w:hint="eastAsia" w:ascii="Times New Roman" w:hAnsi="Times New Roman" w:eastAsia="宋体" w:cs="Times New Roman"/>
                <w:color w:val="000000"/>
                <w:kern w:val="0"/>
                <w:sz w:val="22"/>
                <w:szCs w:val="22"/>
                <w:lang w:val="en-US" w:eastAsia="zh-CN"/>
              </w:rPr>
              <w:t>ZCB2025-HC10</w:t>
            </w:r>
            <w:r>
              <w:rPr>
                <w:rFonts w:hint="eastAsia" w:eastAsia="宋体" w:cs="Times New Roman"/>
                <w:color w:val="000000"/>
                <w:kern w:val="0"/>
                <w:sz w:val="22"/>
                <w:szCs w:val="22"/>
                <w:lang w:val="en-US" w:eastAsia="zh-CN"/>
              </w:rPr>
              <w:t>7</w:t>
            </w:r>
            <w:r>
              <w:rPr>
                <w:rFonts w:hint="eastAsia" w:ascii="Times New Roman" w:hAnsi="Times New Roman" w:eastAsia="宋体" w:cs="Times New Roman"/>
                <w:color w:val="000000"/>
                <w:kern w:val="0"/>
                <w:sz w:val="22"/>
                <w:szCs w:val="22"/>
                <w:lang w:val="en-US" w:eastAsia="zh-CN"/>
              </w:rPr>
              <w:t>-81</w:t>
            </w:r>
            <w:r>
              <w:rPr>
                <w:rFonts w:hint="eastAsia" w:eastAsia="宋体" w:cs="Times New Roman"/>
                <w:color w:val="000000"/>
                <w:kern w:val="0"/>
                <w:sz w:val="22"/>
                <w:szCs w:val="22"/>
                <w:lang w:val="en-US" w:eastAsia="zh-CN"/>
              </w:rPr>
              <w:t>0-B</w:t>
            </w:r>
          </w:p>
        </w:tc>
        <w:tc>
          <w:tcPr>
            <w:tcW w:w="1620" w:type="dxa"/>
            <w:shd w:val="clear" w:color="auto" w:fill="auto"/>
            <w:vAlign w:val="center"/>
          </w:tcPr>
          <w:p w14:paraId="745AB108">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颅内球囊扩张导管</w:t>
            </w:r>
            <w:r>
              <w:rPr>
                <w:rFonts w:hint="eastAsia" w:asciiTheme="minorHAnsi" w:hAnsiTheme="minorHAnsi" w:cstheme="minorBidi"/>
                <w:color w:val="000000"/>
                <w:kern w:val="2"/>
                <w:sz w:val="22"/>
                <w:szCs w:val="22"/>
                <w:lang w:val="en-US" w:eastAsia="zh-CN" w:bidi="ar-SA"/>
              </w:rPr>
              <w:t>（B包）</w:t>
            </w:r>
          </w:p>
        </w:tc>
        <w:tc>
          <w:tcPr>
            <w:tcW w:w="2688" w:type="dxa"/>
            <w:shd w:val="clear" w:color="auto" w:fill="auto"/>
            <w:vAlign w:val="center"/>
          </w:tcPr>
          <w:p w14:paraId="06DD6DFF">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用于对颅内动脉血管狭窄部位进行球囊扩张处理，以便改善颅内供血。</w:t>
            </w:r>
          </w:p>
        </w:tc>
        <w:tc>
          <w:tcPr>
            <w:tcW w:w="1470" w:type="dxa"/>
            <w:shd w:val="clear" w:color="auto" w:fill="auto"/>
            <w:vAlign w:val="center"/>
          </w:tcPr>
          <w:p w14:paraId="33831C95">
            <w:pPr>
              <w:snapToGrid w:val="0"/>
              <w:jc w:val="right"/>
              <w:rPr>
                <w:rFonts w:hint="eastAsia" w:eastAsia="宋体"/>
                <w:lang w:val="en-US" w:eastAsia="zh-CN"/>
              </w:rPr>
            </w:pPr>
            <w:r>
              <w:rPr>
                <w:rFonts w:hint="eastAsia" w:eastAsia="宋体"/>
                <w:lang w:val="en-US" w:eastAsia="zh-CN"/>
              </w:rPr>
              <w:t>9210</w:t>
            </w:r>
            <w:r>
              <w:rPr>
                <w:rFonts w:hint="eastAsia" w:eastAsia="宋体"/>
                <w:lang w:eastAsia="zh-CN"/>
              </w:rPr>
              <w:t>（</w:t>
            </w:r>
            <w:r>
              <w:rPr>
                <w:rFonts w:hint="eastAsia" w:eastAsia="宋体"/>
                <w:lang w:val="en-US" w:eastAsia="zh-CN"/>
              </w:rPr>
              <w:t>详见原中标目录）</w:t>
            </w:r>
          </w:p>
        </w:tc>
        <w:tc>
          <w:tcPr>
            <w:tcW w:w="807" w:type="dxa"/>
            <w:shd w:val="clear" w:color="auto" w:fill="auto"/>
            <w:vAlign w:val="center"/>
          </w:tcPr>
          <w:p w14:paraId="7999E382">
            <w:pPr>
              <w:snapToGrid w:val="0"/>
              <w:jc w:val="center"/>
              <w:rPr>
                <w:rFonts w:hint="eastAsia" w:eastAsia="宋体" w:hAnsiTheme="minorEastAsia" w:cstheme="minorEastAsia"/>
                <w:szCs w:val="20"/>
              </w:rPr>
            </w:pPr>
            <w:r>
              <w:rPr>
                <w:rFonts w:hint="eastAsia" w:eastAsia="宋体" w:hAnsiTheme="minorEastAsia" w:cstheme="minorEastAsia"/>
                <w:szCs w:val="20"/>
              </w:rPr>
              <w:t>允</w:t>
            </w:r>
            <w:r>
              <w:rPr>
                <w:rFonts w:hint="eastAsia" w:eastAsia="宋体" w:hAnsiTheme="minorEastAsia" w:cstheme="minorEastAsia"/>
                <w:szCs w:val="20"/>
                <w:lang w:val="en-US" w:eastAsia="zh-CN"/>
              </w:rPr>
              <w:t>许进口</w:t>
            </w:r>
          </w:p>
        </w:tc>
        <w:tc>
          <w:tcPr>
            <w:tcW w:w="663" w:type="dxa"/>
            <w:shd w:val="clear" w:color="auto" w:fill="auto"/>
            <w:vAlign w:val="center"/>
          </w:tcPr>
          <w:p w14:paraId="436A8267">
            <w:pPr>
              <w:rPr>
                <w:rFonts w:hint="eastAsia"/>
                <w:lang w:val="en-US" w:eastAsia="zh-CN"/>
              </w:rPr>
            </w:pPr>
            <w:r>
              <w:rPr>
                <w:rFonts w:hint="eastAsia" w:eastAsia="宋体" w:hAnsiTheme="minorEastAsia" w:cstheme="minorEastAsia"/>
                <w:szCs w:val="20"/>
              </w:rPr>
              <w:t>脑血管病专科</w:t>
            </w:r>
          </w:p>
        </w:tc>
        <w:tc>
          <w:tcPr>
            <w:tcW w:w="1185" w:type="dxa"/>
            <w:shd w:val="clear" w:color="auto" w:fill="auto"/>
            <w:vAlign w:val="center"/>
          </w:tcPr>
          <w:p w14:paraId="72971473">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44178F6C">
            <w:pPr>
              <w:widowControl/>
              <w:snapToGrid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eastAsia="宋体"/>
                <w:color w:val="000000"/>
              </w:rPr>
              <w:t>是</w:t>
            </w:r>
          </w:p>
        </w:tc>
      </w:tr>
    </w:tbl>
    <w:p w14:paraId="7B5F59D2">
      <w:pPr>
        <w:widowControl/>
        <w:wordWrap w:val="0"/>
        <w:spacing w:line="420" w:lineRule="exact"/>
        <w:ind w:right="420" w:firstLine="420" w:firstLineChars="200"/>
        <w:rPr>
          <w:szCs w:val="21"/>
          <w:highlight w:val="yellow"/>
        </w:rPr>
      </w:pPr>
    </w:p>
    <w:p w14:paraId="2480BB76">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szCs w:val="21"/>
        </w:rPr>
        <w:t>项目编号+项目名称+供应商名称</w:t>
      </w:r>
      <w:r>
        <w:rPr>
          <w:rFonts w:hint="eastAsia"/>
          <w:szCs w:val="21"/>
          <w:highlight w:val="yellow"/>
        </w:rPr>
        <w:t>《2025年第</w:t>
      </w:r>
      <w:r>
        <w:rPr>
          <w:rFonts w:hint="eastAsia"/>
          <w:szCs w:val="21"/>
        </w:rPr>
        <w:t>**</w:t>
      </w:r>
      <w:r>
        <w:rPr>
          <w:rFonts w:hint="eastAsia"/>
          <w:szCs w:val="21"/>
          <w:highlight w:val="yellow"/>
        </w:rPr>
        <w:t>期医用耗材投标报名及资格审查文件》（报名时提交）</w:t>
      </w:r>
    </w:p>
    <w:p w14:paraId="18AE1388">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65524781">
      <w:pPr>
        <w:pStyle w:val="36"/>
        <w:ind w:firstLine="0" w:firstLineChars="0"/>
        <w:rPr>
          <w:szCs w:val="21"/>
          <w:highlight w:val="yellow"/>
        </w:rPr>
      </w:pPr>
      <w:r>
        <w:rPr>
          <w:rFonts w:hint="eastAsia"/>
          <w:szCs w:val="21"/>
          <w:highlight w:val="yellow"/>
        </w:rPr>
        <w:t>附件3：</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59C19FB4">
      <w:pPr>
        <w:widowControl/>
        <w:wordWrap w:val="0"/>
        <w:spacing w:line="420" w:lineRule="exact"/>
        <w:ind w:left="420" w:leftChars="200" w:right="420"/>
        <w:rPr>
          <w:szCs w:val="21"/>
        </w:rPr>
      </w:pPr>
      <w:r>
        <w:rPr>
          <w:rFonts w:hint="eastAsia"/>
          <w:szCs w:val="21"/>
        </w:rPr>
        <w:t>备注：</w:t>
      </w:r>
    </w:p>
    <w:p w14:paraId="6EAE47D1">
      <w:pPr>
        <w:pStyle w:val="36"/>
        <w:ind w:firstLine="420"/>
        <w:rPr>
          <w:szCs w:val="21"/>
        </w:rPr>
      </w:pPr>
      <w:r>
        <w:rPr>
          <w:rFonts w:hint="eastAsia"/>
          <w:szCs w:val="21"/>
        </w:rPr>
        <w:t>1.《2025年第**期**项目医用耗材投标产品明细表》用</w:t>
      </w:r>
      <w:r>
        <w:rPr>
          <w:rFonts w:hint="eastAsia"/>
          <w:b/>
          <w:color w:val="000000"/>
          <w:szCs w:val="21"/>
        </w:rPr>
        <w:t>Excel</w:t>
      </w:r>
      <w:r>
        <w:rPr>
          <w:rFonts w:hint="eastAsia"/>
          <w:szCs w:val="21"/>
        </w:rPr>
        <w:t>表格形式单独发送一份</w:t>
      </w:r>
    </w:p>
    <w:p w14:paraId="1DC86B5A">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14025960">
      <w:pPr>
        <w:widowControl/>
        <w:wordWrap w:val="0"/>
        <w:spacing w:line="420" w:lineRule="exact"/>
        <w:ind w:right="420" w:firstLine="5460" w:firstLineChars="2600"/>
        <w:jc w:val="right"/>
        <w:rPr>
          <w:rFonts w:ascii="Tahoma" w:hAnsi="Tahoma" w:cs="Tahoma"/>
          <w:kern w:val="0"/>
          <w:szCs w:val="21"/>
        </w:rPr>
      </w:pPr>
      <w:r>
        <w:rPr>
          <w:rFonts w:hint="eastAsia"/>
          <w:szCs w:val="21"/>
        </w:rPr>
        <w:t>中山大学附属第八医院（深圳福田）</w:t>
      </w:r>
    </w:p>
    <w:p w14:paraId="16A4DDD6">
      <w:pPr>
        <w:widowControl/>
        <w:wordWrap w:val="0"/>
        <w:spacing w:before="100" w:beforeAutospacing="1" w:after="100" w:afterAutospacing="1" w:line="0" w:lineRule="atLeast"/>
        <w:ind w:right="420" w:firstLine="329"/>
        <w:jc w:val="right"/>
        <w:rPr>
          <w:rFonts w:ascii="Arial Unicode MS" w:hAnsi="Arial Unicode MS" w:eastAsia="Arial Unicode MS" w:cs="Arial Unicode MS"/>
          <w:b/>
          <w:bCs/>
          <w:sz w:val="32"/>
        </w:rPr>
        <w:sectPr>
          <w:pgSz w:w="11906" w:h="16838"/>
          <w:pgMar w:top="340" w:right="720" w:bottom="397" w:left="720" w:header="851" w:footer="992" w:gutter="0"/>
          <w:cols w:space="720" w:num="1"/>
          <w:docGrid w:type="lines" w:linePitch="312" w:charSpace="0"/>
        </w:sectPr>
      </w:pPr>
      <w:r>
        <w:rPr>
          <w:rFonts w:hint="eastAsia" w:ascii="Tahoma" w:hAnsi="Tahoma" w:cs="Tahoma"/>
          <w:color w:val="FF0000"/>
          <w:kern w:val="0"/>
          <w:szCs w:val="21"/>
        </w:rPr>
        <w:t>202</w:t>
      </w:r>
      <w:r>
        <w:rPr>
          <w:rFonts w:hint="eastAsia" w:ascii="Tahoma" w:hAnsi="Tahoma" w:cs="Tahoma"/>
          <w:color w:val="FF0000"/>
          <w:kern w:val="0"/>
          <w:szCs w:val="21"/>
          <w:lang w:val="en-US" w:eastAsia="zh-CN"/>
        </w:rPr>
        <w:t>6</w:t>
      </w:r>
      <w:r>
        <w:rPr>
          <w:rFonts w:hint="eastAsia" w:ascii="Tahoma" w:hAnsi="Tahoma" w:cs="Tahoma"/>
          <w:color w:val="FF0000"/>
          <w:kern w:val="0"/>
          <w:szCs w:val="21"/>
        </w:rPr>
        <w:t>年</w:t>
      </w:r>
      <w:r>
        <w:rPr>
          <w:rFonts w:hint="eastAsia" w:ascii="Tahoma" w:hAnsi="Tahoma" w:cs="Tahoma"/>
          <w:color w:val="FF0000"/>
          <w:kern w:val="0"/>
          <w:szCs w:val="21"/>
          <w:lang w:val="en-US" w:eastAsia="zh-CN"/>
        </w:rPr>
        <w:t>1</w:t>
      </w:r>
      <w:r>
        <w:rPr>
          <w:rFonts w:hint="eastAsia" w:ascii="Tahoma" w:hAnsi="Tahoma" w:cs="Tahoma"/>
          <w:color w:val="FF0000"/>
          <w:kern w:val="0"/>
          <w:szCs w:val="21"/>
        </w:rPr>
        <w:t>月</w:t>
      </w:r>
    </w:p>
    <w:p w14:paraId="1A9CEBB9">
      <w:pPr>
        <w:pStyle w:val="25"/>
        <w:adjustRightInd w:val="0"/>
        <w:snapToGrid w:val="0"/>
        <w:spacing w:line="360" w:lineRule="auto"/>
        <w:jc w:val="center"/>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63EECAF5">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61249E17">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45D68895">
      <w:pPr>
        <w:pStyle w:val="43"/>
        <w:widowControl/>
        <w:adjustRightInd w:val="0"/>
        <w:snapToGrid w:val="0"/>
        <w:spacing w:line="360" w:lineRule="auto"/>
        <w:ind w:left="426" w:firstLine="480"/>
        <w:rPr>
          <w:rFonts w:ascii="宋体" w:hAnsi="宋体" w:eastAsia="宋体" w:cs="宋体"/>
          <w:color w:val="000000" w:themeColor="text1"/>
          <w:kern w:val="0"/>
          <w:sz w:val="24"/>
        </w:rPr>
      </w:pPr>
      <w:bookmarkStart w:id="3" w:name="_Toc61271840"/>
      <w:r>
        <w:rPr>
          <w:rFonts w:hint="eastAsia" w:ascii="宋体" w:hAnsi="宋体" w:eastAsia="宋体" w:cs="宋体"/>
          <w:color w:val="000000" w:themeColor="text1"/>
          <w:kern w:val="0"/>
          <w:sz w:val="24"/>
        </w:rPr>
        <w:t>根据2023年党政1516号1121（2023年度第3次医用耗材管理委员会议审议项目结果）</w:t>
      </w:r>
      <w:r>
        <w:rPr>
          <w:rFonts w:hint="eastAsia" w:ascii="宋体" w:hAnsi="宋体" w:eastAsia="宋体" w:cs="宋体"/>
          <w:color w:val="000000" w:themeColor="text1"/>
          <w:kern w:val="0"/>
          <w:sz w:val="24"/>
          <w:lang w:eastAsia="zh-CN"/>
        </w:rPr>
        <w:t>、</w:t>
      </w:r>
      <w:r>
        <w:rPr>
          <w:rFonts w:hint="eastAsia" w:ascii="宋体" w:hAnsi="宋体" w:eastAsia="宋体" w:cs="宋体"/>
          <w:color w:val="000000" w:themeColor="text1"/>
          <w:kern w:val="0"/>
          <w:sz w:val="24"/>
        </w:rPr>
        <w:t>2025年党办通7号（2024年第二次医用耗材管理委员会审议结果）</w:t>
      </w:r>
      <w:r>
        <w:rPr>
          <w:rFonts w:hint="eastAsia" w:ascii="宋体" w:hAnsi="宋体" w:eastAsia="宋体" w:cs="宋体"/>
          <w:color w:val="000000" w:themeColor="text1"/>
          <w:kern w:val="0"/>
          <w:sz w:val="24"/>
          <w:lang w:eastAsia="zh-CN"/>
        </w:rPr>
        <w:t>、</w:t>
      </w:r>
      <w:r>
        <w:rPr>
          <w:rFonts w:hint="eastAsia" w:ascii="宋体" w:hAnsi="宋体" w:eastAsia="宋体" w:cs="宋体"/>
          <w:color w:val="000000" w:themeColor="text1"/>
          <w:kern w:val="0"/>
          <w:sz w:val="24"/>
        </w:rPr>
        <w:t>2025年党办通265号（2025年第一次医院耗材管理委员</w:t>
      </w:r>
      <w:bookmarkStart w:id="30" w:name="_GoBack"/>
      <w:bookmarkEnd w:id="30"/>
      <w:r>
        <w:rPr>
          <w:rFonts w:hint="eastAsia" w:ascii="宋体" w:hAnsi="宋体" w:eastAsia="宋体" w:cs="宋体"/>
          <w:color w:val="000000" w:themeColor="text1"/>
          <w:kern w:val="0"/>
          <w:sz w:val="24"/>
        </w:rPr>
        <w:t>会审议结果）的决议，对</w:t>
      </w:r>
      <w:r>
        <w:rPr>
          <w:rFonts w:hint="eastAsia" w:ascii="宋体" w:hAnsi="宋体" w:eastAsia="宋体" w:cs="宋体"/>
          <w:color w:val="000000" w:themeColor="text1"/>
          <w:kern w:val="0"/>
          <w:sz w:val="24"/>
          <w:lang w:val="en-US" w:eastAsia="zh-CN"/>
        </w:rPr>
        <w:t>采购失败、</w:t>
      </w:r>
      <w:r>
        <w:rPr>
          <w:rFonts w:hint="eastAsia" w:ascii="宋体" w:hAnsi="宋体" w:eastAsia="宋体" w:cs="宋体"/>
          <w:color w:val="000000" w:themeColor="text1"/>
          <w:kern w:val="0"/>
          <w:sz w:val="24"/>
        </w:rPr>
        <w:t>协议到期医用耗材项目进行招采。</w:t>
      </w:r>
    </w:p>
    <w:p w14:paraId="654711B2">
      <w:pPr>
        <w:pStyle w:val="43"/>
        <w:widowControl/>
        <w:adjustRightInd w:val="0"/>
        <w:snapToGrid w:val="0"/>
        <w:spacing w:line="360" w:lineRule="auto"/>
        <w:ind w:left="426" w:firstLine="0" w:firstLineChars="0"/>
        <w:rPr>
          <w:rFonts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20"/>
        <w:gridCol w:w="2688"/>
        <w:gridCol w:w="1470"/>
        <w:gridCol w:w="807"/>
        <w:gridCol w:w="663"/>
        <w:gridCol w:w="1185"/>
        <w:gridCol w:w="818"/>
      </w:tblGrid>
      <w:tr w14:paraId="02019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blHeader/>
          <w:jc w:val="center"/>
        </w:trPr>
        <w:tc>
          <w:tcPr>
            <w:tcW w:w="375" w:type="dxa"/>
            <w:vAlign w:val="center"/>
          </w:tcPr>
          <w:p w14:paraId="0233543D">
            <w:pPr>
              <w:snapToGrid w:val="0"/>
              <w:jc w:val="center"/>
              <w:rPr>
                <w:rFonts w:ascii="宋体" w:eastAsia="宋体"/>
                <w:b/>
                <w:sz w:val="22"/>
              </w:rPr>
            </w:pPr>
            <w:r>
              <w:rPr>
                <w:rFonts w:hint="eastAsia" w:ascii="宋体" w:eastAsia="宋体"/>
                <w:b/>
                <w:sz w:val="22"/>
              </w:rPr>
              <w:t>序号</w:t>
            </w:r>
          </w:p>
        </w:tc>
        <w:tc>
          <w:tcPr>
            <w:tcW w:w="1281" w:type="dxa"/>
            <w:vAlign w:val="center"/>
          </w:tcPr>
          <w:p w14:paraId="396B58CC">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采购文件编号</w:t>
            </w:r>
          </w:p>
        </w:tc>
        <w:tc>
          <w:tcPr>
            <w:tcW w:w="1620" w:type="dxa"/>
            <w:vAlign w:val="center"/>
          </w:tcPr>
          <w:p w14:paraId="131740B9">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采购项目名称</w:t>
            </w:r>
          </w:p>
        </w:tc>
        <w:tc>
          <w:tcPr>
            <w:tcW w:w="2688" w:type="dxa"/>
            <w:vAlign w:val="center"/>
          </w:tcPr>
          <w:p w14:paraId="1B50B5B3">
            <w:pPr>
              <w:widowControl/>
              <w:snapToGrid w:val="0"/>
              <w:jc w:val="center"/>
              <w:rPr>
                <w:rFonts w:ascii="宋体" w:hAnsi="宋体" w:eastAsia="宋体" w:cs="宋体"/>
                <w:b/>
                <w:color w:val="FF0000"/>
                <w:kern w:val="0"/>
                <w:sz w:val="22"/>
                <w:szCs w:val="22"/>
              </w:rPr>
            </w:pPr>
            <w:r>
              <w:rPr>
                <w:rFonts w:hint="eastAsia" w:ascii="宋体" w:hAnsi="宋体" w:eastAsia="宋体" w:cs="宋体"/>
                <w:b/>
                <w:color w:val="000000"/>
                <w:kern w:val="0"/>
                <w:sz w:val="22"/>
                <w:szCs w:val="22"/>
              </w:rPr>
              <w:t>技术要求(在用详细明细见附件，仅供参考）</w:t>
            </w:r>
          </w:p>
        </w:tc>
        <w:tc>
          <w:tcPr>
            <w:tcW w:w="1470" w:type="dxa"/>
            <w:vAlign w:val="center"/>
          </w:tcPr>
          <w:p w14:paraId="77C92375">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单价限价</w:t>
            </w:r>
          </w:p>
          <w:p w14:paraId="0513AAF0">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w:t>
            </w:r>
            <w:r>
              <w:rPr>
                <w:rFonts w:hint="eastAsia" w:ascii="宋体" w:hAnsi="宋体" w:cs="宋体"/>
                <w:szCs w:val="21"/>
              </w:rPr>
              <w:t>★</w:t>
            </w:r>
            <w:r>
              <w:rPr>
                <w:rFonts w:hint="eastAsia" w:ascii="宋体" w:hAnsi="宋体" w:eastAsia="宋体" w:cs="宋体"/>
                <w:b/>
                <w:color w:val="000000"/>
                <w:kern w:val="0"/>
                <w:sz w:val="22"/>
                <w:szCs w:val="22"/>
              </w:rPr>
              <w:t>同类耗材不得超过在库价）</w:t>
            </w:r>
          </w:p>
        </w:tc>
        <w:tc>
          <w:tcPr>
            <w:tcW w:w="807" w:type="dxa"/>
            <w:vAlign w:val="center"/>
          </w:tcPr>
          <w:p w14:paraId="2BB8A38F">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允许进口/国产</w:t>
            </w:r>
          </w:p>
        </w:tc>
        <w:tc>
          <w:tcPr>
            <w:tcW w:w="663" w:type="dxa"/>
            <w:vAlign w:val="center"/>
          </w:tcPr>
          <w:p w14:paraId="399B8336">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使用科室</w:t>
            </w:r>
          </w:p>
        </w:tc>
        <w:tc>
          <w:tcPr>
            <w:tcW w:w="1185" w:type="dxa"/>
            <w:vAlign w:val="center"/>
          </w:tcPr>
          <w:p w14:paraId="44CE5908">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样品要求</w:t>
            </w:r>
          </w:p>
        </w:tc>
        <w:tc>
          <w:tcPr>
            <w:tcW w:w="818" w:type="dxa"/>
            <w:shd w:val="clear" w:color="auto" w:fill="auto"/>
            <w:vAlign w:val="center"/>
          </w:tcPr>
          <w:p w14:paraId="1B1BC0DE">
            <w:pPr>
              <w:snapToGrid w:val="0"/>
              <w:jc w:val="center"/>
              <w:rPr>
                <w:rFonts w:ascii="宋体" w:eastAsia="宋体"/>
                <w:b/>
                <w:color w:val="000000"/>
                <w:sz w:val="22"/>
              </w:rPr>
            </w:pPr>
            <w:r>
              <w:rPr>
                <w:rFonts w:hint="eastAsia" w:ascii="宋体" w:eastAsia="宋体"/>
                <w:b/>
                <w:color w:val="000000"/>
                <w:sz w:val="22"/>
              </w:rPr>
              <w:t>是否执行深圳市阳光平台线上采购</w:t>
            </w:r>
          </w:p>
        </w:tc>
      </w:tr>
      <w:tr w14:paraId="7BBC7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09055349">
            <w:pPr>
              <w:widowControl/>
              <w:jc w:val="center"/>
              <w:textAlignment w:val="center"/>
              <w:rPr>
                <w:rFonts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1</w:t>
            </w:r>
          </w:p>
        </w:tc>
        <w:tc>
          <w:tcPr>
            <w:tcW w:w="1281" w:type="dxa"/>
            <w:shd w:val="clear" w:color="auto" w:fill="auto"/>
            <w:noWrap/>
            <w:vAlign w:val="center"/>
          </w:tcPr>
          <w:p w14:paraId="1F3DBB63">
            <w:pPr>
              <w:widowControl/>
              <w:jc w:val="center"/>
              <w:textAlignment w:val="center"/>
              <w:rPr>
                <w:rFonts w:hint="default" w:ascii="Times New Roman" w:hAnsi="Times New Roman" w:eastAsia="宋体" w:cs="Times New Roman"/>
                <w:color w:val="000000"/>
                <w:kern w:val="2"/>
                <w:sz w:val="22"/>
                <w:szCs w:val="24"/>
                <w:lang w:val="en-US" w:eastAsia="zh-CN" w:bidi="ar-SA"/>
              </w:rPr>
            </w:pPr>
            <w:r>
              <w:rPr>
                <w:rFonts w:hint="default" w:ascii="Times New Roman" w:hAnsi="Times New Roman" w:eastAsia="宋体" w:cs="Times New Roman"/>
                <w:color w:val="000000"/>
                <w:kern w:val="0"/>
                <w:sz w:val="22"/>
                <w:szCs w:val="22"/>
                <w:lang w:val="en-US" w:eastAsia="zh-CN" w:bidi="ar-SA"/>
              </w:rPr>
              <w:t>ZCB2025-HC10</w:t>
            </w:r>
            <w:r>
              <w:rPr>
                <w:rFonts w:hint="eastAsia" w:eastAsia="宋体" w:cs="Times New Roman"/>
                <w:color w:val="000000"/>
                <w:kern w:val="0"/>
                <w:sz w:val="22"/>
                <w:szCs w:val="22"/>
                <w:lang w:val="en-US" w:eastAsia="zh-CN" w:bidi="ar-SA"/>
              </w:rPr>
              <w:t>7</w:t>
            </w:r>
            <w:r>
              <w:rPr>
                <w:rFonts w:hint="default" w:ascii="Times New Roman" w:hAnsi="Times New Roman" w:eastAsia="宋体" w:cs="Times New Roman"/>
                <w:color w:val="000000"/>
                <w:kern w:val="0"/>
                <w:sz w:val="22"/>
                <w:szCs w:val="22"/>
                <w:lang w:val="en-US" w:eastAsia="zh-CN" w:bidi="ar-SA"/>
              </w:rPr>
              <w:t>-80</w:t>
            </w:r>
            <w:r>
              <w:rPr>
                <w:rFonts w:hint="eastAsia" w:eastAsia="宋体" w:cs="Times New Roman"/>
                <w:color w:val="000000"/>
                <w:kern w:val="0"/>
                <w:sz w:val="22"/>
                <w:szCs w:val="22"/>
                <w:lang w:val="en-US" w:eastAsia="zh-CN" w:bidi="ar-SA"/>
              </w:rPr>
              <w:t>7</w:t>
            </w:r>
          </w:p>
        </w:tc>
        <w:tc>
          <w:tcPr>
            <w:tcW w:w="1620" w:type="dxa"/>
            <w:shd w:val="clear" w:color="auto" w:fill="auto"/>
            <w:vAlign w:val="center"/>
          </w:tcPr>
          <w:p w14:paraId="3842DBCF">
            <w:pPr>
              <w:jc w:val="center"/>
              <w:rPr>
                <w:rFonts w:hint="eastAsia" w:ascii="Times New Roman" w:hAnsi="Times New Roman" w:eastAsia="宋体" w:cs="Times New Roman"/>
                <w:color w:val="000000"/>
                <w:kern w:val="2"/>
                <w:sz w:val="22"/>
                <w:szCs w:val="24"/>
                <w:lang w:val="en-US" w:eastAsia="zh-CN" w:bidi="ar-SA"/>
              </w:rPr>
            </w:pPr>
            <w:r>
              <w:rPr>
                <w:rFonts w:hint="eastAsia" w:asciiTheme="minorHAnsi" w:hAnsiTheme="minorHAnsi" w:eastAsiaTheme="minorEastAsia" w:cstheme="minorBidi"/>
                <w:color w:val="000000"/>
                <w:kern w:val="2"/>
                <w:sz w:val="22"/>
                <w:szCs w:val="22"/>
                <w:lang w:val="en-US" w:eastAsia="zh-CN" w:bidi="ar-SA"/>
              </w:rPr>
              <w:t>颅内支持导管</w:t>
            </w:r>
          </w:p>
        </w:tc>
        <w:tc>
          <w:tcPr>
            <w:tcW w:w="2688" w:type="dxa"/>
            <w:vAlign w:val="center"/>
          </w:tcPr>
          <w:p w14:paraId="01F02F7E">
            <w:pPr>
              <w:numPr>
                <w:ilvl w:val="0"/>
                <w:numId w:val="0"/>
              </w:numPr>
              <w:snapToGrid w:val="0"/>
              <w:ind w:left="0" w:leftChars="0" w:firstLine="0" w:firstLineChars="0"/>
              <w:jc w:val="left"/>
              <w:rPr>
                <w:rFonts w:hint="eastAsia" w:eastAsia="宋体"/>
                <w:lang w:eastAsia="zh-CN"/>
              </w:rPr>
            </w:pPr>
            <w:r>
              <w:rPr>
                <w:rFonts w:hint="eastAsia" w:eastAsia="宋体"/>
                <w:lang w:eastAsia="zh-CN"/>
              </w:rPr>
              <w:t>用于在神经血管内输送介入/诊断器械。</w:t>
            </w:r>
          </w:p>
        </w:tc>
        <w:tc>
          <w:tcPr>
            <w:tcW w:w="1470" w:type="dxa"/>
            <w:vAlign w:val="center"/>
          </w:tcPr>
          <w:p w14:paraId="07AC18E6">
            <w:pPr>
              <w:snapToGrid w:val="0"/>
              <w:jc w:val="right"/>
              <w:rPr>
                <w:rFonts w:hint="eastAsia" w:eastAsia="宋体"/>
                <w:lang w:eastAsia="zh-CN"/>
              </w:rPr>
            </w:pPr>
            <w:r>
              <w:rPr>
                <w:rFonts w:hint="eastAsia" w:eastAsia="宋体"/>
                <w:lang w:val="en-US" w:eastAsia="zh-CN"/>
              </w:rPr>
              <w:t>14800</w:t>
            </w:r>
            <w:r>
              <w:rPr>
                <w:rFonts w:hint="eastAsia" w:eastAsia="宋体"/>
                <w:lang w:eastAsia="zh-CN"/>
              </w:rPr>
              <w:t>（</w:t>
            </w:r>
            <w:r>
              <w:rPr>
                <w:rFonts w:hint="eastAsia" w:eastAsia="宋体"/>
                <w:lang w:val="en-US" w:eastAsia="zh-CN"/>
              </w:rPr>
              <w:t>详见原中标目录）</w:t>
            </w:r>
          </w:p>
        </w:tc>
        <w:tc>
          <w:tcPr>
            <w:tcW w:w="807" w:type="dxa"/>
            <w:vAlign w:val="center"/>
          </w:tcPr>
          <w:p w14:paraId="6C439E03">
            <w:pPr>
              <w:widowControl/>
              <w:snapToGrid w:val="0"/>
              <w:jc w:val="center"/>
              <w:textAlignment w:val="center"/>
              <w:rPr>
                <w:rFonts w:hint="default" w:ascii="Times New Roman" w:eastAsia="宋体" w:hAnsiTheme="minorEastAsia" w:cstheme="minorEastAsia"/>
                <w:kern w:val="2"/>
                <w:sz w:val="21"/>
                <w:szCs w:val="20"/>
                <w:lang w:val="en-US" w:eastAsia="zh-CN" w:bidi="ar-SA"/>
              </w:rPr>
            </w:pPr>
            <w:r>
              <w:rPr>
                <w:rFonts w:hint="eastAsia" w:eastAsia="宋体" w:hAnsiTheme="minorEastAsia" w:cstheme="minorEastAsia"/>
                <w:szCs w:val="20"/>
                <w:lang w:val="en-US" w:eastAsia="zh-CN"/>
              </w:rPr>
              <w:t>国产</w:t>
            </w:r>
          </w:p>
        </w:tc>
        <w:tc>
          <w:tcPr>
            <w:tcW w:w="663" w:type="dxa"/>
            <w:vAlign w:val="center"/>
          </w:tcPr>
          <w:p w14:paraId="2A995B55">
            <w:pPr>
              <w:widowControl/>
              <w:snapToGrid w:val="0"/>
              <w:jc w:val="center"/>
              <w:textAlignment w:val="center"/>
              <w:rPr>
                <w:rFonts w:eastAsia="宋体" w:hAnsiTheme="minorEastAsia" w:cstheme="minorEastAsia"/>
                <w:szCs w:val="20"/>
              </w:rPr>
            </w:pPr>
            <w:r>
              <w:rPr>
                <w:rFonts w:hint="eastAsia" w:eastAsia="宋体" w:hAnsiTheme="minorEastAsia" w:cstheme="minorEastAsia"/>
                <w:szCs w:val="20"/>
              </w:rPr>
              <w:t>脑血管病专科</w:t>
            </w:r>
          </w:p>
        </w:tc>
        <w:tc>
          <w:tcPr>
            <w:tcW w:w="1185" w:type="dxa"/>
            <w:vAlign w:val="center"/>
          </w:tcPr>
          <w:p w14:paraId="3AE9DCF6">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70419165">
            <w:pPr>
              <w:widowControl/>
              <w:snapToGrid w:val="0"/>
              <w:jc w:val="center"/>
              <w:textAlignment w:val="center"/>
              <w:rPr>
                <w:rFonts w:eastAsia="宋体"/>
                <w:color w:val="000000"/>
              </w:rPr>
            </w:pPr>
            <w:r>
              <w:rPr>
                <w:rFonts w:hint="eastAsia" w:eastAsia="宋体"/>
                <w:color w:val="000000"/>
              </w:rPr>
              <w:t>是</w:t>
            </w:r>
          </w:p>
        </w:tc>
      </w:tr>
      <w:tr w14:paraId="54F74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2547A5A1">
            <w:pPr>
              <w:widowControl/>
              <w:jc w:val="center"/>
              <w:textAlignment w:val="center"/>
              <w:rPr>
                <w:rFonts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2</w:t>
            </w:r>
          </w:p>
        </w:tc>
        <w:tc>
          <w:tcPr>
            <w:tcW w:w="1281" w:type="dxa"/>
            <w:shd w:val="clear" w:color="auto" w:fill="auto"/>
            <w:noWrap/>
            <w:vAlign w:val="center"/>
          </w:tcPr>
          <w:p w14:paraId="131B99ED">
            <w:pPr>
              <w:widowControl/>
              <w:jc w:val="center"/>
              <w:textAlignment w:val="center"/>
              <w:rPr>
                <w:rFonts w:hint="default" w:ascii="Times New Roman" w:hAnsi="Times New Roman" w:eastAsia="宋体" w:cs="Times New Roman"/>
                <w:color w:val="000000"/>
                <w:kern w:val="0"/>
                <w:sz w:val="22"/>
                <w:szCs w:val="22"/>
                <w:lang w:val="en-US" w:eastAsia="zh-CN" w:bidi="ar-SA"/>
              </w:rPr>
            </w:pPr>
            <w:r>
              <w:rPr>
                <w:rFonts w:hint="eastAsia" w:ascii="Times New Roman" w:hAnsi="Times New Roman" w:eastAsia="宋体" w:cs="Times New Roman"/>
                <w:color w:val="000000"/>
                <w:kern w:val="0"/>
                <w:sz w:val="22"/>
                <w:szCs w:val="22"/>
                <w:lang w:val="en-US" w:eastAsia="zh-CN"/>
              </w:rPr>
              <w:t>ZCB2025-HC10</w:t>
            </w:r>
            <w:r>
              <w:rPr>
                <w:rFonts w:hint="eastAsia" w:eastAsia="宋体" w:cs="Times New Roman"/>
                <w:color w:val="000000"/>
                <w:kern w:val="0"/>
                <w:sz w:val="22"/>
                <w:szCs w:val="22"/>
                <w:lang w:val="en-US" w:eastAsia="zh-CN"/>
              </w:rPr>
              <w:t>7</w:t>
            </w:r>
            <w:r>
              <w:rPr>
                <w:rFonts w:hint="eastAsia" w:ascii="Times New Roman" w:hAnsi="Times New Roman" w:eastAsia="宋体" w:cs="Times New Roman"/>
                <w:color w:val="000000"/>
                <w:kern w:val="0"/>
                <w:sz w:val="22"/>
                <w:szCs w:val="22"/>
                <w:lang w:val="en-US" w:eastAsia="zh-CN"/>
              </w:rPr>
              <w:t>-80</w:t>
            </w:r>
            <w:r>
              <w:rPr>
                <w:rFonts w:hint="eastAsia" w:eastAsia="宋体" w:cs="Times New Roman"/>
                <w:color w:val="000000"/>
                <w:kern w:val="0"/>
                <w:sz w:val="22"/>
                <w:szCs w:val="22"/>
                <w:lang w:val="en-US" w:eastAsia="zh-CN"/>
              </w:rPr>
              <w:t>8</w:t>
            </w:r>
          </w:p>
        </w:tc>
        <w:tc>
          <w:tcPr>
            <w:tcW w:w="1620" w:type="dxa"/>
            <w:shd w:val="clear" w:color="auto" w:fill="auto"/>
            <w:vAlign w:val="center"/>
          </w:tcPr>
          <w:p w14:paraId="79D1D593">
            <w:pPr>
              <w:jc w:val="center"/>
              <w:rPr>
                <w:rFonts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血栓保护系统</w:t>
            </w:r>
          </w:p>
        </w:tc>
        <w:tc>
          <w:tcPr>
            <w:tcW w:w="2688" w:type="dxa"/>
            <w:vAlign w:val="center"/>
          </w:tcPr>
          <w:p w14:paraId="502906A5">
            <w:pPr>
              <w:snapToGrid w:val="0"/>
              <w:jc w:val="left"/>
              <w:rPr>
                <w:rFonts w:eastAsia="宋体"/>
              </w:rPr>
            </w:pPr>
            <w:r>
              <w:rPr>
                <w:rFonts w:hint="eastAsia" w:eastAsia="宋体"/>
              </w:rPr>
              <w:t>用于在颈动脉、冠状动脉和隐静脉移植物中实施血管成形术以及支架手术过程中容纳并取出血栓。</w:t>
            </w:r>
          </w:p>
        </w:tc>
        <w:tc>
          <w:tcPr>
            <w:tcW w:w="1470" w:type="dxa"/>
            <w:vAlign w:val="center"/>
          </w:tcPr>
          <w:p w14:paraId="06AA2184">
            <w:pPr>
              <w:snapToGrid w:val="0"/>
              <w:jc w:val="right"/>
              <w:rPr>
                <w:rFonts w:eastAsia="宋体"/>
              </w:rPr>
            </w:pPr>
            <w:r>
              <w:rPr>
                <w:rFonts w:hint="eastAsia" w:eastAsia="宋体"/>
                <w:lang w:val="en-US" w:eastAsia="zh-CN"/>
              </w:rPr>
              <w:t>15208</w:t>
            </w:r>
            <w:r>
              <w:rPr>
                <w:rFonts w:hint="eastAsia" w:eastAsia="宋体"/>
                <w:lang w:eastAsia="zh-CN"/>
              </w:rPr>
              <w:t>（</w:t>
            </w:r>
            <w:r>
              <w:rPr>
                <w:rFonts w:hint="eastAsia" w:eastAsia="宋体"/>
                <w:lang w:val="en-US" w:eastAsia="zh-CN"/>
              </w:rPr>
              <w:t>详见原中标目录）</w:t>
            </w:r>
          </w:p>
        </w:tc>
        <w:tc>
          <w:tcPr>
            <w:tcW w:w="807" w:type="dxa"/>
            <w:shd w:val="clear" w:color="auto" w:fill="auto"/>
            <w:vAlign w:val="center"/>
          </w:tcPr>
          <w:p w14:paraId="4428E2D0">
            <w:pPr>
              <w:widowControl/>
              <w:snapToGrid w:val="0"/>
              <w:jc w:val="center"/>
              <w:textAlignment w:val="center"/>
              <w:rPr>
                <w:rFonts w:hint="default"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允</w:t>
            </w:r>
            <w:r>
              <w:rPr>
                <w:rFonts w:hint="eastAsia" w:eastAsia="宋体" w:hAnsiTheme="minorEastAsia" w:cstheme="minorEastAsia"/>
                <w:szCs w:val="20"/>
                <w:lang w:val="en-US" w:eastAsia="zh-CN"/>
              </w:rPr>
              <w:t>许进口</w:t>
            </w:r>
          </w:p>
        </w:tc>
        <w:tc>
          <w:tcPr>
            <w:tcW w:w="663" w:type="dxa"/>
            <w:shd w:val="clear" w:color="auto" w:fill="auto"/>
            <w:vAlign w:val="center"/>
          </w:tcPr>
          <w:p w14:paraId="7B5FBF5B">
            <w:pPr>
              <w:widowControl/>
              <w:snapToGrid w:val="0"/>
              <w:jc w:val="center"/>
              <w:textAlignment w:val="center"/>
              <w:rPr>
                <w:rFonts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脑血管病专科</w:t>
            </w:r>
          </w:p>
        </w:tc>
        <w:tc>
          <w:tcPr>
            <w:tcW w:w="1185" w:type="dxa"/>
            <w:shd w:val="clear" w:color="auto" w:fill="auto"/>
            <w:vAlign w:val="center"/>
          </w:tcPr>
          <w:p w14:paraId="017255CD">
            <w:pPr>
              <w:widowControl/>
              <w:snapToGrid w:val="0"/>
              <w:jc w:val="left"/>
              <w:textAlignment w:val="center"/>
              <w:rPr>
                <w:rFonts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44DA4102">
            <w:pPr>
              <w:widowControl/>
              <w:snapToGrid w:val="0"/>
              <w:jc w:val="center"/>
              <w:textAlignment w:val="center"/>
              <w:rPr>
                <w:rFonts w:ascii="Times New Roman" w:hAnsi="Times New Roman" w:eastAsia="宋体" w:cs="Times New Roman"/>
                <w:color w:val="000000"/>
                <w:kern w:val="2"/>
                <w:sz w:val="21"/>
                <w:szCs w:val="24"/>
                <w:lang w:val="en-US" w:eastAsia="zh-CN" w:bidi="ar-SA"/>
              </w:rPr>
            </w:pPr>
            <w:r>
              <w:rPr>
                <w:rFonts w:hint="eastAsia" w:eastAsia="宋体"/>
                <w:color w:val="000000"/>
              </w:rPr>
              <w:t>是</w:t>
            </w:r>
          </w:p>
        </w:tc>
      </w:tr>
      <w:tr w14:paraId="3B825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0957E24B">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3</w:t>
            </w:r>
          </w:p>
        </w:tc>
        <w:tc>
          <w:tcPr>
            <w:tcW w:w="1281" w:type="dxa"/>
            <w:shd w:val="clear" w:color="auto" w:fill="auto"/>
            <w:noWrap/>
            <w:vAlign w:val="center"/>
          </w:tcPr>
          <w:p w14:paraId="6D1C2E70">
            <w:pPr>
              <w:widowControl/>
              <w:jc w:val="center"/>
              <w:textAlignment w:val="center"/>
              <w:rPr>
                <w:rFonts w:hint="default" w:ascii="Times New Roman" w:hAnsi="Times New Roman" w:eastAsia="宋体" w:cs="Times New Roman"/>
                <w:color w:val="000000"/>
                <w:kern w:val="0"/>
                <w:sz w:val="22"/>
                <w:szCs w:val="22"/>
                <w:lang w:val="en-US" w:eastAsia="zh-CN" w:bidi="ar-SA"/>
              </w:rPr>
            </w:pPr>
            <w:r>
              <w:rPr>
                <w:rFonts w:hint="eastAsia" w:ascii="Times New Roman" w:hAnsi="Times New Roman" w:eastAsia="宋体" w:cs="Times New Roman"/>
                <w:color w:val="000000"/>
                <w:kern w:val="0"/>
                <w:sz w:val="22"/>
                <w:szCs w:val="22"/>
                <w:lang w:val="en-US" w:eastAsia="zh-CN"/>
              </w:rPr>
              <w:t>ZCB2025-HC10</w:t>
            </w:r>
            <w:r>
              <w:rPr>
                <w:rFonts w:hint="eastAsia" w:eastAsia="宋体" w:cs="Times New Roman"/>
                <w:color w:val="000000"/>
                <w:kern w:val="0"/>
                <w:sz w:val="22"/>
                <w:szCs w:val="22"/>
                <w:lang w:val="en-US" w:eastAsia="zh-CN"/>
              </w:rPr>
              <w:t>7</w:t>
            </w:r>
            <w:r>
              <w:rPr>
                <w:rFonts w:hint="eastAsia" w:ascii="Times New Roman" w:hAnsi="Times New Roman" w:eastAsia="宋体" w:cs="Times New Roman"/>
                <w:color w:val="000000"/>
                <w:kern w:val="0"/>
                <w:sz w:val="22"/>
                <w:szCs w:val="22"/>
                <w:lang w:val="en-US" w:eastAsia="zh-CN"/>
              </w:rPr>
              <w:t>-80</w:t>
            </w:r>
            <w:r>
              <w:rPr>
                <w:rFonts w:hint="eastAsia" w:eastAsia="宋体" w:cs="Times New Roman"/>
                <w:color w:val="000000"/>
                <w:kern w:val="0"/>
                <w:sz w:val="22"/>
                <w:szCs w:val="22"/>
                <w:lang w:val="en-US" w:eastAsia="zh-CN"/>
              </w:rPr>
              <w:t>9</w:t>
            </w:r>
          </w:p>
        </w:tc>
        <w:tc>
          <w:tcPr>
            <w:tcW w:w="1620" w:type="dxa"/>
            <w:shd w:val="clear" w:color="auto" w:fill="auto"/>
            <w:vAlign w:val="center"/>
          </w:tcPr>
          <w:p w14:paraId="6B643687">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血管重建装置和传送系统</w:t>
            </w:r>
          </w:p>
        </w:tc>
        <w:tc>
          <w:tcPr>
            <w:tcW w:w="2688" w:type="dxa"/>
            <w:shd w:val="clear" w:color="auto" w:fill="auto"/>
            <w:vAlign w:val="center"/>
          </w:tcPr>
          <w:p w14:paraId="6CB24BC3">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与治疗颅内动脉瘤的栓塞装置一起使用。由支架和传送系统组成。</w:t>
            </w:r>
          </w:p>
        </w:tc>
        <w:tc>
          <w:tcPr>
            <w:tcW w:w="1470" w:type="dxa"/>
            <w:shd w:val="clear" w:color="auto" w:fill="auto"/>
            <w:vAlign w:val="center"/>
          </w:tcPr>
          <w:p w14:paraId="4E196802">
            <w:pPr>
              <w:snapToGrid w:val="0"/>
              <w:jc w:val="right"/>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44833.33</w:t>
            </w:r>
            <w:r>
              <w:rPr>
                <w:rFonts w:hint="eastAsia" w:eastAsia="宋体"/>
                <w:lang w:eastAsia="zh-CN"/>
              </w:rPr>
              <w:t>（</w:t>
            </w:r>
            <w:r>
              <w:rPr>
                <w:rFonts w:hint="eastAsia" w:eastAsia="宋体"/>
                <w:lang w:val="en-US" w:eastAsia="zh-CN"/>
              </w:rPr>
              <w:t>详见原中标目录）</w:t>
            </w:r>
          </w:p>
        </w:tc>
        <w:tc>
          <w:tcPr>
            <w:tcW w:w="807" w:type="dxa"/>
            <w:shd w:val="clear" w:color="auto" w:fill="auto"/>
            <w:vAlign w:val="center"/>
          </w:tcPr>
          <w:p w14:paraId="46B21E6C">
            <w:pPr>
              <w:widowControl/>
              <w:snapToGrid w:val="0"/>
              <w:jc w:val="center"/>
              <w:textAlignment w:val="center"/>
              <w:rPr>
                <w:rFonts w:hint="default"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允</w:t>
            </w:r>
            <w:r>
              <w:rPr>
                <w:rFonts w:hint="eastAsia" w:eastAsia="宋体" w:hAnsiTheme="minorEastAsia" w:cstheme="minorEastAsia"/>
                <w:szCs w:val="20"/>
                <w:lang w:val="en-US" w:eastAsia="zh-CN"/>
              </w:rPr>
              <w:t>许进口</w:t>
            </w:r>
          </w:p>
        </w:tc>
        <w:tc>
          <w:tcPr>
            <w:tcW w:w="663" w:type="dxa"/>
            <w:shd w:val="clear" w:color="auto" w:fill="auto"/>
            <w:vAlign w:val="center"/>
          </w:tcPr>
          <w:p w14:paraId="6C3AFA3C">
            <w:pPr>
              <w:widowControl/>
              <w:snapToGrid w:val="0"/>
              <w:jc w:val="center"/>
              <w:textAlignment w:val="center"/>
              <w:rPr>
                <w:rFonts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脑血管病专科</w:t>
            </w:r>
          </w:p>
        </w:tc>
        <w:tc>
          <w:tcPr>
            <w:tcW w:w="1185" w:type="dxa"/>
            <w:shd w:val="clear" w:color="auto" w:fill="auto"/>
            <w:vAlign w:val="center"/>
          </w:tcPr>
          <w:p w14:paraId="11BF4C94">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2E051C59">
            <w:pPr>
              <w:widowControl/>
              <w:snapToGrid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eastAsia="宋体"/>
                <w:color w:val="000000"/>
              </w:rPr>
              <w:t>是</w:t>
            </w:r>
          </w:p>
        </w:tc>
      </w:tr>
      <w:tr w14:paraId="7E8F2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66A8B2B0">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4</w:t>
            </w:r>
          </w:p>
        </w:tc>
        <w:tc>
          <w:tcPr>
            <w:tcW w:w="1281" w:type="dxa"/>
            <w:shd w:val="clear" w:color="auto" w:fill="auto"/>
            <w:noWrap/>
            <w:vAlign w:val="center"/>
          </w:tcPr>
          <w:p w14:paraId="4C4C26DC">
            <w:pPr>
              <w:widowControl/>
              <w:jc w:val="center"/>
              <w:textAlignment w:val="center"/>
              <w:rPr>
                <w:rFonts w:hint="default" w:ascii="Times New Roman" w:hAnsi="Times New Roman" w:eastAsia="宋体" w:cs="Times New Roman"/>
                <w:color w:val="000000"/>
                <w:kern w:val="0"/>
                <w:sz w:val="22"/>
                <w:szCs w:val="22"/>
                <w:lang w:val="en-US" w:eastAsia="zh-CN" w:bidi="ar-SA"/>
              </w:rPr>
            </w:pPr>
            <w:r>
              <w:rPr>
                <w:rFonts w:hint="eastAsia" w:ascii="Times New Roman" w:hAnsi="Times New Roman" w:eastAsia="宋体" w:cs="Times New Roman"/>
                <w:color w:val="000000"/>
                <w:kern w:val="0"/>
                <w:sz w:val="22"/>
                <w:szCs w:val="22"/>
                <w:lang w:val="en-US" w:eastAsia="zh-CN"/>
              </w:rPr>
              <w:t>ZCB2025-HC10</w:t>
            </w:r>
            <w:r>
              <w:rPr>
                <w:rFonts w:hint="eastAsia" w:eastAsia="宋体" w:cs="Times New Roman"/>
                <w:color w:val="000000"/>
                <w:kern w:val="0"/>
                <w:sz w:val="22"/>
                <w:szCs w:val="22"/>
                <w:lang w:val="en-US" w:eastAsia="zh-CN"/>
              </w:rPr>
              <w:t>7</w:t>
            </w:r>
            <w:r>
              <w:rPr>
                <w:rFonts w:hint="eastAsia" w:ascii="Times New Roman" w:hAnsi="Times New Roman" w:eastAsia="宋体" w:cs="Times New Roman"/>
                <w:color w:val="000000"/>
                <w:kern w:val="0"/>
                <w:sz w:val="22"/>
                <w:szCs w:val="22"/>
                <w:lang w:val="en-US" w:eastAsia="zh-CN"/>
              </w:rPr>
              <w:t>-8</w:t>
            </w:r>
            <w:r>
              <w:rPr>
                <w:rFonts w:hint="eastAsia" w:eastAsia="宋体" w:cs="Times New Roman"/>
                <w:color w:val="000000"/>
                <w:kern w:val="0"/>
                <w:sz w:val="22"/>
                <w:szCs w:val="22"/>
                <w:lang w:val="en-US" w:eastAsia="zh-CN"/>
              </w:rPr>
              <w:t>10-A</w:t>
            </w:r>
          </w:p>
        </w:tc>
        <w:tc>
          <w:tcPr>
            <w:tcW w:w="1620" w:type="dxa"/>
            <w:shd w:val="clear" w:color="auto" w:fill="auto"/>
            <w:vAlign w:val="center"/>
          </w:tcPr>
          <w:p w14:paraId="3BCAEB74">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颅内球囊扩张导管</w:t>
            </w:r>
            <w:r>
              <w:rPr>
                <w:rFonts w:hint="eastAsia" w:asciiTheme="minorHAnsi" w:hAnsiTheme="minorHAnsi" w:cstheme="minorBidi"/>
                <w:color w:val="000000"/>
                <w:kern w:val="2"/>
                <w:sz w:val="22"/>
                <w:szCs w:val="22"/>
                <w:lang w:val="en-US" w:eastAsia="zh-CN" w:bidi="ar-SA"/>
              </w:rPr>
              <w:t>（A包）</w:t>
            </w:r>
          </w:p>
        </w:tc>
        <w:tc>
          <w:tcPr>
            <w:tcW w:w="2688" w:type="dxa"/>
            <w:shd w:val="clear" w:color="auto" w:fill="auto"/>
            <w:vAlign w:val="center"/>
          </w:tcPr>
          <w:p w14:paraId="25197945">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适用于非急性期症状性颅内动脉粥样硬化性狭窄病人的介入治疗，通过球囊扩张，改善颅内动脉血管的血流灌注</w:t>
            </w:r>
          </w:p>
        </w:tc>
        <w:tc>
          <w:tcPr>
            <w:tcW w:w="1470" w:type="dxa"/>
            <w:shd w:val="clear" w:color="auto" w:fill="auto"/>
            <w:vAlign w:val="center"/>
          </w:tcPr>
          <w:p w14:paraId="109F828F">
            <w:pPr>
              <w:snapToGrid w:val="0"/>
              <w:jc w:val="right"/>
              <w:rPr>
                <w:rFonts w:hint="default" w:eastAsia="宋体"/>
                <w:lang w:val="en-US" w:eastAsia="zh-CN"/>
              </w:rPr>
            </w:pPr>
            <w:r>
              <w:rPr>
                <w:rFonts w:hint="eastAsia" w:eastAsia="宋体"/>
                <w:lang w:val="en-US" w:eastAsia="zh-CN"/>
              </w:rPr>
              <w:t>12000</w:t>
            </w:r>
            <w:r>
              <w:rPr>
                <w:rFonts w:hint="eastAsia" w:eastAsia="宋体"/>
                <w:lang w:eastAsia="zh-CN"/>
              </w:rPr>
              <w:t>（</w:t>
            </w:r>
            <w:r>
              <w:rPr>
                <w:rFonts w:hint="eastAsia" w:eastAsia="宋体"/>
                <w:lang w:val="en-US" w:eastAsia="zh-CN"/>
              </w:rPr>
              <w:t>详见原中标目录）</w:t>
            </w:r>
          </w:p>
        </w:tc>
        <w:tc>
          <w:tcPr>
            <w:tcW w:w="807" w:type="dxa"/>
            <w:shd w:val="clear" w:color="auto" w:fill="auto"/>
            <w:vAlign w:val="center"/>
          </w:tcPr>
          <w:p w14:paraId="680CE298">
            <w:pPr>
              <w:widowControl/>
              <w:snapToGrid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Cs w:val="20"/>
                <w:lang w:val="en-US" w:eastAsia="zh-CN"/>
              </w:rPr>
              <w:t>国产</w:t>
            </w:r>
          </w:p>
        </w:tc>
        <w:tc>
          <w:tcPr>
            <w:tcW w:w="663" w:type="dxa"/>
            <w:shd w:val="clear" w:color="auto" w:fill="auto"/>
            <w:vAlign w:val="center"/>
          </w:tcPr>
          <w:p w14:paraId="125B64B2">
            <w:pPr>
              <w:widowControl/>
              <w:snapToGrid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脑血管病专科</w:t>
            </w:r>
          </w:p>
        </w:tc>
        <w:tc>
          <w:tcPr>
            <w:tcW w:w="1185" w:type="dxa"/>
            <w:shd w:val="clear" w:color="auto" w:fill="auto"/>
            <w:vAlign w:val="center"/>
          </w:tcPr>
          <w:p w14:paraId="111E8375">
            <w:pPr>
              <w:widowControl/>
              <w:snapToGrid w:val="0"/>
              <w:jc w:val="left"/>
              <w:textAlignment w:val="center"/>
              <w:rPr>
                <w:rFonts w:hint="eastAsia"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50683468">
            <w:pPr>
              <w:widowControl/>
              <w:snapToGrid w:val="0"/>
              <w:jc w:val="center"/>
              <w:textAlignment w:val="center"/>
              <w:rPr>
                <w:rFonts w:hint="eastAsia" w:eastAsia="宋体"/>
                <w:color w:val="000000"/>
              </w:rPr>
            </w:pPr>
            <w:r>
              <w:rPr>
                <w:rFonts w:hint="eastAsia" w:eastAsia="宋体"/>
                <w:color w:val="000000"/>
              </w:rPr>
              <w:t>是</w:t>
            </w:r>
          </w:p>
        </w:tc>
      </w:tr>
      <w:tr w14:paraId="7F078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623949F5">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5</w:t>
            </w:r>
          </w:p>
        </w:tc>
        <w:tc>
          <w:tcPr>
            <w:tcW w:w="1281" w:type="dxa"/>
            <w:shd w:val="clear" w:color="auto" w:fill="auto"/>
            <w:noWrap/>
            <w:vAlign w:val="center"/>
          </w:tcPr>
          <w:p w14:paraId="3BF788D3">
            <w:pPr>
              <w:widowControl/>
              <w:jc w:val="center"/>
              <w:textAlignment w:val="center"/>
              <w:rPr>
                <w:rFonts w:hint="eastAsia" w:ascii="Times New Roman" w:hAnsi="Times New Roman" w:eastAsia="宋体" w:cs="Times New Roman"/>
                <w:color w:val="000000"/>
                <w:kern w:val="0"/>
                <w:sz w:val="22"/>
                <w:szCs w:val="22"/>
                <w:lang w:val="en-US" w:eastAsia="zh-CN" w:bidi="ar-SA"/>
              </w:rPr>
            </w:pPr>
            <w:r>
              <w:rPr>
                <w:rFonts w:hint="eastAsia" w:ascii="Times New Roman" w:hAnsi="Times New Roman" w:eastAsia="宋体" w:cs="Times New Roman"/>
                <w:color w:val="000000"/>
                <w:kern w:val="0"/>
                <w:sz w:val="22"/>
                <w:szCs w:val="22"/>
                <w:lang w:val="en-US" w:eastAsia="zh-CN"/>
              </w:rPr>
              <w:t>ZCB2025-HC10</w:t>
            </w:r>
            <w:r>
              <w:rPr>
                <w:rFonts w:hint="eastAsia" w:eastAsia="宋体" w:cs="Times New Roman"/>
                <w:color w:val="000000"/>
                <w:kern w:val="0"/>
                <w:sz w:val="22"/>
                <w:szCs w:val="22"/>
                <w:lang w:val="en-US" w:eastAsia="zh-CN"/>
              </w:rPr>
              <w:t>7</w:t>
            </w:r>
            <w:r>
              <w:rPr>
                <w:rFonts w:hint="eastAsia" w:ascii="Times New Roman" w:hAnsi="Times New Roman" w:eastAsia="宋体" w:cs="Times New Roman"/>
                <w:color w:val="000000"/>
                <w:kern w:val="0"/>
                <w:sz w:val="22"/>
                <w:szCs w:val="22"/>
                <w:lang w:val="en-US" w:eastAsia="zh-CN"/>
              </w:rPr>
              <w:t>-81</w:t>
            </w:r>
            <w:r>
              <w:rPr>
                <w:rFonts w:hint="eastAsia" w:eastAsia="宋体" w:cs="Times New Roman"/>
                <w:color w:val="000000"/>
                <w:kern w:val="0"/>
                <w:sz w:val="22"/>
                <w:szCs w:val="22"/>
                <w:lang w:val="en-US" w:eastAsia="zh-CN"/>
              </w:rPr>
              <w:t>0-B</w:t>
            </w:r>
          </w:p>
        </w:tc>
        <w:tc>
          <w:tcPr>
            <w:tcW w:w="1620" w:type="dxa"/>
            <w:shd w:val="clear" w:color="auto" w:fill="auto"/>
            <w:vAlign w:val="center"/>
          </w:tcPr>
          <w:p w14:paraId="77795F85">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颅内球囊扩张导管</w:t>
            </w:r>
            <w:r>
              <w:rPr>
                <w:rFonts w:hint="eastAsia" w:asciiTheme="minorHAnsi" w:hAnsiTheme="minorHAnsi" w:cstheme="minorBidi"/>
                <w:color w:val="000000"/>
                <w:kern w:val="2"/>
                <w:sz w:val="22"/>
                <w:szCs w:val="22"/>
                <w:lang w:val="en-US" w:eastAsia="zh-CN" w:bidi="ar-SA"/>
              </w:rPr>
              <w:t>（B包）</w:t>
            </w:r>
          </w:p>
        </w:tc>
        <w:tc>
          <w:tcPr>
            <w:tcW w:w="2688" w:type="dxa"/>
            <w:shd w:val="clear" w:color="auto" w:fill="auto"/>
            <w:vAlign w:val="center"/>
          </w:tcPr>
          <w:p w14:paraId="22E81FE8">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用于对颅内动脉血管狭窄部位进行球囊扩张处理，以便改善颅内供血。</w:t>
            </w:r>
          </w:p>
        </w:tc>
        <w:tc>
          <w:tcPr>
            <w:tcW w:w="1470" w:type="dxa"/>
            <w:shd w:val="clear" w:color="auto" w:fill="auto"/>
            <w:vAlign w:val="center"/>
          </w:tcPr>
          <w:p w14:paraId="38C43082">
            <w:pPr>
              <w:snapToGrid w:val="0"/>
              <w:jc w:val="right"/>
              <w:rPr>
                <w:rFonts w:hint="eastAsia" w:eastAsia="宋体"/>
                <w:lang w:val="en-US" w:eastAsia="zh-CN"/>
              </w:rPr>
            </w:pPr>
            <w:r>
              <w:rPr>
                <w:rFonts w:hint="eastAsia" w:eastAsia="宋体"/>
                <w:lang w:val="en-US" w:eastAsia="zh-CN"/>
              </w:rPr>
              <w:t>9210</w:t>
            </w:r>
            <w:r>
              <w:rPr>
                <w:rFonts w:hint="eastAsia" w:eastAsia="宋体"/>
                <w:lang w:eastAsia="zh-CN"/>
              </w:rPr>
              <w:t>（</w:t>
            </w:r>
            <w:r>
              <w:rPr>
                <w:rFonts w:hint="eastAsia" w:eastAsia="宋体"/>
                <w:lang w:val="en-US" w:eastAsia="zh-CN"/>
              </w:rPr>
              <w:t>详见原中标目录）</w:t>
            </w:r>
          </w:p>
        </w:tc>
        <w:tc>
          <w:tcPr>
            <w:tcW w:w="807" w:type="dxa"/>
            <w:shd w:val="clear" w:color="auto" w:fill="auto"/>
            <w:vAlign w:val="center"/>
          </w:tcPr>
          <w:p w14:paraId="3C6B0F03">
            <w:pPr>
              <w:snapToGrid w:val="0"/>
              <w:jc w:val="center"/>
              <w:rPr>
                <w:rFonts w:hint="eastAsia" w:eastAsia="宋体" w:hAnsiTheme="minorEastAsia" w:cstheme="minorEastAsia"/>
                <w:szCs w:val="20"/>
              </w:rPr>
            </w:pPr>
            <w:r>
              <w:rPr>
                <w:rFonts w:hint="eastAsia" w:eastAsia="宋体" w:hAnsiTheme="minorEastAsia" w:cstheme="minorEastAsia"/>
                <w:szCs w:val="20"/>
              </w:rPr>
              <w:t>允</w:t>
            </w:r>
            <w:r>
              <w:rPr>
                <w:rFonts w:hint="eastAsia" w:eastAsia="宋体" w:hAnsiTheme="minorEastAsia" w:cstheme="minorEastAsia"/>
                <w:szCs w:val="20"/>
                <w:lang w:val="en-US" w:eastAsia="zh-CN"/>
              </w:rPr>
              <w:t>许进口</w:t>
            </w:r>
          </w:p>
        </w:tc>
        <w:tc>
          <w:tcPr>
            <w:tcW w:w="663" w:type="dxa"/>
            <w:shd w:val="clear" w:color="auto" w:fill="auto"/>
            <w:vAlign w:val="center"/>
          </w:tcPr>
          <w:p w14:paraId="41A3173C">
            <w:pPr>
              <w:rPr>
                <w:rFonts w:hint="eastAsia"/>
                <w:lang w:val="en-US" w:eastAsia="zh-CN"/>
              </w:rPr>
            </w:pPr>
            <w:r>
              <w:rPr>
                <w:rFonts w:hint="eastAsia" w:eastAsia="宋体" w:hAnsiTheme="minorEastAsia" w:cstheme="minorEastAsia"/>
                <w:szCs w:val="20"/>
              </w:rPr>
              <w:t>脑血管病专科</w:t>
            </w:r>
          </w:p>
        </w:tc>
        <w:tc>
          <w:tcPr>
            <w:tcW w:w="1185" w:type="dxa"/>
            <w:shd w:val="clear" w:color="auto" w:fill="auto"/>
            <w:vAlign w:val="center"/>
          </w:tcPr>
          <w:p w14:paraId="07F1FECE">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43D2F82A">
            <w:pPr>
              <w:widowControl/>
              <w:snapToGrid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eastAsia="宋体"/>
                <w:color w:val="000000"/>
              </w:rPr>
              <w:t>是</w:t>
            </w:r>
          </w:p>
        </w:tc>
      </w:tr>
    </w:tbl>
    <w:p w14:paraId="654F707F">
      <w:pPr>
        <w:pStyle w:val="43"/>
        <w:widowControl/>
        <w:adjustRightInd w:val="0"/>
        <w:snapToGrid w:val="0"/>
        <w:spacing w:line="360" w:lineRule="auto"/>
        <w:ind w:firstLine="241" w:firstLineChars="100"/>
        <w:rPr>
          <w:rFonts w:hint="eastAsia" w:ascii="宋体" w:hAnsi="宋体" w:eastAsia="宋体" w:cs="宋体"/>
          <w:b/>
          <w:sz w:val="24"/>
          <w:szCs w:val="24"/>
        </w:rPr>
      </w:pPr>
    </w:p>
    <w:p w14:paraId="1A8DAAA0">
      <w:pPr>
        <w:pStyle w:val="43"/>
        <w:widowControl/>
        <w:adjustRightInd w:val="0"/>
        <w:snapToGrid w:val="0"/>
        <w:spacing w:line="360" w:lineRule="auto"/>
        <w:ind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0911A43F">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1248472B">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33DA715">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23F0E7F">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4E77CF9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33B56660">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0C0D3FA8">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29F0A59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A3DEEB5">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2D4AB12C">
      <w:pPr>
        <w:pStyle w:val="43"/>
        <w:widowControl/>
        <w:adjustRightInd w:val="0"/>
        <w:snapToGrid w:val="0"/>
        <w:spacing w:line="360" w:lineRule="auto"/>
        <w:ind w:left="480" w:firstLine="0" w:firstLineChars="0"/>
        <w:rPr>
          <w:rFonts w:ascii="宋体" w:hAnsi="宋体" w:eastAsia="宋体" w:cs="宋体"/>
          <w:color w:val="000000" w:themeColor="text1"/>
          <w:kern w:val="0"/>
          <w:sz w:val="24"/>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3983A12E">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供货期：签订合同之日起24个月。</w:t>
      </w:r>
    </w:p>
    <w:p w14:paraId="28E11E8A">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3ED45726">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645A75A5">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7C4E139D">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rPr>
        <w:t>人不向落标方解释落标原因；不退还投标文件。</w:t>
      </w:r>
    </w:p>
    <w:p w14:paraId="7729BC4F">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p w14:paraId="15C44C5B">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验收方式：由使用单位进行验收，中标供应商提供的医用产品必须符合国家承认的相应标准；</w:t>
      </w:r>
      <w:r>
        <w:rPr>
          <w:rFonts w:hint="eastAsia" w:ascii="宋体" w:hAnsi="宋体" w:eastAsia="宋体" w:cs="宋体"/>
          <w:b/>
          <w:bCs/>
          <w:color w:val="000000" w:themeColor="text1"/>
          <w:kern w:val="0"/>
          <w:sz w:val="24"/>
        </w:rPr>
        <w:t>产品合格证每批次1份，产品检测报告每批次1份</w:t>
      </w:r>
      <w:r>
        <w:rPr>
          <w:rFonts w:hint="eastAsia" w:ascii="宋体" w:hAnsi="宋体" w:eastAsia="宋体" w:cs="宋体"/>
          <w:color w:val="000000" w:themeColor="text1"/>
          <w:kern w:val="0"/>
          <w:sz w:val="24"/>
        </w:rPr>
        <w:t>。</w:t>
      </w:r>
    </w:p>
    <w:p w14:paraId="7C77A1DF">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rPr>
      </w:pPr>
      <w:r>
        <w:rPr>
          <w:rFonts w:hint="eastAsia" w:ascii="宋体" w:hAnsi="宋体" w:eastAsia="宋体" w:cs="宋体"/>
          <w:b/>
          <w:color w:val="000000" w:themeColor="text1"/>
          <w:kern w:val="0"/>
          <w:sz w:val="24"/>
          <w:szCs w:val="24"/>
        </w:rPr>
        <w:t>所提供产品的有效期不得少于产品整个有效期的三分之二</w:t>
      </w:r>
      <w:r>
        <w:rPr>
          <w:rFonts w:hint="eastAsia" w:ascii="宋体" w:hAnsi="宋体" w:eastAsia="宋体" w:cs="宋体"/>
          <w:b/>
          <w:bCs/>
          <w:color w:val="000000" w:themeColor="text1"/>
          <w:kern w:val="0"/>
          <w:sz w:val="24"/>
        </w:rPr>
        <w:t>。</w:t>
      </w:r>
    </w:p>
    <w:p w14:paraId="2E4B17F8">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rPr>
      </w:pPr>
      <w:r>
        <w:rPr>
          <w:rFonts w:hint="eastAsia" w:ascii="宋体" w:hAnsi="宋体" w:eastAsia="宋体" w:cs="宋体"/>
          <w:b/>
          <w:bCs/>
          <w:color w:val="000000" w:themeColor="text1"/>
          <w:kern w:val="0"/>
          <w:sz w:val="24"/>
        </w:rPr>
        <w:t>售后服务基本要求</w:t>
      </w:r>
    </w:p>
    <w:p w14:paraId="5DAB2CF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rPr>
        <w:t>供应商须承诺无条件破损换和近效期退换服务。</w:t>
      </w:r>
    </w:p>
    <w:p w14:paraId="5433765B">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5CDBBE61">
      <w:pPr>
        <w:adjustRightInd w:val="0"/>
        <w:snapToGrid w:val="0"/>
        <w:spacing w:line="360" w:lineRule="auto"/>
        <w:ind w:left="900" w:leftChars="200" w:hanging="480" w:hangingChars="2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4F003385">
      <w:pPr>
        <w:adjustRightInd w:val="0"/>
        <w:snapToGrid w:val="0"/>
        <w:spacing w:line="360" w:lineRule="auto"/>
        <w:ind w:left="902" w:leftChars="200" w:hanging="482" w:hangingChars="200"/>
        <w:rPr>
          <w:rFonts w:ascii="宋体" w:hAnsi="宋体" w:eastAsia="宋体" w:cs="宋体"/>
          <w:color w:val="000000" w:themeColor="text1"/>
          <w:kern w:val="0"/>
          <w:sz w:val="24"/>
        </w:rPr>
      </w:pPr>
      <w:r>
        <w:rPr>
          <w:rFonts w:hint="eastAsia" w:ascii="宋体" w:hAnsi="宋体" w:eastAsia="宋体" w:cs="宋体"/>
          <w:b/>
          <w:bCs/>
          <w:color w:val="000000" w:themeColor="text1"/>
          <w:kern w:val="0"/>
          <w:sz w:val="24"/>
        </w:rPr>
        <w:t>11.中标产品的采购、配送均须通过采购人</w:t>
      </w:r>
      <w:r>
        <w:rPr>
          <w:rFonts w:ascii="宋体" w:hAnsi="宋体" w:eastAsia="宋体" w:cs="宋体"/>
          <w:b/>
          <w:bCs/>
          <w:color w:val="000000" w:themeColor="text1"/>
          <w:kern w:val="0"/>
          <w:sz w:val="24"/>
        </w:rPr>
        <w:t>SPD</w:t>
      </w:r>
      <w:r>
        <w:rPr>
          <w:rFonts w:hint="eastAsia" w:ascii="宋体" w:hAnsi="宋体" w:eastAsia="宋体" w:cs="宋体"/>
          <w:b/>
          <w:bCs/>
          <w:color w:val="000000" w:themeColor="text1"/>
          <w:kern w:val="0"/>
          <w:sz w:val="24"/>
        </w:rPr>
        <w:t>医用耗材管理系统。</w:t>
      </w:r>
      <w:r>
        <w:rPr>
          <w:rFonts w:hint="eastAsia" w:ascii="宋体" w:hAnsi="宋体" w:eastAsia="宋体" w:cs="宋体"/>
          <w:color w:val="000000" w:themeColor="text1"/>
          <w:kern w:val="0"/>
          <w:sz w:val="24"/>
        </w:rPr>
        <w:t>根据中标结果，中标人必须与采购人</w:t>
      </w:r>
      <w:r>
        <w:rPr>
          <w:rFonts w:ascii="宋体" w:hAnsi="宋体" w:eastAsia="宋体" w:cs="宋体"/>
          <w:color w:val="000000" w:themeColor="text1"/>
          <w:kern w:val="0"/>
          <w:sz w:val="24"/>
        </w:rPr>
        <w:t>SPD</w:t>
      </w:r>
      <w:r>
        <w:rPr>
          <w:rFonts w:hint="eastAsia" w:ascii="宋体" w:hAnsi="宋体" w:eastAsia="宋体" w:cs="宋体"/>
          <w:color w:val="000000" w:themeColor="text1"/>
          <w:kern w:val="0"/>
          <w:sz w:val="24"/>
        </w:rPr>
        <w:t>供应链延伸服务商签订供应链延伸服务协议，并支付交易金额</w:t>
      </w:r>
      <w:r>
        <w:rPr>
          <w:rFonts w:ascii="宋体" w:hAnsi="宋体" w:eastAsia="宋体" w:cs="宋体"/>
          <w:color w:val="000000" w:themeColor="text1"/>
          <w:kern w:val="0"/>
          <w:sz w:val="24"/>
        </w:rPr>
        <w:t>2%</w:t>
      </w:r>
      <w:r>
        <w:rPr>
          <w:rFonts w:hint="eastAsia" w:ascii="宋体" w:hAnsi="宋体" w:eastAsia="宋体" w:cs="宋体"/>
          <w:color w:val="000000" w:themeColor="text1"/>
          <w:kern w:val="0"/>
          <w:sz w:val="24"/>
        </w:rPr>
        <w:t>的服务费用，否则采购人有权单方解除本协议，并重新组织招投标。</w:t>
      </w:r>
    </w:p>
    <w:p w14:paraId="13ECDDC4">
      <w:pPr>
        <w:adjustRightInd w:val="0"/>
        <w:snapToGrid w:val="0"/>
        <w:spacing w:line="360" w:lineRule="auto"/>
        <w:ind w:firstLine="480" w:firstLineChars="2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12.报价要求：</w:t>
      </w:r>
    </w:p>
    <w:p w14:paraId="7F174A1D">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（1）投标人所报价格的产品必须为全新的、经检验合格的并在各医院正常运行的产品。</w:t>
      </w:r>
    </w:p>
    <w:p w14:paraId="5E370B39">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0E00CBA4">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（3）报价币种为人民币</w:t>
      </w:r>
    </w:p>
    <w:p w14:paraId="12352E19">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13.因政府重大事项变革，导致无法继续履约合同的情况，将无条件终止合同。若深圳市启动耗材集采工作，我院将中标供应商作为备选供应商。</w:t>
      </w:r>
    </w:p>
    <w:p w14:paraId="29A16AB9">
      <w:pPr>
        <w:pStyle w:val="43"/>
        <w:adjustRightInd w:val="0"/>
        <w:snapToGrid w:val="0"/>
        <w:spacing w:line="360" w:lineRule="auto"/>
        <w:ind w:firstLine="482"/>
        <w:rPr>
          <w:rFonts w:ascii="宋体" w:hAnsi="宋体" w:eastAsia="宋体" w:cs="宋体"/>
          <w:b/>
          <w:bCs/>
          <w:color w:val="000000" w:themeColor="text1"/>
          <w:kern w:val="0"/>
          <w:sz w:val="24"/>
        </w:rPr>
      </w:pPr>
      <w:r>
        <w:rPr>
          <w:rFonts w:hint="eastAsia" w:ascii="宋体" w:hAnsi="宋体" w:eastAsia="宋体" w:cs="宋体"/>
          <w:b/>
          <w:bCs/>
          <w:color w:val="000000" w:themeColor="text1"/>
          <w:kern w:val="0"/>
          <w:sz w:val="24"/>
        </w:rPr>
        <w:t>上述条款为采购中的实质性条款，任何投标承诺如果对上述条款不满足、不清晰或有所保留，均被视为非实质性响应。</w:t>
      </w:r>
    </w:p>
    <w:p w14:paraId="1693D97A">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3A025566">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7C9C9788">
      <w:pPr>
        <w:keepNext/>
        <w:keepLines/>
        <w:widowControl/>
        <w:numPr>
          <w:ilvl w:val="0"/>
          <w:numId w:val="11"/>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684C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FC9E186">
            <w:pPr>
              <w:spacing w:line="420" w:lineRule="exact"/>
              <w:jc w:val="center"/>
              <w:rPr>
                <w:rFonts w:hint="eastAsia" w:ascii="Tahoma" w:hAnsi="Tahoma" w:cs="宋体"/>
                <w:kern w:val="0"/>
                <w:szCs w:val="21"/>
                <w:lang w:val="en-US" w:eastAsia="zh-CN"/>
              </w:rPr>
            </w:pPr>
            <w:r>
              <w:rPr>
                <w:rFonts w:hint="eastAsia" w:ascii="Tahoma" w:hAnsi="Tahoma" w:cs="宋体"/>
                <w:kern w:val="0"/>
                <w:szCs w:val="21"/>
                <w:lang w:val="en-US" w:eastAsia="zh-CN"/>
              </w:rPr>
              <w:t>1</w:t>
            </w:r>
          </w:p>
        </w:tc>
        <w:tc>
          <w:tcPr>
            <w:tcW w:w="8953" w:type="dxa"/>
            <w:vAlign w:val="center"/>
          </w:tcPr>
          <w:p w14:paraId="696E1AE0">
            <w:pPr>
              <w:spacing w:line="420" w:lineRule="exact"/>
              <w:jc w:val="left"/>
              <w:rPr>
                <w:rFonts w:hint="eastAsia" w:ascii="Tahoma" w:hAnsi="Tahoma" w:cs="宋体"/>
                <w:kern w:val="0"/>
                <w:szCs w:val="21"/>
              </w:rPr>
            </w:pPr>
            <w:r>
              <w:rPr>
                <w:rFonts w:hint="eastAsia" w:ascii="Tahoma" w:hAnsi="Tahoma" w:cs="宋体"/>
                <w:kern w:val="0"/>
                <w:szCs w:val="21"/>
                <w:lang w:val="en-US" w:eastAsia="zh-CN"/>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F613CA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2</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t>
            </w:r>
            <w:r>
              <w:rPr>
                <w:rFonts w:hint="eastAsia"/>
                <w:color w:val="000000"/>
                <w:lang w:eastAsia="zh-CN"/>
              </w:rPr>
              <w:t>：</w:t>
            </w:r>
            <w:r>
              <w:rPr>
                <w:rFonts w:hint="eastAsia"/>
                <w:color w:val="000000"/>
              </w:rPr>
              <w:t>//www.nmpa.gov.cn；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215DFD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3</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532CB064">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4</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AC80315">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5</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t>
            </w:r>
            <w:r>
              <w:rPr>
                <w:rFonts w:hint="eastAsia"/>
                <w:lang w:eastAsia="zh-CN"/>
              </w:rPr>
              <w:t>：</w:t>
            </w:r>
            <w:r>
              <w:rPr>
                <w:rFonts w:hint="eastAsia"/>
              </w:rPr>
              <w:t>//www.ccgp.gov.cn/search/cr/）、深圳市政府采购监管网（http</w:t>
            </w:r>
            <w:r>
              <w:rPr>
                <w:rFonts w:hint="eastAsia"/>
                <w:lang w:eastAsia="zh-CN"/>
              </w:rPr>
              <w:t>：</w:t>
            </w:r>
            <w:r>
              <w:rPr>
                <w:rFonts w:hint="eastAsia"/>
              </w:rPr>
              <w:t>//zfcg.sz.gov.cn/cgjg/cxda/index.html））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FAFA1D9">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6</w:t>
            </w:r>
          </w:p>
        </w:tc>
        <w:tc>
          <w:tcPr>
            <w:tcW w:w="8953" w:type="dxa"/>
            <w:vAlign w:val="center"/>
          </w:tcPr>
          <w:p w14:paraId="1E203C01">
            <w:pPr>
              <w:autoSpaceDE w:val="0"/>
              <w:autoSpaceDN w:val="0"/>
              <w:adjustRightInd w:val="0"/>
              <w:snapToGrid w:val="0"/>
              <w:jc w:val="left"/>
            </w:pPr>
            <w:r>
              <w:rPr>
                <w:rFonts w:hint="eastAsia" w:eastAsia="宋体"/>
                <w:szCs w:val="21"/>
                <w:highlight w:val="yellow"/>
                <w:lang w:val="en-US" w:eastAsia="zh-CN"/>
              </w:rPr>
              <w:t>提供加盖公章的《供应商基本情况表》（格式详见采购文件），并按照表中要求提供法定代表人、主要经营负责人、项目投标授权代表人、项目负责人、主要技术人员、投标文件编制人员最近一个月的社会保险证明材料（社会保险证明材料中须体现社保缴纳单位和缴纳月份）。</w:t>
            </w:r>
          </w:p>
        </w:tc>
      </w:tr>
      <w:tr w14:paraId="686F1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24358DB">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64E6B7B6">
            <w:pPr>
              <w:autoSpaceDE w:val="0"/>
              <w:autoSpaceDN w:val="0"/>
              <w:adjustRightInd w:val="0"/>
              <w:snapToGrid w:val="0"/>
              <w:jc w:val="left"/>
              <w:rPr>
                <w:rFonts w:hint="eastAsia" w:eastAsia="宋体"/>
                <w:szCs w:val="21"/>
                <w:highlight w:val="yellow"/>
                <w:lang w:val="en-US" w:eastAsia="zh-CN"/>
              </w:rPr>
            </w:pPr>
            <w:r>
              <w:rPr>
                <w:rFonts w:hint="eastAsia"/>
                <w:color w:val="000000"/>
                <w:highlight w:val="yellow"/>
                <w:lang w:val="en-US" w:eastAsia="zh-CN"/>
              </w:rPr>
              <w:t>投标人未被列入中大八院失信黑名单供应商</w:t>
            </w:r>
          </w:p>
        </w:tc>
      </w:tr>
      <w:tr w14:paraId="3500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6E4814E">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8</w:t>
            </w:r>
          </w:p>
        </w:tc>
        <w:tc>
          <w:tcPr>
            <w:tcW w:w="8953" w:type="dxa"/>
            <w:vAlign w:val="center"/>
          </w:tcPr>
          <w:p w14:paraId="3D01A0A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5F72050B">
            <w:pPr>
              <w:autoSpaceDE w:val="0"/>
              <w:autoSpaceDN w:val="0"/>
              <w:adjustRightInd w:val="0"/>
              <w:snapToGrid w:val="0"/>
              <w:jc w:val="left"/>
              <w:rPr>
                <w:rFonts w:eastAsia="宋体"/>
                <w:szCs w:val="21"/>
                <w:highlight w:val="yellow"/>
              </w:rPr>
            </w:pPr>
            <w:r>
              <w:rPr>
                <w:rFonts w:hint="eastAsia" w:eastAsia="宋体"/>
                <w:szCs w:val="21"/>
                <w:highlight w:val="yellow"/>
              </w:rPr>
              <w:t>（https</w:t>
            </w:r>
            <w:r>
              <w:rPr>
                <w:rFonts w:hint="eastAsia" w:eastAsia="宋体"/>
                <w:szCs w:val="21"/>
                <w:highlight w:val="yellow"/>
                <w:lang w:eastAsia="zh-CN"/>
              </w:rPr>
              <w:t>：</w:t>
            </w:r>
            <w:r>
              <w:rPr>
                <w:rFonts w:hint="eastAsia" w:eastAsia="宋体"/>
                <w:szCs w:val="21"/>
                <w:highlight w:val="yellow"/>
              </w:rPr>
              <w:t>//www.gsxt.gov.cn/index.html）、全国社会组织信用信息公示平台（https</w:t>
            </w:r>
            <w:r>
              <w:rPr>
                <w:rFonts w:hint="eastAsia" w:eastAsia="宋体"/>
                <w:szCs w:val="21"/>
                <w:highlight w:val="yellow"/>
                <w:lang w:eastAsia="zh-CN"/>
              </w:rPr>
              <w:t>：</w:t>
            </w:r>
            <w:r>
              <w:rPr>
                <w:rFonts w:hint="eastAsia" w:eastAsia="宋体"/>
                <w:szCs w:val="21"/>
                <w:highlight w:val="yellow"/>
              </w:rPr>
              <w:t>//xxgs.chinanpo.mca.gov.cn/gsxt/newList）等网站（投标人出具承诺函）</w:t>
            </w:r>
          </w:p>
          <w:p w14:paraId="6B802A19">
            <w:pPr>
              <w:tabs>
                <w:tab w:val="left" w:pos="612"/>
              </w:tabs>
              <w:rPr>
                <w:rFonts w:hint="eastAsia"/>
                <w:highlight w:val="yellow"/>
              </w:rPr>
            </w:pPr>
            <w:r>
              <w:rPr>
                <w:rFonts w:hint="eastAsia"/>
                <w:highlight w:val="yellow"/>
              </w:rPr>
              <w:t>控股关系包括：出资额占有限责任公司资本总额超过百分之五十或者其持有的股份占股份有限公司股本总额超过百分之五十的股东</w:t>
            </w:r>
            <w:r>
              <w:rPr>
                <w:rFonts w:hint="eastAsia"/>
                <w:highlight w:val="yellow"/>
                <w:lang w:eastAsia="zh-CN"/>
              </w:rPr>
              <w:t>；</w:t>
            </w:r>
            <w:r>
              <w:rPr>
                <w:rFonts w:hint="eastAsia"/>
                <w:highlight w:val="yellow"/>
              </w:rPr>
              <w:t>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4198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D395391">
            <w:pPr>
              <w:tabs>
                <w:tab w:val="left" w:pos="176"/>
                <w:tab w:val="left" w:pos="612"/>
              </w:tabs>
              <w:ind w:firstLine="210" w:firstLineChars="100"/>
              <w:rPr>
                <w:rFonts w:hint="default"/>
                <w:lang w:val="en-US" w:eastAsia="zh-CN"/>
              </w:rPr>
            </w:pPr>
            <w:r>
              <w:rPr>
                <w:rFonts w:hint="eastAsia"/>
                <w:lang w:val="en-US" w:eastAsia="zh-CN"/>
              </w:rPr>
              <w:t>9</w:t>
            </w:r>
          </w:p>
        </w:tc>
        <w:tc>
          <w:tcPr>
            <w:tcW w:w="8953" w:type="dxa"/>
            <w:vAlign w:val="center"/>
          </w:tcPr>
          <w:p w14:paraId="1F1AF27C">
            <w:pPr>
              <w:numPr>
                <w:ilvl w:val="0"/>
                <w:numId w:val="0"/>
              </w:numPr>
              <w:spacing w:line="420" w:lineRule="exact"/>
              <w:jc w:val="left"/>
              <w:rPr>
                <w:rFonts w:hint="eastAsia"/>
                <w:highlight w:val="yellow"/>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6C808A68">
      <w:pPr>
        <w:spacing w:line="400" w:lineRule="exact"/>
        <w:rPr>
          <w:rFonts w:hint="eastAsia" w:ascii="方正小标宋简体" w:hAnsi="方正小标宋简体" w:eastAsia="方正小标宋简体" w:cs="方正小标宋简体"/>
          <w:bCs/>
          <w:szCs w:val="21"/>
        </w:rPr>
      </w:pPr>
    </w:p>
    <w:p w14:paraId="181F1330">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53ACA30">
      <w:pPr>
        <w:spacing w:line="400" w:lineRule="exact"/>
        <w:jc w:val="center"/>
        <w:rPr>
          <w:rFonts w:ascii="Arial Unicode MS" w:hAnsi="Arial Unicode MS" w:eastAsia="Arial Unicode MS" w:cs="Arial Unicode MS"/>
          <w:bCs/>
          <w:sz w:val="32"/>
          <w:szCs w:val="32"/>
        </w:rPr>
      </w:pPr>
    </w:p>
    <w:p w14:paraId="43D7B943">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EBD6783">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rPr>
            </w:pPr>
            <w:r>
              <w:rPr>
                <w:rFonts w:hint="eastAsia"/>
                <w:color w:val="000000" w:themeColor="text1"/>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4A967B4C">
      <w:pPr>
        <w:spacing w:line="400" w:lineRule="exact"/>
        <w:rPr>
          <w:rFonts w:hint="eastAsia" w:ascii="Arial Unicode MS" w:hAnsi="Arial Unicode MS" w:eastAsia="Arial Unicode MS" w:cs="Arial Unicode MS"/>
          <w:bCs/>
          <w:szCs w:val="21"/>
        </w:rPr>
      </w:pPr>
    </w:p>
    <w:p w14:paraId="1D917080">
      <w:pPr>
        <w:spacing w:line="400" w:lineRule="exact"/>
        <w:rPr>
          <w:rFonts w:ascii="Arial Unicode MS" w:hAnsi="Arial Unicode MS" w:eastAsia="Arial Unicode MS" w:cs="Arial Unicode MS"/>
          <w:bCs/>
          <w:szCs w:val="21"/>
        </w:rPr>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400C5DF6">
      <w:pPr>
        <w:pStyle w:val="36"/>
        <w:ind w:firstLine="420"/>
      </w:pPr>
    </w:p>
    <w:p w14:paraId="0FE2A500">
      <w:pPr>
        <w:spacing w:line="400" w:lineRule="exact"/>
        <w:jc w:val="center"/>
        <w:rPr>
          <w:rFonts w:eastAsia="宋体"/>
          <w:b/>
          <w:bCs/>
          <w:color w:val="FF0000"/>
          <w:kern w:val="0"/>
          <w:sz w:val="32"/>
          <w:szCs w:val="32"/>
        </w:rPr>
      </w:pPr>
    </w:p>
    <w:p w14:paraId="4CC66E3F">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03E36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14BC0C90">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1F56E529">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BB12A80">
            <w:pPr>
              <w:spacing w:line="240" w:lineRule="exact"/>
              <w:jc w:val="center"/>
              <w:rPr>
                <w:rFonts w:ascii="黑体" w:hAnsi="黑体" w:eastAsia="黑体"/>
                <w:sz w:val="24"/>
              </w:rPr>
            </w:pPr>
            <w:r>
              <w:rPr>
                <w:rFonts w:hint="eastAsia" w:ascii="黑体" w:hAnsi="黑体" w:eastAsia="黑体"/>
                <w:sz w:val="24"/>
              </w:rPr>
              <w:t>55</w:t>
            </w:r>
          </w:p>
        </w:tc>
      </w:tr>
      <w:tr w14:paraId="53E7A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75246C29">
            <w:pPr>
              <w:spacing w:line="240" w:lineRule="exact"/>
              <w:jc w:val="center"/>
              <w:rPr>
                <w:rFonts w:ascii="宋体"/>
                <w:sz w:val="24"/>
              </w:rPr>
            </w:pPr>
          </w:p>
        </w:tc>
        <w:tc>
          <w:tcPr>
            <w:tcW w:w="784" w:type="dxa"/>
            <w:vAlign w:val="center"/>
          </w:tcPr>
          <w:p w14:paraId="014924CC">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6690434E">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37F28639">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76647786">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6CD54B38">
            <w:pPr>
              <w:spacing w:line="240" w:lineRule="exact"/>
              <w:jc w:val="center"/>
              <w:rPr>
                <w:rFonts w:ascii="黑体" w:hAnsi="黑体" w:eastAsia="黑体"/>
                <w:sz w:val="24"/>
              </w:rPr>
            </w:pPr>
            <w:r>
              <w:rPr>
                <w:rFonts w:hint="eastAsia" w:ascii="黑体" w:hAnsi="黑体" w:eastAsia="黑体"/>
                <w:sz w:val="24"/>
              </w:rPr>
              <w:t>评分准则</w:t>
            </w:r>
          </w:p>
        </w:tc>
      </w:tr>
      <w:tr w14:paraId="251E1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47A1D82E">
            <w:pPr>
              <w:spacing w:line="240" w:lineRule="exact"/>
              <w:jc w:val="center"/>
              <w:rPr>
                <w:rFonts w:ascii="宋体"/>
                <w:sz w:val="24"/>
              </w:rPr>
            </w:pPr>
          </w:p>
        </w:tc>
        <w:tc>
          <w:tcPr>
            <w:tcW w:w="784" w:type="dxa"/>
            <w:vAlign w:val="center"/>
          </w:tcPr>
          <w:p w14:paraId="3433FFFD">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5DEF82DA">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59A1C15">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2F0E33C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0088A385">
            <w:pPr>
              <w:rPr>
                <w:rFonts w:ascii="宋体" w:hAnsi="宋体" w:eastAsia="宋体" w:cs="宋体"/>
                <w:sz w:val="24"/>
              </w:rPr>
            </w:pPr>
          </w:p>
          <w:p w14:paraId="0C880AD6">
            <w:pPr>
              <w:rPr>
                <w:b/>
                <w:bCs/>
              </w:rPr>
            </w:pPr>
            <w:r>
              <w:rPr>
                <w:rFonts w:hint="eastAsia"/>
                <w:b/>
                <w:bCs/>
              </w:rPr>
              <w:t>（一）评分内容:</w:t>
            </w:r>
          </w:p>
          <w:p w14:paraId="76F547F5">
            <w:r>
              <w:rPr>
                <w:rFonts w:hint="eastAsia"/>
              </w:rPr>
              <w:t>评审专家通过对样品、产品系列完整性、产品质量安全性、产品稳定性等方面综合评价:</w:t>
            </w:r>
          </w:p>
          <w:p w14:paraId="3AFC375A">
            <w:r>
              <w:rPr>
                <w:rFonts w:hint="eastAsia"/>
              </w:rPr>
              <w:t>1.产品种类和产品系列完整，产品规格多样;且能满足临床实际需求；</w:t>
            </w:r>
          </w:p>
          <w:p w14:paraId="78BE6C36">
            <w:r>
              <w:rPr>
                <w:rFonts w:hint="eastAsia"/>
              </w:rPr>
              <w:t>2.产品先进，符合临床实际需求；</w:t>
            </w:r>
          </w:p>
          <w:p w14:paraId="415D33C9">
            <w:r>
              <w:rPr>
                <w:rFonts w:hint="eastAsia"/>
              </w:rPr>
              <w:t>3.产品稳定、可靠.；</w:t>
            </w:r>
          </w:p>
          <w:p w14:paraId="28C9DAF3">
            <w:r>
              <w:rPr>
                <w:rFonts w:hint="eastAsia"/>
              </w:rPr>
              <w:t>4、产品的材质或材料生物相容性高；设计合理，符合临床使用需求；</w:t>
            </w:r>
          </w:p>
          <w:p w14:paraId="728417A7">
            <w:r>
              <w:rPr>
                <w:rFonts w:hint="eastAsia"/>
              </w:rPr>
              <w:t>5、产品的包装安全、便捷。</w:t>
            </w:r>
          </w:p>
          <w:p w14:paraId="1FA6C491">
            <w:r>
              <w:rPr>
                <w:rFonts w:hint="eastAsia"/>
              </w:rPr>
              <w:t>6.评标专家根据现场提供样品符合采购文件技术要求，并与所投规格相符；（未按要求提供样品此项则判定为不满足）</w:t>
            </w:r>
          </w:p>
          <w:p w14:paraId="3C6C46A4">
            <w:pPr>
              <w:rPr>
                <w:b/>
                <w:bCs/>
              </w:rPr>
            </w:pPr>
            <w:r>
              <w:rPr>
                <w:rFonts w:hint="eastAsia"/>
                <w:b/>
                <w:bCs/>
              </w:rPr>
              <w:t>(二) 评分依据:</w:t>
            </w:r>
          </w:p>
          <w:p w14:paraId="68B9236E">
            <w:r>
              <w:rPr>
                <w:rFonts w:hint="eastAsia"/>
              </w:rPr>
              <w:t>1.满足以上6项，且专家评审为优得 55 分;</w:t>
            </w:r>
          </w:p>
          <w:p w14:paraId="34AB7DB6">
            <w:r>
              <w:rPr>
                <w:rFonts w:hint="eastAsia"/>
              </w:rPr>
              <w:t>2.满足以上5项，且专家评审为良得 45分;</w:t>
            </w:r>
          </w:p>
          <w:p w14:paraId="10DD5885">
            <w:r>
              <w:rPr>
                <w:rFonts w:hint="eastAsia"/>
              </w:rPr>
              <w:t>3.满足以上4项，且专家评审为中得 35分;</w:t>
            </w:r>
          </w:p>
          <w:p w14:paraId="35DBCD3C">
            <w:pPr>
              <w:spacing w:line="280" w:lineRule="exact"/>
              <w:jc w:val="left"/>
            </w:pPr>
            <w:r>
              <w:rPr>
                <w:rFonts w:hint="eastAsia"/>
              </w:rPr>
              <w:t>4.满足以上3项，且专家评审为一般得15分</w:t>
            </w:r>
            <w:r>
              <w:t>;</w:t>
            </w:r>
          </w:p>
          <w:p w14:paraId="177C9A9C">
            <w:pPr>
              <w:spacing w:line="280" w:lineRule="exact"/>
              <w:jc w:val="left"/>
            </w:pPr>
            <w:r>
              <w:rPr>
                <w:rFonts w:hint="eastAsia"/>
              </w:rPr>
              <w:t>5.满足以上2 项，且专家评审为差得5分</w:t>
            </w:r>
            <w:r>
              <w:t>;</w:t>
            </w:r>
          </w:p>
          <w:p w14:paraId="6C5146E0">
            <w:pPr>
              <w:pStyle w:val="28"/>
              <w:spacing w:line="280" w:lineRule="exact"/>
              <w:ind w:left="0" w:firstLine="0" w:firstLineChars="0"/>
              <w:jc w:val="left"/>
            </w:pPr>
            <w:r>
              <w:rPr>
                <w:rFonts w:hint="eastAsia"/>
              </w:rPr>
              <w:t>其他情况不得分。</w:t>
            </w:r>
          </w:p>
          <w:p w14:paraId="6A8C79A3">
            <w:pPr>
              <w:spacing w:line="280" w:lineRule="exact"/>
              <w:jc w:val="left"/>
              <w:rPr>
                <w:rFonts w:eastAsia="宋体"/>
              </w:rPr>
            </w:pPr>
          </w:p>
        </w:tc>
      </w:tr>
      <w:tr w14:paraId="4C454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6E1D0FA2">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45601928">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6F03ADEF">
            <w:pPr>
              <w:spacing w:line="240" w:lineRule="exact"/>
              <w:jc w:val="center"/>
              <w:rPr>
                <w:rFonts w:ascii="宋体" w:hAnsi="宋体" w:eastAsia="宋体" w:cs="宋体"/>
                <w:b/>
                <w:sz w:val="24"/>
              </w:rPr>
            </w:pPr>
            <w:r>
              <w:rPr>
                <w:rFonts w:hint="eastAsia" w:ascii="宋体" w:hAnsi="宋体" w:eastAsia="宋体" w:cs="宋体"/>
                <w:b/>
                <w:sz w:val="24"/>
              </w:rPr>
              <w:t>10</w:t>
            </w:r>
          </w:p>
        </w:tc>
      </w:tr>
      <w:tr w14:paraId="619A2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16573318">
            <w:pPr>
              <w:spacing w:line="240" w:lineRule="exact"/>
              <w:jc w:val="center"/>
              <w:rPr>
                <w:rFonts w:ascii="宋体"/>
                <w:sz w:val="24"/>
              </w:rPr>
            </w:pPr>
          </w:p>
        </w:tc>
        <w:tc>
          <w:tcPr>
            <w:tcW w:w="2900" w:type="dxa"/>
            <w:gridSpan w:val="2"/>
            <w:vAlign w:val="center"/>
          </w:tcPr>
          <w:p w14:paraId="230E32CD">
            <w:pPr>
              <w:spacing w:line="240" w:lineRule="exact"/>
              <w:jc w:val="center"/>
              <w:rPr>
                <w:rFonts w:ascii="宋体" w:hAnsi="宋体" w:eastAsia="宋体" w:cs="宋体"/>
                <w:b/>
                <w:bCs/>
                <w:sz w:val="24"/>
              </w:rPr>
            </w:pPr>
          </w:p>
          <w:p w14:paraId="303472CC">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17D4BB00">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1472E58C">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5DB40304">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67924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51288F0C">
            <w:pPr>
              <w:spacing w:line="240" w:lineRule="exact"/>
              <w:jc w:val="center"/>
              <w:rPr>
                <w:rFonts w:ascii="宋体"/>
                <w:sz w:val="24"/>
              </w:rPr>
            </w:pPr>
          </w:p>
        </w:tc>
        <w:tc>
          <w:tcPr>
            <w:tcW w:w="2900" w:type="dxa"/>
            <w:gridSpan w:val="2"/>
            <w:vAlign w:val="center"/>
          </w:tcPr>
          <w:p w14:paraId="3B920A8F">
            <w:pPr>
              <w:spacing w:line="240" w:lineRule="exact"/>
              <w:jc w:val="left"/>
              <w:rPr>
                <w:rFonts w:ascii="宋体" w:hAnsi="宋体" w:eastAsia="宋体" w:cs="宋体"/>
                <w:sz w:val="24"/>
              </w:rPr>
            </w:pPr>
          </w:p>
          <w:p w14:paraId="5FE3076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09220B68">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7D8CB6E2">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30A6A7B6">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eastAsia" w:ascii="宋体" w:hAnsi="宋体" w:eastAsia="宋体" w:cs="宋体"/>
                <w:sz w:val="24"/>
                <w:lang w:val="en-US" w:eastAsia="zh-CN"/>
              </w:rPr>
              <w:t>10</w:t>
            </w:r>
            <w:r>
              <w:rPr>
                <w:rFonts w:hint="eastAsia" w:ascii="宋体" w:hAnsi="宋体" w:eastAsia="宋体" w:cs="宋体"/>
                <w:sz w:val="24"/>
              </w:rPr>
              <w:t>月至今）在医疗机构的业绩证明进行评价。每提供1个项目得2分,最高得10分。</w:t>
            </w:r>
          </w:p>
          <w:p w14:paraId="68DDFCEC">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246D246A">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6A1A4AE3">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8E72F35">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6F6C5">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50CD58BB">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15CC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4A7F0511">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6FF42E96">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2A341F0B">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57D3B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D670500">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699FFC44">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14844E02">
            <w:pPr>
              <w:pStyle w:val="36"/>
              <w:ind w:firstLine="480"/>
              <w:rPr>
                <w:color w:val="000000" w:themeColor="text1"/>
              </w:rPr>
            </w:pPr>
            <w:r>
              <w:rPr>
                <w:rFonts w:hint="eastAsia" w:ascii="宋体" w:hAnsi="宋体" w:eastAsia="宋体" w:cs="宋体"/>
                <w:color w:val="000000" w:themeColor="text1"/>
                <w:kern w:val="2"/>
                <w:sz w:val="24"/>
                <w:szCs w:val="24"/>
              </w:rPr>
              <w:t xml:space="preserve"> 当</w:t>
            </w:r>
            <w:r>
              <w:rPr>
                <w:rFonts w:hint="eastAsia" w:ascii="宋体" w:hAnsi="宋体" w:eastAsia="宋体" w:cs="宋体"/>
                <w:color w:val="000000" w:themeColor="text1"/>
                <w:kern w:val="2"/>
                <w:sz w:val="24"/>
                <w:szCs w:val="24"/>
                <w:highlight w:val="yellow"/>
                <w:lang w:val="en-US" w:eastAsia="zh-CN"/>
              </w:rPr>
              <w:t>评审现场</w:t>
            </w:r>
            <w:r>
              <w:rPr>
                <w:rFonts w:hint="eastAsia" w:ascii="宋体" w:hAnsi="宋体" w:eastAsia="宋体" w:cs="宋体"/>
                <w:color w:val="000000" w:themeColor="text1"/>
                <w:kern w:val="2"/>
                <w:sz w:val="24"/>
                <w:szCs w:val="24"/>
              </w:rPr>
              <w:t>只有一家供应商通过资格性和符合性审查时，其价格得分为35分</w:t>
            </w:r>
          </w:p>
        </w:tc>
      </w:tr>
    </w:tbl>
    <w:p w14:paraId="39839521">
      <w:pPr>
        <w:pStyle w:val="28"/>
        <w:ind w:left="0" w:firstLine="0" w:firstLineChars="0"/>
      </w:pPr>
    </w:p>
    <w:p w14:paraId="5BC47370"/>
    <w:p w14:paraId="07B4949D">
      <w:pPr>
        <w:spacing w:line="400" w:lineRule="exact"/>
        <w:jc w:val="center"/>
        <w:rPr>
          <w:rFonts w:eastAsia="宋体"/>
          <w:b/>
          <w:bCs/>
          <w:kern w:val="0"/>
          <w:sz w:val="32"/>
          <w:szCs w:val="32"/>
        </w:rPr>
      </w:pPr>
    </w:p>
    <w:p w14:paraId="62BBDC1F">
      <w:pPr>
        <w:spacing w:line="400" w:lineRule="exact"/>
        <w:rPr>
          <w:rFonts w:eastAsia="宋体"/>
          <w:b/>
          <w:bCs/>
          <w:color w:val="FF0000"/>
          <w:kern w:val="0"/>
          <w:sz w:val="32"/>
          <w:szCs w:val="32"/>
        </w:rPr>
      </w:pPr>
    </w:p>
    <w:p w14:paraId="60984394">
      <w:pPr>
        <w:spacing w:line="400" w:lineRule="exact"/>
        <w:jc w:val="center"/>
        <w:rPr>
          <w:rFonts w:eastAsia="宋体"/>
          <w:b/>
          <w:bCs/>
          <w:color w:val="000000" w:themeColor="text1"/>
          <w:kern w:val="0"/>
          <w:sz w:val="32"/>
          <w:szCs w:val="32"/>
        </w:rPr>
      </w:pPr>
      <w:r>
        <w:rPr>
          <w:rFonts w:hint="eastAsia" w:eastAsia="宋体"/>
          <w:b/>
          <w:bCs/>
          <w:color w:val="000000" w:themeColor="text1"/>
          <w:kern w:val="0"/>
          <w:sz w:val="32"/>
          <w:szCs w:val="32"/>
        </w:rPr>
        <w:t>（四）</w:t>
      </w:r>
      <w:r>
        <w:rPr>
          <w:rFonts w:hint="eastAsia" w:ascii="Arial Unicode MS" w:hAnsi="Arial Unicode MS" w:eastAsia="Arial Unicode MS" w:cs="Arial Unicode MS"/>
          <w:bCs/>
          <w:color w:val="000000" w:themeColor="text1"/>
          <w:sz w:val="32"/>
          <w:szCs w:val="32"/>
        </w:rPr>
        <w:tab/>
      </w:r>
      <w:r>
        <w:rPr>
          <w:rFonts w:hint="eastAsia" w:eastAsia="宋体"/>
          <w:b/>
          <w:bCs/>
          <w:color w:val="000000" w:themeColor="text1"/>
          <w:kern w:val="0"/>
          <w:sz w:val="32"/>
          <w:szCs w:val="32"/>
        </w:rPr>
        <w:t>评审规则</w:t>
      </w:r>
    </w:p>
    <w:p w14:paraId="279754BD">
      <w:pPr>
        <w:pStyle w:val="43"/>
        <w:widowControl/>
        <w:numPr>
          <w:ilvl w:val="0"/>
          <w:numId w:val="12"/>
        </w:numPr>
        <w:spacing w:line="360" w:lineRule="auto"/>
        <w:ind w:firstLineChars="0"/>
        <w:jc w:val="left"/>
        <w:rPr>
          <w:b/>
          <w:color w:val="000000" w:themeColor="text1"/>
          <w:szCs w:val="21"/>
        </w:rPr>
      </w:pPr>
      <w:r>
        <w:rPr>
          <w:rFonts w:hint="eastAsia"/>
          <w:b/>
          <w:color w:val="000000" w:themeColor="text1"/>
          <w:szCs w:val="21"/>
        </w:rPr>
        <w:t>开标</w:t>
      </w:r>
    </w:p>
    <w:p w14:paraId="21F16B19">
      <w:pPr>
        <w:pStyle w:val="44"/>
        <w:widowControl/>
        <w:numPr>
          <w:ilvl w:val="0"/>
          <w:numId w:val="13"/>
        </w:numPr>
        <w:spacing w:line="360" w:lineRule="auto"/>
        <w:ind w:firstLineChars="0"/>
        <w:jc w:val="left"/>
        <w:rPr>
          <w:color w:val="000000" w:themeColor="text1"/>
        </w:rPr>
      </w:pPr>
      <w:r>
        <w:rPr>
          <w:color w:val="000000" w:themeColor="text1"/>
          <w:szCs w:val="21"/>
        </w:rPr>
        <w:t>我院</w:t>
      </w:r>
      <w:r>
        <w:rPr>
          <w:color w:val="000000" w:themeColor="text1"/>
          <w:szCs w:val="21"/>
          <w:lang w:eastAsia="zh-TW"/>
        </w:rPr>
        <w:t>在</w:t>
      </w:r>
      <w:r>
        <w:rPr>
          <w:rFonts w:hint="eastAsia"/>
          <w:color w:val="000000" w:themeColor="text1"/>
          <w:szCs w:val="21"/>
        </w:rPr>
        <w:t>公告</w:t>
      </w:r>
      <w:r>
        <w:rPr>
          <w:color w:val="000000" w:themeColor="text1"/>
          <w:szCs w:val="21"/>
          <w:lang w:eastAsia="zh-TW"/>
        </w:rPr>
        <w:t>中规定的日期、时</w:t>
      </w:r>
      <w:r>
        <w:rPr>
          <w:color w:val="000000" w:themeColor="text1"/>
          <w:szCs w:val="21"/>
        </w:rPr>
        <w:t>间</w:t>
      </w:r>
      <w:r>
        <w:rPr>
          <w:color w:val="000000" w:themeColor="text1"/>
          <w:szCs w:val="21"/>
          <w:lang w:eastAsia="zh-TW"/>
        </w:rPr>
        <w:t>和地点组织开标。参加开标的代表应签名报到以证明其出席。</w:t>
      </w:r>
    </w:p>
    <w:p w14:paraId="329D29BA">
      <w:pPr>
        <w:pStyle w:val="44"/>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开标时，</w:t>
      </w:r>
      <w:r>
        <w:rPr>
          <w:rFonts w:hint="eastAsia"/>
          <w:color w:val="000000" w:themeColor="text1"/>
          <w:szCs w:val="21"/>
        </w:rPr>
        <w:t>我院将检查投标文件的密封情况，并由供应商确认无误后签字，再拆封。</w:t>
      </w:r>
    </w:p>
    <w:p w14:paraId="2C1FF808">
      <w:pPr>
        <w:pStyle w:val="44"/>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开标过程应当由我院负责记录，由参加开标的各投标人代表和相关工作人员签字确认。</w:t>
      </w:r>
    </w:p>
    <w:p w14:paraId="7DCAAE5D">
      <w:pPr>
        <w:pStyle w:val="44"/>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投标人代表对开标过程和开标记录有疑义，以及认为我院工作人员有需要回避的情形的，应当场提出询问或者回避申请。我院对投标人代表提出的询问或者回避申请应当及时处理。</w:t>
      </w:r>
    </w:p>
    <w:p w14:paraId="61FF75D1">
      <w:pPr>
        <w:pStyle w:val="44"/>
        <w:widowControl/>
        <w:numPr>
          <w:ilvl w:val="0"/>
          <w:numId w:val="12"/>
        </w:numPr>
        <w:spacing w:line="360" w:lineRule="auto"/>
        <w:ind w:firstLineChars="0"/>
        <w:jc w:val="left"/>
        <w:rPr>
          <w:color w:val="000000" w:themeColor="text1"/>
          <w:szCs w:val="21"/>
          <w:lang w:eastAsia="zh-TW"/>
        </w:rPr>
      </w:pPr>
      <w:r>
        <w:rPr>
          <w:rFonts w:hint="eastAsia"/>
          <w:b/>
          <w:color w:val="000000" w:themeColor="text1"/>
          <w:szCs w:val="21"/>
        </w:rPr>
        <w:t>评标委员会的组成。</w:t>
      </w:r>
      <w:r>
        <w:rPr>
          <w:color w:val="000000" w:themeColor="text1"/>
          <w:szCs w:val="21"/>
          <w:lang w:eastAsia="zh-TW"/>
        </w:rPr>
        <w:t>评标委员会依法组建，由5</w:t>
      </w:r>
      <w:r>
        <w:rPr>
          <w:color w:val="000000" w:themeColor="text1"/>
          <w:szCs w:val="21"/>
        </w:rPr>
        <w:t>人</w:t>
      </w:r>
      <w:r>
        <w:rPr>
          <w:color w:val="000000" w:themeColor="text1"/>
          <w:szCs w:val="21"/>
          <w:lang w:eastAsia="zh-TW"/>
        </w:rPr>
        <w:t>单数组成。评标委员会和有关工作人员不得透露对投标文件的评审和比较以及与评标有关的其他情况。</w:t>
      </w:r>
    </w:p>
    <w:p w14:paraId="37BAB3BC">
      <w:pPr>
        <w:pStyle w:val="44"/>
        <w:widowControl/>
        <w:numPr>
          <w:ilvl w:val="0"/>
          <w:numId w:val="12"/>
        </w:numPr>
        <w:spacing w:line="360" w:lineRule="auto"/>
        <w:ind w:firstLineChars="0"/>
        <w:jc w:val="left"/>
        <w:rPr>
          <w:color w:val="000000" w:themeColor="text1"/>
          <w:szCs w:val="21"/>
          <w:highlight w:val="green"/>
          <w:lang w:eastAsia="zh-TW"/>
        </w:rPr>
      </w:pPr>
      <w:r>
        <w:rPr>
          <w:color w:val="000000" w:themeColor="text1"/>
          <w:szCs w:val="21"/>
          <w:highlight w:val="green"/>
          <w:lang w:eastAsia="zh-TW"/>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rPr>
        <w:t>，大写与小写不一致的，以大写为准</w:t>
      </w:r>
      <w:r>
        <w:rPr>
          <w:color w:val="000000" w:themeColor="text1"/>
          <w:szCs w:val="21"/>
          <w:highlight w:val="green"/>
          <w:lang w:eastAsia="zh-TW"/>
        </w:rPr>
        <w:t>。</w:t>
      </w:r>
    </w:p>
    <w:p w14:paraId="2A18E429">
      <w:pPr>
        <w:pStyle w:val="44"/>
        <w:widowControl/>
        <w:numPr>
          <w:ilvl w:val="0"/>
          <w:numId w:val="12"/>
        </w:numPr>
        <w:spacing w:line="360" w:lineRule="auto"/>
        <w:ind w:firstLineChars="0"/>
        <w:jc w:val="left"/>
        <w:rPr>
          <w:b/>
          <w:color w:val="000000" w:themeColor="text1"/>
        </w:rPr>
      </w:pPr>
      <w:r>
        <w:rPr>
          <w:b/>
          <w:color w:val="000000" w:themeColor="text1"/>
        </w:rPr>
        <w:t>评标</w:t>
      </w:r>
      <w:r>
        <w:rPr>
          <w:rFonts w:hint="eastAsia"/>
          <w:b/>
          <w:color w:val="000000" w:themeColor="text1"/>
        </w:rPr>
        <w:t>方法</w:t>
      </w:r>
      <w:r>
        <w:rPr>
          <w:b/>
          <w:color w:val="000000" w:themeColor="text1"/>
        </w:rPr>
        <w:t>（适用综合评分法）：</w:t>
      </w:r>
    </w:p>
    <w:p w14:paraId="1B9BA393">
      <w:pPr>
        <w:pStyle w:val="44"/>
        <w:widowControl/>
        <w:numPr>
          <w:ilvl w:val="0"/>
          <w:numId w:val="14"/>
        </w:numPr>
        <w:spacing w:line="360" w:lineRule="auto"/>
        <w:ind w:firstLineChars="0"/>
        <w:jc w:val="left"/>
        <w:rPr>
          <w:b/>
          <w:bCs/>
          <w:color w:val="000000" w:themeColor="text1"/>
          <w:szCs w:val="21"/>
        </w:rPr>
      </w:pPr>
      <w:r>
        <w:rPr>
          <w:color w:val="000000" w:themeColor="text1"/>
        </w:rPr>
        <w:t>综合评分法</w:t>
      </w:r>
      <w:r>
        <w:rPr>
          <w:rFonts w:hint="eastAsia"/>
          <w:color w:val="000000" w:themeColor="text1"/>
          <w:lang w:eastAsia="zh-CN"/>
        </w:rPr>
        <w:t>：</w:t>
      </w:r>
      <w:r>
        <w:rPr>
          <w:color w:val="000000" w:themeColor="text1"/>
        </w:rPr>
        <w:t>是指投标文件满足</w:t>
      </w:r>
      <w:r>
        <w:rPr>
          <w:rFonts w:hint="eastAsia"/>
          <w:color w:val="000000" w:themeColor="text1"/>
        </w:rPr>
        <w:t>采购</w:t>
      </w:r>
      <w:r>
        <w:rPr>
          <w:color w:val="000000" w:themeColor="text1"/>
        </w:rPr>
        <w:t>文件全部实质性要求，且按照评审因素的量化指标评审得分最高的投标人为中标候选人的评标方法。</w:t>
      </w:r>
    </w:p>
    <w:p w14:paraId="76AD394A">
      <w:pPr>
        <w:pStyle w:val="44"/>
        <w:widowControl/>
        <w:numPr>
          <w:ilvl w:val="-1"/>
          <w:numId w:val="0"/>
        </w:numPr>
        <w:spacing w:line="360" w:lineRule="auto"/>
        <w:ind w:firstLine="422" w:firstLineChars="200"/>
        <w:jc w:val="left"/>
        <w:rPr>
          <w:b/>
          <w:color w:val="000000" w:themeColor="text1"/>
          <w:szCs w:val="21"/>
          <w:highlight w:val="yellow"/>
        </w:rPr>
      </w:pPr>
      <w:r>
        <w:rPr>
          <w:rFonts w:hint="eastAsia"/>
          <w:b/>
          <w:color w:val="000000" w:themeColor="text1"/>
          <w:szCs w:val="21"/>
          <w:highlight w:val="yellow"/>
          <w:lang w:val="en-US" w:eastAsia="zh-CN"/>
        </w:rPr>
        <w:t>择优评审法：</w:t>
      </w:r>
      <w:r>
        <w:rPr>
          <w:rFonts w:hint="eastAsia"/>
          <w:b/>
          <w:color w:val="000000" w:themeColor="text1"/>
          <w:szCs w:val="21"/>
          <w:highlight w:val="yellow"/>
        </w:rPr>
        <w:t>经</w:t>
      </w:r>
      <w:r>
        <w:rPr>
          <w:rFonts w:hint="eastAsia"/>
          <w:b/>
          <w:color w:val="000000" w:themeColor="text1"/>
          <w:szCs w:val="21"/>
          <w:highlight w:val="yellow"/>
          <w:lang w:val="en-US" w:eastAsia="zh-CN"/>
        </w:rPr>
        <w:t>延期后</w:t>
      </w:r>
      <w:r>
        <w:rPr>
          <w:rFonts w:hint="eastAsia"/>
          <w:b/>
          <w:color w:val="000000" w:themeColor="text1"/>
          <w:szCs w:val="21"/>
          <w:highlight w:val="yellow"/>
        </w:rPr>
        <w:t>不足3家有效投标供应商报名的，我院有权</w:t>
      </w:r>
      <w:r>
        <w:rPr>
          <w:rFonts w:hint="eastAsia"/>
          <w:b/>
          <w:color w:val="000000" w:themeColor="text1"/>
          <w:szCs w:val="21"/>
          <w:highlight w:val="yellow"/>
          <w:lang w:val="en-US" w:eastAsia="zh-CN"/>
        </w:rPr>
        <w:t>按照择优评审的方式与报名供应商进行议价谈判。</w:t>
      </w:r>
      <w:r>
        <w:rPr>
          <w:rFonts w:hint="eastAsia"/>
          <w:b/>
          <w:color w:val="000000" w:themeColor="text1"/>
          <w:szCs w:val="21"/>
          <w:highlight w:val="yellow"/>
        </w:rPr>
        <w:t>坚持质量优先、价格合理的原则，综合考虑价格、商务、技术要求、服务、业绩以及经营信誉等因素，避免纯技术或纯经济的倾向。最低报价不作为中标的唯一条件。</w:t>
      </w:r>
    </w:p>
    <w:p w14:paraId="1EDA1A65">
      <w:pPr>
        <w:pStyle w:val="44"/>
        <w:widowControl/>
        <w:numPr>
          <w:ilvl w:val="0"/>
          <w:numId w:val="14"/>
        </w:numPr>
        <w:spacing w:line="360" w:lineRule="auto"/>
        <w:ind w:firstLineChars="0"/>
        <w:jc w:val="left"/>
        <w:rPr>
          <w:bCs/>
          <w:color w:val="000000" w:themeColor="text1"/>
          <w:szCs w:val="21"/>
        </w:rPr>
      </w:pPr>
      <w:r>
        <w:rPr>
          <w:bCs/>
          <w:color w:val="000000" w:themeColor="text1"/>
          <w:szCs w:val="21"/>
        </w:rPr>
        <w:t>评标步骤：</w:t>
      </w:r>
    </w:p>
    <w:p w14:paraId="4F6510FD">
      <w:pPr>
        <w:pStyle w:val="44"/>
        <w:widowControl/>
        <w:numPr>
          <w:ilvl w:val="0"/>
          <w:numId w:val="15"/>
        </w:numPr>
        <w:spacing w:line="360" w:lineRule="auto"/>
        <w:ind w:firstLineChars="0"/>
        <w:jc w:val="left"/>
        <w:rPr>
          <w:color w:val="000000" w:themeColor="text1"/>
          <w:szCs w:val="21"/>
        </w:rPr>
      </w:pPr>
      <w:r>
        <w:rPr>
          <w:bCs/>
          <w:color w:val="000000" w:themeColor="text1"/>
          <w:szCs w:val="21"/>
        </w:rPr>
        <w:t>资格性审查：</w:t>
      </w:r>
      <w:r>
        <w:rPr>
          <w:color w:val="000000" w:themeColor="text1"/>
          <w:szCs w:val="21"/>
        </w:rPr>
        <w:t>我院应当依法对投标人的资格进行审查，详见《资格性审查表》。对初步被认定为资格性审查不合格的，</w:t>
      </w:r>
      <w:r>
        <w:rPr>
          <w:rFonts w:hint="eastAsia"/>
          <w:color w:val="000000" w:themeColor="text1"/>
          <w:szCs w:val="21"/>
        </w:rPr>
        <w:t>及时</w:t>
      </w:r>
      <w:r>
        <w:rPr>
          <w:color w:val="000000" w:themeColor="text1"/>
          <w:szCs w:val="21"/>
        </w:rPr>
        <w:t>告知投标当事人，以让其核证、澄清事实。未通过资格性审查的投标人，不进入符合性审查。</w:t>
      </w:r>
    </w:p>
    <w:p w14:paraId="5981BFDA">
      <w:pPr>
        <w:pStyle w:val="44"/>
        <w:widowControl/>
        <w:numPr>
          <w:ilvl w:val="0"/>
          <w:numId w:val="15"/>
        </w:numPr>
        <w:spacing w:line="360" w:lineRule="auto"/>
        <w:ind w:firstLineChars="0"/>
        <w:jc w:val="left"/>
        <w:rPr>
          <w:color w:val="000000" w:themeColor="text1"/>
          <w:szCs w:val="21"/>
        </w:rPr>
      </w:pPr>
      <w:r>
        <w:rPr>
          <w:color w:val="000000" w:themeColor="text1"/>
          <w:szCs w:val="21"/>
        </w:rPr>
        <w:t>符合性审查：评标委员会应当对符合资格的投标人的投标文件进行符合性审查，详见《符合性审查表》，以确定其是否满足</w:t>
      </w:r>
      <w:r>
        <w:rPr>
          <w:rFonts w:hint="eastAsia"/>
          <w:color w:val="000000" w:themeColor="text1"/>
          <w:szCs w:val="21"/>
        </w:rPr>
        <w:t>采购</w:t>
      </w:r>
      <w:r>
        <w:rPr>
          <w:color w:val="000000" w:themeColor="text1"/>
          <w:szCs w:val="21"/>
        </w:rPr>
        <w:t>文件的实质性要求。</w:t>
      </w:r>
      <w:r>
        <w:rPr>
          <w:color w:val="000000" w:themeColor="text1"/>
          <w:szCs w:val="21"/>
          <w:lang w:eastAsia="zh-TW"/>
        </w:rPr>
        <w:t>评标委员会对初步被认定为符合性审查不合格或无效投标者</w:t>
      </w:r>
      <w:r>
        <w:rPr>
          <w:color w:val="000000" w:themeColor="text1"/>
          <w:szCs w:val="21"/>
        </w:rPr>
        <w:t>可</w:t>
      </w:r>
      <w:r>
        <w:rPr>
          <w:color w:val="000000" w:themeColor="text1"/>
          <w:szCs w:val="21"/>
          <w:lang w:eastAsia="zh-TW"/>
        </w:rPr>
        <w:t>实行告知</w:t>
      </w:r>
      <w:r>
        <w:rPr>
          <w:color w:val="000000" w:themeColor="text1"/>
          <w:szCs w:val="21"/>
        </w:rPr>
        <w:t>投标当事人，</w:t>
      </w:r>
      <w:r>
        <w:rPr>
          <w:color w:val="000000" w:themeColor="text1"/>
          <w:szCs w:val="21"/>
          <w:lang w:eastAsia="zh-TW"/>
        </w:rPr>
        <w:t>由评标委员会主任或我院代表将集体意见现场及时告知投标当事人，以让其核证、澄清事实。</w:t>
      </w:r>
      <w:r>
        <w:rPr>
          <w:color w:val="000000" w:themeColor="text1"/>
          <w:szCs w:val="21"/>
        </w:rPr>
        <w:t>未通过符合性审查的投标人，不进入技术、商务和价格评审。</w:t>
      </w:r>
    </w:p>
    <w:p w14:paraId="49670793">
      <w:pPr>
        <w:pStyle w:val="44"/>
        <w:widowControl/>
        <w:numPr>
          <w:ilvl w:val="0"/>
          <w:numId w:val="15"/>
        </w:numPr>
        <w:spacing w:line="360" w:lineRule="auto"/>
        <w:ind w:firstLineChars="0"/>
        <w:rPr>
          <w:color w:val="000000" w:themeColor="text1"/>
          <w:szCs w:val="21"/>
        </w:rPr>
      </w:pPr>
      <w:r>
        <w:rPr>
          <w:rFonts w:hint="eastAsia"/>
          <w:color w:val="000000" w:themeColor="text1"/>
          <w:szCs w:val="21"/>
        </w:rPr>
        <w:t>评审现场通过资格性、符合性审查不足三家的可直接按公开遴选采购文件规定的评审标准进行评审。</w:t>
      </w:r>
    </w:p>
    <w:p w14:paraId="041A865B">
      <w:pPr>
        <w:pStyle w:val="44"/>
        <w:widowControl/>
        <w:numPr>
          <w:ilvl w:val="0"/>
          <w:numId w:val="15"/>
        </w:numPr>
        <w:spacing w:line="360" w:lineRule="auto"/>
        <w:ind w:firstLineChars="0"/>
        <w:rPr>
          <w:color w:val="000000" w:themeColor="text1"/>
          <w:szCs w:val="21"/>
        </w:rPr>
      </w:pPr>
      <w:r>
        <w:rPr>
          <w:color w:val="000000" w:themeColor="text1"/>
          <w:szCs w:val="21"/>
        </w:rPr>
        <w:t>详细评审及推荐中标候选人：采用综合评分法的，评标结果按评审后得分由高到低顺序排列。得分相同的，按投标报价由低到高顺序排列</w:t>
      </w:r>
      <w:r>
        <w:rPr>
          <w:rFonts w:hint="eastAsia"/>
          <w:color w:val="000000" w:themeColor="text1"/>
          <w:szCs w:val="21"/>
        </w:rPr>
        <w:t>，</w:t>
      </w:r>
      <w:r>
        <w:rPr>
          <w:color w:val="000000" w:themeColor="text1"/>
          <w:szCs w:val="21"/>
        </w:rPr>
        <w:t>得分且投标报价相同的并列。投标文件满足</w:t>
      </w:r>
      <w:r>
        <w:rPr>
          <w:rFonts w:hint="eastAsia"/>
          <w:color w:val="000000" w:themeColor="text1"/>
          <w:szCs w:val="21"/>
        </w:rPr>
        <w:t>采购</w:t>
      </w:r>
      <w:r>
        <w:rPr>
          <w:color w:val="000000" w:themeColor="text1"/>
          <w:szCs w:val="21"/>
        </w:rPr>
        <w:t>文件全部实质性要求，且按照评审因素的量化指标评审得分最高的投标人为排名第一的中标候选人</w:t>
      </w:r>
      <w:r>
        <w:rPr>
          <w:rFonts w:hint="eastAsia"/>
          <w:color w:val="000000" w:themeColor="text1"/>
          <w:szCs w:val="21"/>
        </w:rPr>
        <w:t xml:space="preserve">。原则上第一预中标人即为中标人，第二、第三预中标人（若有）则作为备选供应商。 </w:t>
      </w:r>
      <w:r>
        <w:rPr>
          <w:color w:val="000000" w:themeColor="text1"/>
          <w:szCs w:val="21"/>
        </w:rPr>
        <w:t>第一中标候选人并列的，由我院采取随机抽取的方式确定中标人。</w:t>
      </w:r>
    </w:p>
    <w:p w14:paraId="4823BBF2">
      <w:pPr>
        <w:pStyle w:val="43"/>
        <w:widowControl/>
        <w:numPr>
          <w:ilvl w:val="0"/>
          <w:numId w:val="12"/>
        </w:numPr>
        <w:spacing w:line="360" w:lineRule="auto"/>
        <w:ind w:firstLineChars="0"/>
        <w:rPr>
          <w:b/>
          <w:color w:val="000000" w:themeColor="text1"/>
          <w:szCs w:val="21"/>
        </w:rPr>
      </w:pPr>
      <w:r>
        <w:rPr>
          <w:rFonts w:hint="eastAsia"/>
          <w:b/>
          <w:color w:val="000000" w:themeColor="text1"/>
          <w:szCs w:val="21"/>
          <w:highlight w:val="yellow"/>
          <w:lang w:val="en-US" w:eastAsia="zh-CN"/>
        </w:rPr>
        <w:t>会签评审报告</w:t>
      </w:r>
    </w:p>
    <w:p w14:paraId="6DB8CBEF">
      <w:pPr>
        <w:pStyle w:val="43"/>
        <w:spacing w:line="360" w:lineRule="auto"/>
        <w:ind w:left="425" w:firstLine="0" w:firstLineChars="0"/>
        <w:rPr>
          <w:color w:val="000000" w:themeColor="text1"/>
          <w:szCs w:val="21"/>
        </w:rPr>
      </w:pPr>
      <w:r>
        <w:rPr>
          <w:rFonts w:hint="eastAsia"/>
          <w:color w:val="000000" w:themeColor="text1"/>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2"/>
        </w:numPr>
        <w:spacing w:line="360" w:lineRule="auto"/>
        <w:ind w:firstLineChars="0"/>
        <w:rPr>
          <w:color w:val="000000" w:themeColor="text1"/>
          <w:szCs w:val="21"/>
        </w:rPr>
      </w:pPr>
      <w:r>
        <w:rPr>
          <w:rFonts w:hint="eastAsia"/>
          <w:b/>
          <w:color w:val="000000" w:themeColor="text1"/>
          <w:szCs w:val="21"/>
        </w:rPr>
        <w:t>中标公示</w:t>
      </w:r>
    </w:p>
    <w:p w14:paraId="559A194B">
      <w:pPr>
        <w:pStyle w:val="43"/>
        <w:widowControl/>
        <w:numPr>
          <w:ilvl w:val="0"/>
          <w:numId w:val="12"/>
        </w:numPr>
        <w:spacing w:line="360" w:lineRule="auto"/>
        <w:ind w:firstLineChars="0"/>
        <w:rPr>
          <w:color w:val="000000" w:themeColor="text1"/>
          <w:szCs w:val="21"/>
        </w:rPr>
      </w:pPr>
      <w:r>
        <w:rPr>
          <w:rFonts w:hint="eastAsia" w:ascii="宋体" w:hAnsi="宋体"/>
          <w:color w:val="000000" w:themeColor="text1"/>
          <w:szCs w:val="21"/>
        </w:rPr>
        <w:t>为体现“公开、公平、公正”的原则，评审结束后</w:t>
      </w:r>
      <w:r>
        <w:rPr>
          <w:rFonts w:hint="eastAsia"/>
          <w:color w:val="000000" w:themeColor="text1"/>
          <w:szCs w:val="21"/>
        </w:rPr>
        <w:t>由招采办通过医院网站</w:t>
      </w:r>
      <w:r>
        <w:rPr>
          <w:color w:val="000000" w:themeColor="text1"/>
          <w:szCs w:val="21"/>
        </w:rPr>
        <w:t>发布中标</w:t>
      </w:r>
      <w:r>
        <w:rPr>
          <w:rFonts w:hint="eastAsia"/>
          <w:color w:val="000000" w:themeColor="text1"/>
          <w:szCs w:val="21"/>
        </w:rPr>
        <w:t>公</w:t>
      </w:r>
      <w:r>
        <w:rPr>
          <w:color w:val="000000" w:themeColor="text1"/>
          <w:szCs w:val="21"/>
        </w:rPr>
        <w:t>告</w:t>
      </w:r>
      <w:r>
        <w:rPr>
          <w:rFonts w:hint="eastAsia"/>
          <w:color w:val="000000" w:themeColor="text1"/>
          <w:szCs w:val="21"/>
        </w:rPr>
        <w:t>，公示期内，接受各方监督。质疑、投诉供应商应保证质疑、投诉内容的真实性和可靠性，并承担相应的法律责任。</w:t>
      </w:r>
    </w:p>
    <w:p w14:paraId="00D05CBB">
      <w:pPr>
        <w:pStyle w:val="43"/>
        <w:widowControl/>
        <w:numPr>
          <w:ilvl w:val="0"/>
          <w:numId w:val="12"/>
        </w:numPr>
        <w:spacing w:line="360" w:lineRule="auto"/>
        <w:ind w:firstLineChars="0"/>
        <w:rPr>
          <w:b/>
          <w:color w:val="000000" w:themeColor="text1"/>
          <w:szCs w:val="21"/>
        </w:rPr>
      </w:pPr>
      <w:r>
        <w:rPr>
          <w:rFonts w:hint="eastAsia"/>
          <w:b/>
          <w:color w:val="000000" w:themeColor="text1"/>
          <w:szCs w:val="21"/>
        </w:rPr>
        <w:t>中标通知书</w:t>
      </w:r>
    </w:p>
    <w:p w14:paraId="2F38E20C">
      <w:pPr>
        <w:pStyle w:val="43"/>
        <w:widowControl/>
        <w:spacing w:line="360" w:lineRule="auto"/>
        <w:ind w:left="425" w:firstLine="0" w:firstLineChars="0"/>
        <w:rPr>
          <w:color w:val="000000" w:themeColor="text1"/>
          <w:szCs w:val="21"/>
        </w:rPr>
      </w:pPr>
      <w:r>
        <w:rPr>
          <w:rFonts w:hint="eastAsia" w:ascii="宋体" w:hAnsi="宋体"/>
          <w:color w:val="000000" w:themeColor="text1"/>
          <w:szCs w:val="21"/>
        </w:rPr>
        <w:t>中标公告公布以后无质疑投诉异情况下</w:t>
      </w:r>
      <w:r>
        <w:rPr>
          <w:rFonts w:hint="eastAsia" w:ascii="宋体" w:hAnsi="宋体"/>
          <w:color w:val="000000" w:themeColor="text1"/>
          <w:szCs w:val="21"/>
          <w:lang w:eastAsia="zh-CN"/>
        </w:rPr>
        <w:t>，</w:t>
      </w:r>
      <w:r>
        <w:rPr>
          <w:rFonts w:hint="eastAsia" w:ascii="宋体" w:hAnsi="宋体"/>
          <w:color w:val="000000" w:themeColor="text1"/>
          <w:szCs w:val="21"/>
        </w:rPr>
        <w:t>发放中标通知书。</w:t>
      </w:r>
    </w:p>
    <w:p w14:paraId="317B16D5">
      <w:pPr>
        <w:pStyle w:val="44"/>
        <w:widowControl/>
        <w:numPr>
          <w:ilvl w:val="0"/>
          <w:numId w:val="12"/>
        </w:numPr>
        <w:spacing w:line="360" w:lineRule="auto"/>
        <w:ind w:firstLineChars="0"/>
        <w:rPr>
          <w:b/>
          <w:color w:val="000000" w:themeColor="text1"/>
          <w:szCs w:val="21"/>
        </w:rPr>
      </w:pPr>
      <w:r>
        <w:rPr>
          <w:rFonts w:hint="eastAsia"/>
          <w:b/>
          <w:color w:val="000000" w:themeColor="text1"/>
          <w:szCs w:val="21"/>
        </w:rPr>
        <w:t>特别说明</w:t>
      </w:r>
    </w:p>
    <w:p w14:paraId="12774B4A">
      <w:pPr>
        <w:pStyle w:val="44"/>
        <w:widowControl/>
        <w:spacing w:line="360" w:lineRule="auto"/>
        <w:jc w:val="left"/>
        <w:rPr>
          <w:color w:val="000000" w:themeColor="text1"/>
          <w:szCs w:val="21"/>
        </w:rPr>
      </w:pPr>
      <w:r>
        <w:rPr>
          <w:rFonts w:hint="eastAsia"/>
          <w:color w:val="000000" w:themeColor="text1"/>
          <w:szCs w:val="21"/>
        </w:rPr>
        <w:t>（</w:t>
      </w:r>
      <w:r>
        <w:rPr>
          <w:color w:val="000000" w:themeColor="text1"/>
          <w:szCs w:val="21"/>
        </w:rPr>
        <w:t>1</w:t>
      </w:r>
      <w:r>
        <w:rPr>
          <w:rFonts w:hint="eastAsia"/>
          <w:color w:val="000000" w:themeColor="text1"/>
          <w:szCs w:val="21"/>
        </w:rPr>
        <w:t>）有下列情形之一的，视为投标人串通投标，其投标无效：</w:t>
      </w:r>
    </w:p>
    <w:p w14:paraId="0B84386B">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不同投标人的投标文件由同一单位或者个人编制；</w:t>
      </w:r>
    </w:p>
    <w:p w14:paraId="2D7D54F4">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不同投标人委托同一单位或者个人办理投标事宜；</w:t>
      </w:r>
    </w:p>
    <w:p w14:paraId="44063968">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不同投标人的投标文件载明的项目管理成员或者联系人员为同一人；</w:t>
      </w:r>
    </w:p>
    <w:p w14:paraId="187D7EDC">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不同投标人的投标文件异常一致或者投标报价呈规律性差异；</w:t>
      </w:r>
    </w:p>
    <w:p w14:paraId="651635F3">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不同投标人的投标文件相互混装；</w:t>
      </w:r>
    </w:p>
    <w:p w14:paraId="73862F8D">
      <w:pPr>
        <w:pStyle w:val="44"/>
        <w:widowControl/>
        <w:spacing w:line="360" w:lineRule="auto"/>
        <w:ind w:left="425" w:firstLine="0" w:firstLineChars="0"/>
        <w:jc w:val="left"/>
        <w:rPr>
          <w:b/>
          <w:bCs/>
          <w:color w:val="000000" w:themeColor="text1"/>
          <w:szCs w:val="21"/>
        </w:rPr>
      </w:pPr>
      <w:r>
        <w:rPr>
          <w:rFonts w:hint="eastAsia"/>
          <w:b/>
          <w:bCs/>
          <w:color w:val="000000" w:themeColor="text1"/>
          <w:szCs w:val="21"/>
        </w:rPr>
        <w:t>（</w:t>
      </w:r>
      <w:r>
        <w:rPr>
          <w:b/>
          <w:bCs/>
          <w:color w:val="000000" w:themeColor="text1"/>
          <w:szCs w:val="21"/>
        </w:rPr>
        <w:t>2</w:t>
      </w:r>
      <w:r>
        <w:rPr>
          <w:rFonts w:hint="eastAsia"/>
          <w:b/>
          <w:bCs/>
          <w:color w:val="000000" w:themeColor="text1"/>
          <w:szCs w:val="21"/>
        </w:rPr>
        <w:t>）标人存在下列情况之一的，投标无效：</w:t>
      </w:r>
    </w:p>
    <w:p w14:paraId="6712D85F">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rPr>
      </w:pPr>
      <w:r>
        <w:rPr>
          <w:color w:val="000000" w:themeColor="text1"/>
          <w:szCs w:val="21"/>
        </w:rPr>
        <w:t>不具备</w:t>
      </w:r>
      <w:r>
        <w:rPr>
          <w:rFonts w:hint="eastAsia"/>
          <w:color w:val="000000" w:themeColor="text1"/>
          <w:szCs w:val="21"/>
        </w:rPr>
        <w:t>采购</w:t>
      </w:r>
      <w:r>
        <w:rPr>
          <w:color w:val="000000" w:themeColor="text1"/>
          <w:szCs w:val="21"/>
        </w:rPr>
        <w:t>文件中规定的资格要求的；</w:t>
      </w:r>
    </w:p>
    <w:p w14:paraId="1B506E0E">
      <w:pPr>
        <w:pStyle w:val="44"/>
        <w:widowControl/>
        <w:numPr>
          <w:ilvl w:val="0"/>
          <w:numId w:val="16"/>
        </w:numPr>
        <w:spacing w:line="360" w:lineRule="auto"/>
        <w:ind w:firstLineChars="0"/>
        <w:jc w:val="left"/>
        <w:rPr>
          <w:color w:val="000000" w:themeColor="text1"/>
          <w:szCs w:val="21"/>
        </w:rPr>
      </w:pPr>
      <w:r>
        <w:rPr>
          <w:color w:val="000000" w:themeColor="text1"/>
          <w:szCs w:val="21"/>
        </w:rPr>
        <w:t>报价超过</w:t>
      </w:r>
      <w:r>
        <w:rPr>
          <w:rFonts w:hint="eastAsia"/>
          <w:color w:val="000000" w:themeColor="text1"/>
          <w:szCs w:val="21"/>
        </w:rPr>
        <w:t>采购</w:t>
      </w:r>
      <w:r>
        <w:rPr>
          <w:color w:val="000000" w:themeColor="text1"/>
          <w:szCs w:val="21"/>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rPr>
      </w:pPr>
      <w:r>
        <w:rPr>
          <w:color w:val="000000" w:themeColor="text1"/>
          <w:szCs w:val="21"/>
        </w:rPr>
        <w:t>投标文件含有我院不能接受的附加条件的</w:t>
      </w:r>
      <w:r>
        <w:rPr>
          <w:rFonts w:hint="eastAsia"/>
          <w:color w:val="000000" w:themeColor="text1"/>
          <w:szCs w:val="21"/>
          <w:lang w:eastAsia="zh-CN"/>
        </w:rPr>
        <w:t>；</w:t>
      </w:r>
    </w:p>
    <w:p w14:paraId="55225854">
      <w:pPr>
        <w:pStyle w:val="44"/>
        <w:widowControl/>
        <w:numPr>
          <w:ilvl w:val="0"/>
          <w:numId w:val="16"/>
        </w:numPr>
        <w:spacing w:line="360" w:lineRule="auto"/>
        <w:ind w:firstLineChars="0"/>
        <w:jc w:val="left"/>
        <w:rPr>
          <w:color w:val="000000" w:themeColor="text1"/>
          <w:szCs w:val="21"/>
        </w:rPr>
      </w:pPr>
      <w:r>
        <w:rPr>
          <w:color w:val="000000" w:themeColor="text1"/>
          <w:szCs w:val="21"/>
        </w:rPr>
        <w:t>法律、法规和</w:t>
      </w:r>
      <w:r>
        <w:rPr>
          <w:rFonts w:hint="eastAsia"/>
          <w:color w:val="000000" w:themeColor="text1"/>
          <w:szCs w:val="21"/>
        </w:rPr>
        <w:t>采购</w:t>
      </w:r>
      <w:r>
        <w:rPr>
          <w:color w:val="000000" w:themeColor="text1"/>
          <w:szCs w:val="21"/>
        </w:rPr>
        <w:t>文件规定的其他无效情形。</w:t>
      </w:r>
    </w:p>
    <w:p w14:paraId="5DE7FA7F">
      <w:pPr>
        <w:pStyle w:val="44"/>
        <w:widowControl/>
        <w:spacing w:line="360" w:lineRule="auto"/>
        <w:ind w:firstLine="422"/>
        <w:jc w:val="left"/>
        <w:rPr>
          <w:b/>
          <w:color w:val="000000" w:themeColor="text1"/>
          <w:szCs w:val="21"/>
        </w:rPr>
      </w:pPr>
      <w:r>
        <w:rPr>
          <w:rFonts w:hint="eastAsia"/>
          <w:b/>
          <w:color w:val="000000" w:themeColor="text1"/>
          <w:szCs w:val="21"/>
        </w:rPr>
        <w:t>（</w:t>
      </w:r>
      <w:r>
        <w:rPr>
          <w:b/>
          <w:color w:val="000000" w:themeColor="text1"/>
          <w:szCs w:val="21"/>
        </w:rPr>
        <w:t>3</w:t>
      </w:r>
      <w:r>
        <w:rPr>
          <w:rFonts w:hint="eastAsia"/>
          <w:b/>
          <w:color w:val="000000" w:themeColor="text1"/>
          <w:szCs w:val="21"/>
        </w:rPr>
        <w:t>）</w:t>
      </w:r>
      <w:r>
        <w:rPr>
          <w:b/>
          <w:color w:val="000000" w:themeColor="text1"/>
          <w:szCs w:val="21"/>
        </w:rPr>
        <w:t>废标</w:t>
      </w:r>
    </w:p>
    <w:p w14:paraId="06F872B1">
      <w:pPr>
        <w:pStyle w:val="44"/>
        <w:widowControl/>
        <w:numPr>
          <w:ilvl w:val="255"/>
          <w:numId w:val="0"/>
        </w:numPr>
        <w:spacing w:line="360" w:lineRule="auto"/>
        <w:jc w:val="left"/>
        <w:rPr>
          <w:color w:val="000000" w:themeColor="text1"/>
          <w:szCs w:val="21"/>
        </w:rPr>
      </w:pPr>
      <w:r>
        <w:rPr>
          <w:color w:val="000000" w:themeColor="text1"/>
          <w:szCs w:val="21"/>
        </w:rPr>
        <w:t>在招标采购中，出现下列情形之一的，应予废标。</w:t>
      </w:r>
    </w:p>
    <w:p w14:paraId="067BD01E">
      <w:pPr>
        <w:pStyle w:val="44"/>
        <w:widowControl/>
        <w:numPr>
          <w:ilvl w:val="0"/>
          <w:numId w:val="17"/>
        </w:numPr>
        <w:spacing w:line="360" w:lineRule="auto"/>
        <w:ind w:firstLineChars="0"/>
        <w:jc w:val="left"/>
        <w:rPr>
          <w:color w:val="000000" w:themeColor="text1"/>
          <w:szCs w:val="21"/>
        </w:rPr>
      </w:pPr>
      <w:r>
        <w:rPr>
          <w:color w:val="000000" w:themeColor="text1"/>
          <w:szCs w:val="21"/>
        </w:rPr>
        <w:t>出现影响采购公正的违法、违规行为的；</w:t>
      </w:r>
    </w:p>
    <w:p w14:paraId="2C192A73">
      <w:pPr>
        <w:pStyle w:val="44"/>
        <w:widowControl/>
        <w:numPr>
          <w:ilvl w:val="0"/>
          <w:numId w:val="17"/>
        </w:numPr>
        <w:spacing w:line="360" w:lineRule="auto"/>
        <w:ind w:firstLineChars="0"/>
        <w:jc w:val="left"/>
        <w:rPr>
          <w:color w:val="000000" w:themeColor="text1"/>
          <w:szCs w:val="21"/>
        </w:rPr>
      </w:pPr>
      <w:r>
        <w:rPr>
          <w:color w:val="000000" w:themeColor="text1"/>
          <w:szCs w:val="21"/>
        </w:rPr>
        <w:t>投标人的报价均超过了采购预算；</w:t>
      </w:r>
    </w:p>
    <w:p w14:paraId="7769D066">
      <w:pPr>
        <w:pStyle w:val="44"/>
        <w:widowControl/>
        <w:numPr>
          <w:ilvl w:val="0"/>
          <w:numId w:val="17"/>
        </w:numPr>
        <w:spacing w:line="360" w:lineRule="auto"/>
        <w:ind w:firstLineChars="0"/>
        <w:jc w:val="left"/>
        <w:rPr>
          <w:color w:val="000000" w:themeColor="text1"/>
          <w:szCs w:val="21"/>
        </w:rPr>
      </w:pPr>
      <w:r>
        <w:rPr>
          <w:color w:val="000000" w:themeColor="text1"/>
          <w:szCs w:val="21"/>
        </w:rPr>
        <w:t>因重大变故，采购任务取消的。</w:t>
      </w:r>
    </w:p>
    <w:p w14:paraId="693D2626">
      <w:pPr>
        <w:pStyle w:val="44"/>
        <w:widowControl/>
        <w:spacing w:line="360" w:lineRule="auto"/>
        <w:ind w:firstLine="0" w:firstLineChars="0"/>
        <w:jc w:val="left"/>
        <w:rPr>
          <w:color w:val="000000" w:themeColor="text1"/>
          <w:szCs w:val="21"/>
        </w:rPr>
      </w:pPr>
    </w:p>
    <w:p w14:paraId="1C922835">
      <w:pPr>
        <w:pStyle w:val="44"/>
        <w:widowControl/>
        <w:spacing w:line="360" w:lineRule="auto"/>
        <w:ind w:firstLine="0" w:firstLineChars="0"/>
        <w:jc w:val="left"/>
        <w:rPr>
          <w:color w:val="000000" w:themeColor="text1"/>
          <w:szCs w:val="21"/>
        </w:rPr>
      </w:pPr>
    </w:p>
    <w:p w14:paraId="7DB31DA7">
      <w:pPr>
        <w:jc w:val="center"/>
        <w:rPr>
          <w:rFonts w:ascii="Arial Unicode MS" w:hAnsi="Arial Unicode MS" w:eastAsia="Arial Unicode MS" w:cs="Arial Unicode MS"/>
          <w:kern w:val="0"/>
          <w:sz w:val="44"/>
          <w:szCs w:val="36"/>
        </w:rPr>
      </w:pPr>
      <w:bookmarkStart w:id="6" w:name="_Hlk72439043"/>
    </w:p>
    <w:p w14:paraId="1D8EB236">
      <w:pPr>
        <w:jc w:val="center"/>
        <w:rPr>
          <w:rFonts w:ascii="Arial Unicode MS" w:hAnsi="Arial Unicode MS" w:eastAsia="Arial Unicode MS" w:cs="Arial Unicode MS"/>
          <w:kern w:val="0"/>
          <w:sz w:val="44"/>
          <w:szCs w:val="36"/>
        </w:rPr>
      </w:pPr>
    </w:p>
    <w:p w14:paraId="49B3B4DE">
      <w:pPr>
        <w:pStyle w:val="36"/>
        <w:ind w:left="0" w:leftChars="0" w:firstLine="0" w:firstLineChars="0"/>
      </w:pPr>
    </w:p>
    <w:p w14:paraId="438B50D0">
      <w:pPr>
        <w:jc w:val="center"/>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BEF0B3">
      <w:pPr>
        <w:jc w:val="center"/>
        <w:outlineLvl w:val="0"/>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538BDBF3">
      <w:pPr>
        <w:pStyle w:val="36"/>
        <w:ind w:firstLine="0" w:firstLineChars="0"/>
        <w:rPr>
          <w:rFonts w:asciiTheme="minorEastAsia" w:hAnsiTheme="minorEastAsia" w:cstheme="minorEastAsia"/>
          <w:b/>
          <w:bCs/>
          <w:snapToGrid w:val="0"/>
          <w:szCs w:val="24"/>
        </w:rPr>
      </w:pPr>
    </w:p>
    <w:p w14:paraId="5A924DBA">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7B7A22C6">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51780E8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ACD97F6">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189DBB01">
      <w:pPr>
        <w:pStyle w:val="36"/>
        <w:ind w:firstLine="0" w:firstLineChars="0"/>
        <w:rPr>
          <w:rFonts w:asciiTheme="minorEastAsia" w:hAnsiTheme="minorEastAsia" w:cstheme="minorEastAsia"/>
          <w:b/>
          <w:bCs/>
        </w:rPr>
      </w:pPr>
      <w:r>
        <w:rPr>
          <w:rFonts w:hint="eastAsia" w:asciiTheme="minorEastAsia" w:hAnsiTheme="minorEastAsia" w:cstheme="minorEastAsia"/>
          <w:b/>
          <w:bCs/>
        </w:rPr>
        <w:t>二、响应文件的编写</w:t>
      </w:r>
    </w:p>
    <w:p w14:paraId="00FB2F43">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7F3C8FD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4905CE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7AC7CC4A">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35B960CD">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6BFC5D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4880451F">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260453E6">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74C8F67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41AB59F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67D49F8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31958C5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29115405">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29EE605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22C28AD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5F32B57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2580C5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418C4C0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42931BC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5398B1F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28F3B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7294905B">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5A1DFD5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0C7EF69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D31E3F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响应文件“正本”、“副本”密封并应在封套上载明以下信息：</w:t>
      </w:r>
    </w:p>
    <w:p w14:paraId="7990F06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3AE6F9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1FC4D8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3DB367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7581BF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5C8FE24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4710FDD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0BB7DED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4F24367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669823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767CF86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14510783">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44AD89D7">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E65121C">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20C1CA27">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0AA474E8">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7FA753C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7C136EA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6016CF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63752E1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4482440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69DC2BD3">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7DF18043">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6BFCE210">
      <w:pPr>
        <w:pStyle w:val="36"/>
        <w:numPr>
          <w:ilvl w:val="0"/>
          <w:numId w:val="18"/>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2E799440">
      <w:pPr>
        <w:pStyle w:val="36"/>
        <w:ind w:firstLine="0" w:firstLineChars="0"/>
        <w:rPr>
          <w:rFonts w:asciiTheme="minorEastAsia" w:hAnsiTheme="minorEastAsia" w:cstheme="minorEastAsia"/>
          <w:kern w:val="2"/>
          <w:szCs w:val="24"/>
        </w:rPr>
      </w:pPr>
    </w:p>
    <w:p w14:paraId="51AC9CF9">
      <w:pPr>
        <w:pStyle w:val="36"/>
        <w:ind w:firstLine="0" w:firstLineChars="0"/>
        <w:rPr>
          <w:rFonts w:asciiTheme="minorEastAsia" w:hAnsiTheme="minorEastAsia" w:cstheme="minorEastAsia"/>
          <w:kern w:val="2"/>
          <w:szCs w:val="24"/>
        </w:rPr>
      </w:pPr>
    </w:p>
    <w:p w14:paraId="4F9814BA">
      <w:pPr>
        <w:pStyle w:val="36"/>
        <w:ind w:firstLine="0" w:firstLineChars="0"/>
        <w:rPr>
          <w:rFonts w:asciiTheme="minorEastAsia" w:hAnsiTheme="minorEastAsia" w:cstheme="minorEastAsia"/>
          <w:kern w:val="2"/>
          <w:szCs w:val="24"/>
        </w:rPr>
      </w:pPr>
    </w:p>
    <w:p w14:paraId="751B38FB">
      <w:pPr>
        <w:pStyle w:val="36"/>
        <w:ind w:firstLine="0" w:firstLineChars="0"/>
        <w:rPr>
          <w:rFonts w:asciiTheme="minorEastAsia" w:hAnsiTheme="minorEastAsia" w:cstheme="minorEastAsia"/>
          <w:kern w:val="2"/>
          <w:szCs w:val="24"/>
        </w:rPr>
      </w:pPr>
    </w:p>
    <w:p w14:paraId="285DE53B">
      <w:pPr>
        <w:pStyle w:val="36"/>
        <w:ind w:firstLine="0" w:firstLineChars="0"/>
        <w:rPr>
          <w:rFonts w:asciiTheme="minorEastAsia" w:hAnsiTheme="minorEastAsia" w:cstheme="minorEastAsia"/>
          <w:kern w:val="2"/>
          <w:szCs w:val="24"/>
        </w:rPr>
      </w:pPr>
    </w:p>
    <w:p w14:paraId="55FA1A7D">
      <w:pPr>
        <w:pStyle w:val="5"/>
        <w:rPr>
          <w:rFonts w:asciiTheme="minorEastAsia" w:hAnsiTheme="minorEastAsia" w:eastAsiaTheme="minorEastAsia" w:cstheme="minorEastAsia"/>
        </w:rPr>
      </w:pPr>
    </w:p>
    <w:p w14:paraId="2A825F90">
      <w:pPr>
        <w:rPr>
          <w:rFonts w:asciiTheme="minorEastAsia" w:hAnsiTheme="minorEastAsia" w:cstheme="minorEastAsia"/>
        </w:rPr>
      </w:pPr>
    </w:p>
    <w:p w14:paraId="62DEE711">
      <w:pPr>
        <w:rPr>
          <w:rFonts w:asciiTheme="minorEastAsia" w:hAnsiTheme="minorEastAsia" w:cstheme="minorEastAsia"/>
        </w:rPr>
      </w:pPr>
    </w:p>
    <w:p w14:paraId="6F0A3688">
      <w:pPr>
        <w:rPr>
          <w:rFonts w:asciiTheme="minorEastAsia" w:hAnsiTheme="minorEastAsia" w:cstheme="minorEastAsia"/>
        </w:rPr>
      </w:pPr>
    </w:p>
    <w:p w14:paraId="1C9D5E61">
      <w:pPr>
        <w:rPr>
          <w:rFonts w:asciiTheme="minorEastAsia" w:hAnsiTheme="minorEastAsia" w:cstheme="minorEastAsia"/>
        </w:rPr>
      </w:pPr>
    </w:p>
    <w:p w14:paraId="64D2AE58">
      <w:pPr>
        <w:rPr>
          <w:rFonts w:asciiTheme="minorEastAsia" w:hAnsiTheme="minorEastAsia" w:cstheme="minorEastAsia"/>
        </w:rPr>
      </w:pPr>
    </w:p>
    <w:p w14:paraId="2DB25DF8">
      <w:pPr>
        <w:rPr>
          <w:rFonts w:asciiTheme="minorEastAsia" w:hAnsiTheme="minorEastAsia" w:cstheme="minorEastAsia"/>
        </w:rPr>
      </w:pPr>
    </w:p>
    <w:p w14:paraId="77203DCE">
      <w:pPr>
        <w:rPr>
          <w:rFonts w:asciiTheme="minorEastAsia" w:hAnsiTheme="minorEastAsia" w:cstheme="minorEastAsia"/>
        </w:rPr>
      </w:pPr>
    </w:p>
    <w:p w14:paraId="246A61F6">
      <w:pPr>
        <w:rPr>
          <w:rFonts w:asciiTheme="minorEastAsia" w:hAnsiTheme="minorEastAsia" w:cstheme="minorEastAsia"/>
        </w:rPr>
      </w:pPr>
    </w:p>
    <w:p w14:paraId="6B32E1EF">
      <w:pPr>
        <w:rPr>
          <w:rFonts w:asciiTheme="minorEastAsia" w:hAnsiTheme="minorEastAsia" w:cstheme="minorEastAsia"/>
        </w:rPr>
      </w:pPr>
    </w:p>
    <w:p w14:paraId="2B0B76EF">
      <w:pPr>
        <w:rPr>
          <w:rFonts w:asciiTheme="minorEastAsia" w:hAnsiTheme="minorEastAsia" w:cstheme="minorEastAsia"/>
        </w:rPr>
      </w:pPr>
    </w:p>
    <w:p w14:paraId="26CF45DC">
      <w:pPr>
        <w:rPr>
          <w:rFonts w:asciiTheme="minorEastAsia" w:hAnsiTheme="minorEastAsia" w:cstheme="minorEastAsia"/>
        </w:rPr>
      </w:pPr>
    </w:p>
    <w:p w14:paraId="387F436E">
      <w:pPr>
        <w:rPr>
          <w:rFonts w:asciiTheme="minorEastAsia" w:hAnsiTheme="minorEastAsia" w:cstheme="minorEastAsia"/>
        </w:rPr>
      </w:pPr>
    </w:p>
    <w:p w14:paraId="04E67CF0">
      <w:pPr>
        <w:rPr>
          <w:rFonts w:asciiTheme="minorEastAsia" w:hAnsiTheme="minorEastAsia" w:cstheme="minorEastAsia"/>
        </w:rPr>
      </w:pPr>
    </w:p>
    <w:p w14:paraId="2999EFE1">
      <w:pPr>
        <w:rPr>
          <w:rFonts w:asciiTheme="minorEastAsia" w:hAnsiTheme="minorEastAsia" w:cstheme="minorEastAsia"/>
        </w:rPr>
      </w:pPr>
    </w:p>
    <w:p w14:paraId="67D4A6C2">
      <w:pPr>
        <w:rPr>
          <w:rFonts w:asciiTheme="minorEastAsia" w:hAnsiTheme="minorEastAsia" w:cstheme="minorEastAsia"/>
        </w:rPr>
      </w:pPr>
    </w:p>
    <w:p w14:paraId="4CEEDBD8">
      <w:pPr>
        <w:rPr>
          <w:rFonts w:asciiTheme="minorEastAsia" w:hAnsiTheme="minorEastAsia" w:cstheme="minorEastAsia"/>
        </w:rPr>
      </w:pPr>
    </w:p>
    <w:p w14:paraId="0E92FA17">
      <w:pPr>
        <w:rPr>
          <w:rFonts w:asciiTheme="minorEastAsia" w:hAnsiTheme="minorEastAsia" w:cstheme="minorEastAsia"/>
        </w:rPr>
      </w:pPr>
    </w:p>
    <w:p w14:paraId="3B80816B">
      <w:pPr>
        <w:rPr>
          <w:rFonts w:asciiTheme="minorEastAsia" w:hAnsiTheme="minorEastAsia" w:cstheme="minorEastAsia"/>
        </w:rPr>
      </w:pPr>
    </w:p>
    <w:p w14:paraId="03AE9CF1">
      <w:pPr>
        <w:rPr>
          <w:rFonts w:asciiTheme="minorEastAsia" w:hAnsiTheme="minorEastAsia" w:cstheme="minorEastAsia"/>
        </w:rPr>
      </w:pPr>
    </w:p>
    <w:p w14:paraId="2C7332A6"/>
    <w:bookmarkEnd w:id="6"/>
    <w:p w14:paraId="11679729">
      <w:pPr>
        <w:numPr>
          <w:ilvl w:val="0"/>
          <w:numId w:val="19"/>
        </w:numPr>
        <w:jc w:val="center"/>
        <w:outlineLvl w:val="0"/>
        <w:rPr>
          <w:rFonts w:ascii="方正小标宋简体" w:hAnsi="方正小标宋简体" w:eastAsia="方正小标宋简体" w:cs="方正小标宋简体"/>
          <w:kern w:val="0"/>
          <w:sz w:val="44"/>
          <w:szCs w:val="36"/>
        </w:rPr>
      </w:pPr>
      <w:bookmarkStart w:id="10" w:name="_Toc3265"/>
      <w:bookmarkStart w:id="11" w:name="_Toc100052408"/>
      <w:bookmarkStart w:id="12" w:name="_Toc73521674"/>
      <w:bookmarkStart w:id="13" w:name="_Toc73521586"/>
      <w:bookmarkStart w:id="14" w:name="_Toc73517679"/>
      <w:bookmarkStart w:id="15" w:name="_Toc73518157"/>
      <w:r>
        <w:rPr>
          <w:rFonts w:hint="eastAsia" w:ascii="方正小标宋简体" w:hAnsi="方正小标宋简体" w:eastAsia="方正小标宋简体" w:cs="方正小标宋简体"/>
          <w:kern w:val="0"/>
          <w:sz w:val="44"/>
          <w:szCs w:val="36"/>
        </w:rPr>
        <w:t>合同文本</w:t>
      </w:r>
      <w:bookmarkEnd w:id="10"/>
    </w:p>
    <w:p w14:paraId="41405A07">
      <w:pPr>
        <w:pStyle w:val="36"/>
        <w:ind w:firstLine="0" w:firstLineChars="0"/>
      </w:pPr>
    </w:p>
    <w:p w14:paraId="1E235474">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BB5F014">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5C0196B6">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725393B9">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DA68D4A">
      <w:pPr>
        <w:numPr>
          <w:ilvl w:val="0"/>
          <w:numId w:val="20"/>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13A3895D">
      <w:pPr>
        <w:numPr>
          <w:ilvl w:val="0"/>
          <w:numId w:val="20"/>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26FFF1C7">
      <w:pPr>
        <w:numPr>
          <w:ilvl w:val="0"/>
          <w:numId w:val="20"/>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DFE7FD3">
      <w:pPr>
        <w:numPr>
          <w:ilvl w:val="0"/>
          <w:numId w:val="20"/>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6851DBD">
      <w:pPr>
        <w:numPr>
          <w:ilvl w:val="0"/>
          <w:numId w:val="20"/>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8462B17">
      <w:pPr>
        <w:numPr>
          <w:ilvl w:val="0"/>
          <w:numId w:val="20"/>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B31D972">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2D352780">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5D77478">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162DBD96">
      <w:pPr>
        <w:jc w:val="left"/>
        <w:rPr>
          <w:rFonts w:eastAsia="宋体"/>
        </w:rPr>
      </w:pPr>
    </w:p>
    <w:p w14:paraId="64B53771">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62EBC041">
      <w:pPr>
        <w:widowControl/>
        <w:wordWrap w:val="0"/>
        <w:spacing w:before="100" w:beforeAutospacing="1" w:after="100" w:afterAutospacing="1" w:line="0" w:lineRule="atLeast"/>
        <w:ind w:right="420"/>
        <w:rPr>
          <w:rFonts w:ascii="宋体" w:hAnsi="宋体" w:eastAsia="宋体" w:cs="宋体"/>
          <w:sz w:val="24"/>
        </w:rPr>
      </w:pPr>
    </w:p>
    <w:p w14:paraId="59213DA0">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73F4E879">
      <w:pPr>
        <w:jc w:val="center"/>
        <w:rPr>
          <w:szCs w:val="21"/>
        </w:rPr>
        <w:sectPr>
          <w:pgSz w:w="11906" w:h="16838"/>
          <w:pgMar w:top="340" w:right="720" w:bottom="397" w:left="720" w:header="851" w:footer="992" w:gutter="0"/>
          <w:cols w:space="720" w:num="1"/>
          <w:docGrid w:type="lines" w:linePitch="312" w:charSpace="0"/>
        </w:sectPr>
      </w:pPr>
    </w:p>
    <w:p w14:paraId="00E14C3D">
      <w:pPr>
        <w:adjustRightInd w:val="0"/>
        <w:snapToGrid w:val="0"/>
        <w:spacing w:line="480" w:lineRule="exact"/>
        <w:rPr>
          <w:rFonts w:asciiTheme="minorEastAsia" w:hAnsiTheme="minorEastAsia" w:cstheme="minorEastAsia"/>
        </w:rPr>
      </w:pPr>
    </w:p>
    <w:p w14:paraId="35935CD6">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6D5EF01B">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6894A120">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3F0ED6C1">
      <w:pPr>
        <w:adjustRightInd w:val="0"/>
        <w:snapToGrid w:val="0"/>
        <w:spacing w:line="480" w:lineRule="exact"/>
        <w:rPr>
          <w:rFonts w:asciiTheme="minorEastAsia" w:hAnsiTheme="minorEastAsia" w:cstheme="minorEastAsia"/>
        </w:rPr>
      </w:pPr>
      <w:bookmarkStart w:id="16" w:name="_Toc73521675"/>
      <w:bookmarkStart w:id="17" w:name="_Toc73518158"/>
      <w:bookmarkStart w:id="18" w:name="_Toc73521587"/>
      <w:bookmarkStart w:id="19" w:name="_Toc100052409"/>
      <w:bookmarkStart w:id="20" w:name="_Toc73517680"/>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2DA68A4A">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7B51CE8B">
      <w:pPr>
        <w:adjustRightInd w:val="0"/>
        <w:snapToGrid w:val="0"/>
        <w:spacing w:line="480" w:lineRule="exact"/>
        <w:rPr>
          <w:rFonts w:asciiTheme="minorEastAsia" w:hAnsiTheme="minorEastAsia" w:cstheme="minorEastAsia"/>
        </w:rPr>
      </w:pPr>
      <w:bookmarkStart w:id="21" w:name="_Toc100052410"/>
      <w:bookmarkStart w:id="22" w:name="_Toc73521589"/>
      <w:bookmarkStart w:id="23" w:name="_Toc73517682"/>
      <w:bookmarkStart w:id="24" w:name="_Toc73518160"/>
      <w:bookmarkStart w:id="25" w:name="_Toc73521677"/>
      <w:r>
        <w:rPr>
          <w:rFonts w:hint="eastAsia" w:asciiTheme="minorEastAsia" w:hAnsiTheme="minorEastAsia" w:cstheme="minorEastAsia"/>
        </w:rPr>
        <w:t>3．合同的签订</w:t>
      </w:r>
      <w:bookmarkEnd w:id="21"/>
      <w:bookmarkEnd w:id="22"/>
      <w:bookmarkEnd w:id="23"/>
      <w:bookmarkEnd w:id="24"/>
      <w:bookmarkEnd w:id="25"/>
    </w:p>
    <w:p w14:paraId="3F8EDB17">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1C4296D6">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69F5F0E1">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169082BF">
      <w:pPr>
        <w:pStyle w:val="44"/>
        <w:widowControl/>
        <w:spacing w:line="360" w:lineRule="auto"/>
        <w:ind w:firstLineChars="0"/>
        <w:jc w:val="left"/>
        <w:rPr>
          <w:rFonts w:asciiTheme="minorEastAsia" w:hAnsiTheme="minorEastAsia" w:cstheme="minorEastAsia"/>
          <w:szCs w:val="21"/>
        </w:rPr>
      </w:pPr>
    </w:p>
    <w:p w14:paraId="0C6685E0">
      <w:pPr>
        <w:widowControl/>
        <w:adjustRightInd w:val="0"/>
        <w:snapToGrid w:val="0"/>
        <w:spacing w:line="500" w:lineRule="exact"/>
        <w:jc w:val="left"/>
        <w:rPr>
          <w:b/>
          <w:bCs/>
          <w:szCs w:val="21"/>
        </w:rPr>
      </w:pPr>
      <w:r>
        <w:rPr>
          <w:szCs w:val="21"/>
        </w:rPr>
        <w:br w:type="page"/>
      </w:r>
      <w:r>
        <w:rPr>
          <w:rFonts w:hint="eastAsia"/>
          <w:b/>
          <w:bCs/>
          <w:sz w:val="24"/>
        </w:rPr>
        <w:t xml:space="preserve">附件1    </w:t>
      </w:r>
    </w:p>
    <w:p w14:paraId="53595DA4">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1B5D3926">
      <w:pPr>
        <w:widowControl/>
        <w:adjustRightInd w:val="0"/>
        <w:snapToGrid w:val="0"/>
        <w:spacing w:line="360" w:lineRule="exact"/>
        <w:rPr>
          <w:rFonts w:ascii="宋体" w:hAnsi="宋体" w:eastAsia="宋体" w:cs="宋体"/>
          <w:b/>
          <w:bCs/>
          <w:color w:val="000000"/>
          <w:kern w:val="0"/>
          <w:sz w:val="32"/>
          <w:szCs w:val="32"/>
        </w:rPr>
      </w:pPr>
    </w:p>
    <w:p w14:paraId="51B462C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78703E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A01D72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59A53BA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94F9A2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770E219">
      <w:pPr>
        <w:widowControl/>
        <w:adjustRightInd w:val="0"/>
        <w:snapToGrid w:val="0"/>
        <w:spacing w:line="360" w:lineRule="exact"/>
        <w:jc w:val="left"/>
        <w:rPr>
          <w:rFonts w:ascii="宋体" w:hAnsi="宋体" w:eastAsia="宋体" w:cs="宋体"/>
          <w:color w:val="000000"/>
          <w:kern w:val="0"/>
          <w:szCs w:val="21"/>
        </w:rPr>
      </w:pPr>
    </w:p>
    <w:p w14:paraId="64C1F1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6581A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65C218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1C7378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1FFCA7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21B9F38">
      <w:pPr>
        <w:widowControl/>
        <w:adjustRightInd w:val="0"/>
        <w:snapToGrid w:val="0"/>
        <w:spacing w:line="360" w:lineRule="exact"/>
        <w:jc w:val="left"/>
        <w:rPr>
          <w:rFonts w:ascii="宋体" w:hAnsi="宋体" w:eastAsia="宋体" w:cs="宋体"/>
          <w:color w:val="000000"/>
          <w:kern w:val="0"/>
          <w:szCs w:val="21"/>
        </w:rPr>
      </w:pPr>
    </w:p>
    <w:p w14:paraId="152A94E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等相关法律法规，甲、乙双方就年月日“中山大学附属第八医院（深圳福田）年第期（试剂/耗材/物资）招采项目”（招采项目名称：招采编号：）供货事宜，经双方协商一致，达成以下协议：</w:t>
      </w:r>
    </w:p>
    <w:p w14:paraId="661FBFC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40E468B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38ED9EF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26D6717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73AC6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5F3F639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62727109">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492979F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A527FE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7EBC111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36309C2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100835D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A05F7B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C6C0E3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47E9305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6B1D17D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478EFEC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0E9496A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77FC784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3C1A431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3AD7F9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6AD7D1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BF161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28FA3C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1921E3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10169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547FE9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2EE3EE4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4FDE9E2E">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1A2D303E">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03199B0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2D112E5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7A0C38F">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75F053C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ED5DD6A">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014F38D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22FFF0B2">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75B6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1E14101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7065A766">
      <w:pPr>
        <w:widowControl/>
        <w:adjustRightInd w:val="0"/>
        <w:snapToGrid w:val="0"/>
        <w:spacing w:line="360" w:lineRule="exact"/>
        <w:ind w:left="1" w:firstLine="42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3、</w:t>
      </w:r>
      <w:r>
        <w:rPr>
          <w:rFonts w:hint="eastAsia" w:ascii="宋体" w:hAnsi="宋体" w:eastAsia="宋体" w:cs="宋体"/>
          <w:color w:val="000000" w:themeColor="text1"/>
          <w:kern w:val="0"/>
          <w:szCs w:val="21"/>
        </w:rPr>
        <w:t>合同产品有效期内，甲方发现合同产品存在质量问题时，乙方</w:t>
      </w:r>
      <w:r>
        <w:rPr>
          <w:rFonts w:ascii="宋体" w:hAnsi="宋体" w:eastAsia="宋体" w:cs="宋体"/>
          <w:color w:val="000000" w:themeColor="text1"/>
          <w:kern w:val="0"/>
          <w:szCs w:val="21"/>
        </w:rPr>
        <w:t>在接到甲方通知后，</w:t>
      </w:r>
      <w:r>
        <w:rPr>
          <w:rFonts w:hint="eastAsia" w:ascii="宋体" w:hAnsi="宋体" w:eastAsia="宋体" w:cs="宋体"/>
          <w:color w:val="000000" w:themeColor="text1"/>
          <w:kern w:val="0"/>
          <w:szCs w:val="21"/>
        </w:rPr>
        <w:t>应当在24小时内作出实质响应，派员至</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存放点，与甲方共同确认</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质量问题；不能当场确认的，应当共同封存问题</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，并在7日内确定质量鉴定机构。</w:t>
      </w:r>
    </w:p>
    <w:p w14:paraId="76900220">
      <w:pPr>
        <w:widowControl/>
        <w:adjustRightInd w:val="0"/>
        <w:snapToGrid w:val="0"/>
        <w:spacing w:line="360" w:lineRule="exact"/>
        <w:ind w:firstLine="48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4</w:t>
      </w:r>
      <w:r>
        <w:rPr>
          <w:rFonts w:hint="eastAsia" w:ascii="宋体" w:hAnsi="宋体" w:eastAsia="宋体" w:cs="宋体"/>
          <w:color w:val="000000" w:themeColor="text1"/>
          <w:kern w:val="0"/>
          <w:szCs w:val="21"/>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5CF42F34">
      <w:pPr>
        <w:widowControl/>
        <w:adjustRightInd w:val="0"/>
        <w:snapToGrid w:val="0"/>
        <w:spacing w:line="360" w:lineRule="exact"/>
        <w:ind w:firstLine="48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253F818B">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（四）所有权及风险转移</w:t>
      </w:r>
    </w:p>
    <w:p w14:paraId="453948F3">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产品所有权自乙方交付给甲方并验收合格之时视为转移，由甲方享有所有权，产品毁损、灭失的风险自交付并验收合格之时起由甲方承担。</w:t>
      </w:r>
    </w:p>
    <w:p w14:paraId="46B05DB3">
      <w:pPr>
        <w:widowControl/>
        <w:adjustRightInd w:val="0"/>
        <w:snapToGrid w:val="0"/>
        <w:spacing w:line="360" w:lineRule="exact"/>
        <w:ind w:left="1" w:firstLine="42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五、售后服务条款</w:t>
      </w:r>
    </w:p>
    <w:p w14:paraId="4380232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226EDFA2">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191BBB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64FE995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7F6C8C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6EC848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08ABF2C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666A0A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41BFC8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247BCA2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EF1AF66">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rPr>
        <w:t>5</w:t>
      </w:r>
      <w:r>
        <w:rPr>
          <w:rFonts w:hint="eastAsia" w:ascii="宋体" w:hAnsi="宋体" w:eastAsia="宋体" w:cs="宋体"/>
          <w:color w:val="000000" w:themeColor="text1"/>
          <w:kern w:val="0"/>
          <w:szCs w:val="21"/>
        </w:rPr>
        <w:t>时前配送至甲方消毒供应中心的，乙方需按延迟送达时间段向甲方支付违约金：</w:t>
      </w:r>
    </w:p>
    <w:p w14:paraId="778890B8">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1、在送达当日15时至16时送达（15:01-16:00）的，每延迟一次向甲方支付违约金人民币</w:t>
      </w:r>
      <w:r>
        <w:rPr>
          <w:rFonts w:hint="eastAsia" w:eastAsia="宋体"/>
          <w:color w:val="000000" w:themeColor="text1"/>
          <w:kern w:val="0"/>
          <w:szCs w:val="21"/>
        </w:rPr>
        <w:t>贰</w:t>
      </w:r>
      <w:r>
        <w:rPr>
          <w:rFonts w:eastAsia="宋体"/>
          <w:color w:val="000000" w:themeColor="text1"/>
          <w:kern w:val="0"/>
          <w:szCs w:val="21"/>
        </w:rPr>
        <w:t>佰元整（¥200.00）；</w:t>
      </w:r>
    </w:p>
    <w:p w14:paraId="4C6FB2CC">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2、在送达当日16时至17时送达（16:01-17:00）的，每延迟一次向甲方支付违约金人民币</w:t>
      </w:r>
      <w:r>
        <w:rPr>
          <w:rFonts w:hint="eastAsia" w:eastAsia="宋体"/>
          <w:color w:val="000000" w:themeColor="text1"/>
          <w:kern w:val="0"/>
          <w:szCs w:val="21"/>
        </w:rPr>
        <w:t>肆</w:t>
      </w:r>
      <w:r>
        <w:rPr>
          <w:rFonts w:eastAsia="宋体"/>
          <w:color w:val="000000" w:themeColor="text1"/>
          <w:kern w:val="0"/>
          <w:szCs w:val="21"/>
        </w:rPr>
        <w:t>佰元整（¥400.00）；</w:t>
      </w:r>
    </w:p>
    <w:p w14:paraId="70F549C7">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3、在送达当日17时至20时送达（17:01-20:00）的，每延迟一次向甲方支付违约金人民币捌佰元整（¥800.00）；</w:t>
      </w:r>
    </w:p>
    <w:p w14:paraId="6D5ACBD6">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4、在送达当日20时以后送达（20:01以后）的，每延迟一次向甲方支付违约金人民币壹仟元整（¥1,000.00）。</w:t>
      </w:r>
    </w:p>
    <w:p w14:paraId="6FC2E62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5BEA2B1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1EEFBE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41D0019A">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28FBDC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53E62379">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7B184799">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八、通知及送达</w:t>
      </w:r>
    </w:p>
    <w:p w14:paraId="7253CF36">
      <w:pPr>
        <w:adjustRightInd w:val="0"/>
        <w:snapToGrid w:val="0"/>
        <w:spacing w:line="360" w:lineRule="exact"/>
        <w:ind w:firstLine="420" w:firstLineChars="200"/>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505196AA">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2、当面交付文件的，在交付之时视为送达；通过传真方式的，在发出时视为送达；以邮寄方式的，挂号寄出或者投邮当日视为送达。</w:t>
      </w:r>
    </w:p>
    <w:p w14:paraId="05ECD5D1">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九、争议的解决</w:t>
      </w:r>
    </w:p>
    <w:p w14:paraId="77C8FC74">
      <w:pPr>
        <w:snapToGrid w:val="0"/>
        <w:spacing w:line="360" w:lineRule="exact"/>
        <w:ind w:firstLine="460" w:firstLineChars="200"/>
        <w:jc w:val="left"/>
        <w:rPr>
          <w:rFonts w:ascii="宋体" w:hAnsi="宋体" w:eastAsia="宋体" w:cs="宋体"/>
          <w:bCs/>
          <w:color w:val="000000" w:themeColor="text1"/>
          <w:spacing w:val="10"/>
          <w:kern w:val="0"/>
          <w:sz w:val="24"/>
          <w:szCs w:val="21"/>
        </w:rPr>
      </w:pPr>
      <w:r>
        <w:rPr>
          <w:rFonts w:eastAsia="宋体"/>
          <w:bCs/>
          <w:color w:val="000000" w:themeColor="text1"/>
          <w:spacing w:val="10"/>
          <w:kern w:val="0"/>
          <w:szCs w:val="21"/>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40C6858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rPr>
        <w:t>2、</w:t>
      </w:r>
      <w:r>
        <w:rPr>
          <w:rFonts w:hint="eastAsia" w:ascii="宋体" w:hAnsi="宋体" w:eastAsia="宋体" w:cs="宋体"/>
          <w:color w:val="000000" w:themeColor="text1"/>
          <w:kern w:val="0"/>
          <w:szCs w:val="21"/>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128B4B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4A989901">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18E7551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2B34757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044D51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3BE84082">
      <w:pPr>
        <w:widowControl/>
        <w:adjustRightInd w:val="0"/>
        <w:snapToGrid w:val="0"/>
        <w:spacing w:line="360" w:lineRule="exact"/>
        <w:jc w:val="left"/>
        <w:rPr>
          <w:rFonts w:ascii="宋体" w:hAnsi="宋体" w:eastAsia="宋体" w:cs="宋体"/>
          <w:color w:val="000000"/>
          <w:kern w:val="0"/>
          <w:szCs w:val="21"/>
        </w:rPr>
      </w:pPr>
    </w:p>
    <w:p w14:paraId="538051D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494F653E">
      <w:pPr>
        <w:widowControl/>
        <w:numPr>
          <w:ilvl w:val="0"/>
          <w:numId w:val="21"/>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6D3ABE69">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3.中山大学附属第八医院供应商廉洁协议书</w:t>
      </w:r>
    </w:p>
    <w:p w14:paraId="484894D4">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61AFB48B">
      <w:pPr>
        <w:widowControl/>
        <w:adjustRightInd w:val="0"/>
        <w:snapToGrid w:val="0"/>
        <w:spacing w:line="360" w:lineRule="exact"/>
        <w:jc w:val="left"/>
        <w:rPr>
          <w:rFonts w:ascii="宋体" w:hAnsi="宋体" w:eastAsia="宋体" w:cs="宋体"/>
          <w:color w:val="000000"/>
          <w:kern w:val="0"/>
          <w:szCs w:val="21"/>
        </w:rPr>
      </w:pPr>
    </w:p>
    <w:p w14:paraId="5ACB8D0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149FF15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6D83F9E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2B0F73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1E9732E3">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6CB97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7F3D4A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29E1302">
      <w:pPr>
        <w:widowControl/>
        <w:adjustRightInd w:val="0"/>
        <w:snapToGrid w:val="0"/>
        <w:spacing w:line="360" w:lineRule="exact"/>
        <w:jc w:val="left"/>
        <w:rPr>
          <w:rFonts w:ascii="宋体" w:hAnsi="宋体" w:eastAsia="宋体" w:cs="宋体"/>
          <w:color w:val="000000"/>
          <w:kern w:val="0"/>
          <w:szCs w:val="21"/>
        </w:rPr>
      </w:pPr>
    </w:p>
    <w:p w14:paraId="7315C506">
      <w:pPr>
        <w:widowControl/>
        <w:adjustRightInd w:val="0"/>
        <w:snapToGrid w:val="0"/>
        <w:spacing w:line="360" w:lineRule="exact"/>
        <w:jc w:val="left"/>
        <w:rPr>
          <w:rFonts w:ascii="宋体" w:hAnsi="宋体" w:eastAsia="宋体" w:cs="宋体"/>
          <w:color w:val="000000"/>
          <w:kern w:val="0"/>
          <w:szCs w:val="21"/>
        </w:rPr>
      </w:pPr>
    </w:p>
    <w:p w14:paraId="0B966CC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2695E6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3D169D82">
      <w:pPr>
        <w:widowControl/>
        <w:adjustRightInd w:val="0"/>
        <w:snapToGrid w:val="0"/>
        <w:spacing w:line="360" w:lineRule="exact"/>
        <w:jc w:val="left"/>
        <w:rPr>
          <w:rFonts w:ascii="宋体" w:hAnsi="宋体" w:eastAsia="宋体" w:cs="宋体"/>
          <w:color w:val="000000"/>
          <w:kern w:val="0"/>
          <w:szCs w:val="21"/>
        </w:rPr>
      </w:pPr>
    </w:p>
    <w:p w14:paraId="4BB178D1">
      <w:pPr>
        <w:widowControl/>
        <w:adjustRightInd w:val="0"/>
        <w:snapToGrid w:val="0"/>
        <w:spacing w:line="480" w:lineRule="exact"/>
        <w:jc w:val="left"/>
        <w:rPr>
          <w:rFonts w:ascii="宋体" w:hAnsi="宋体" w:eastAsia="宋体" w:cs="宋体"/>
          <w:color w:val="000000"/>
          <w:kern w:val="0"/>
          <w:szCs w:val="21"/>
        </w:rPr>
      </w:pPr>
    </w:p>
    <w:p w14:paraId="055F5DF5">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69B5B093">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1605C286">
      <w:pPr>
        <w:ind w:firstLine="2100" w:firstLineChars="1000"/>
        <w:jc w:val="left"/>
        <w:rPr>
          <w:rFonts w:ascii="Calibri" w:hAnsi="Calibri" w:eastAsia="宋体"/>
        </w:rPr>
      </w:pPr>
    </w:p>
    <w:p w14:paraId="6C08BF9F">
      <w:pPr>
        <w:spacing w:line="460" w:lineRule="exact"/>
        <w:rPr>
          <w:rFonts w:ascii="仿宋" w:hAnsi="仿宋" w:eastAsia="仿宋"/>
          <w:color w:val="000000"/>
          <w:sz w:val="24"/>
        </w:rPr>
      </w:pPr>
      <w:r>
        <w:rPr>
          <w:rFonts w:hint="eastAsia" w:ascii="仿宋" w:hAnsi="仿宋" w:eastAsia="仿宋" w:cs="宋体"/>
          <w:color w:val="000000"/>
          <w:sz w:val="24"/>
        </w:rPr>
        <w:t>采购编号：供应商名称：</w:t>
      </w:r>
    </w:p>
    <w:p w14:paraId="1AD4A3D4">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27D38B18">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0C040E3B">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2FECEC1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28A490F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203DCD1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CBC6838">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0862227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4BA42C2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6AACD0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5A222883">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2C868A31">
      <w:pPr>
        <w:spacing w:line="460" w:lineRule="exact"/>
        <w:jc w:val="left"/>
        <w:rPr>
          <w:rFonts w:ascii="仿宋" w:hAnsi="仿宋" w:eastAsia="仿宋"/>
          <w:color w:val="000000"/>
          <w:sz w:val="24"/>
        </w:rPr>
      </w:pPr>
    </w:p>
    <w:p w14:paraId="588FDF46">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504AA532">
      <w:pPr>
        <w:spacing w:line="460" w:lineRule="exact"/>
        <w:rPr>
          <w:rFonts w:ascii="仿宋" w:hAnsi="仿宋" w:eastAsia="仿宋"/>
          <w:bCs/>
          <w:sz w:val="24"/>
        </w:rPr>
      </w:pPr>
      <w:r>
        <w:rPr>
          <w:rFonts w:ascii="仿宋" w:hAnsi="仿宋" w:eastAsia="仿宋"/>
          <w:bCs/>
          <w:sz w:val="24"/>
        </w:rPr>
        <w:t>日期：年月日</w:t>
      </w:r>
    </w:p>
    <w:p w14:paraId="019EB958">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0A6DFFE2">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049BD6A2">
      <w:pPr>
        <w:widowControl/>
        <w:spacing w:line="580" w:lineRule="exact"/>
        <w:jc w:val="left"/>
        <w:rPr>
          <w:rFonts w:ascii="仿宋_GB2312" w:hAnsi="宋体" w:eastAsia="仿宋_GB2312" w:cs="宋体"/>
          <w:bCs/>
          <w:color w:val="3C3C3C"/>
          <w:kern w:val="0"/>
          <w:sz w:val="32"/>
          <w:szCs w:val="32"/>
        </w:rPr>
      </w:pPr>
    </w:p>
    <w:p w14:paraId="2C1C0D9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5FA65D5B">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479B958E">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21D8F03C">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489E0B0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5233C8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960A70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5708085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67C548E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1564437">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七、乙方指定作为代表洽谈业务。乙方不得借故到甲方相关领导、部门负责人及相关工作人员家中访谈并提供任何好处费。</w:t>
      </w:r>
    </w:p>
    <w:p w14:paraId="7489D390">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0414E1A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70FD14F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071F9299">
      <w:pPr>
        <w:widowControl/>
        <w:spacing w:line="400" w:lineRule="exact"/>
        <w:jc w:val="left"/>
        <w:rPr>
          <w:rFonts w:ascii="仿宋_GB2312" w:hAnsi="宋体" w:eastAsia="仿宋_GB2312" w:cs="宋体"/>
          <w:color w:val="3C3C3C"/>
          <w:kern w:val="0"/>
          <w:sz w:val="24"/>
        </w:rPr>
      </w:pPr>
    </w:p>
    <w:p w14:paraId="1E925BEA">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490DFD2C">
      <w:pPr>
        <w:spacing w:line="400" w:lineRule="exact"/>
        <w:rPr>
          <w:rFonts w:ascii="Calibri" w:hAnsi="Calibri" w:eastAsia="宋体"/>
          <w:sz w:val="24"/>
        </w:rPr>
      </w:pPr>
      <w:r>
        <w:rPr>
          <w:rFonts w:hint="eastAsia" w:ascii="仿宋_GB2312" w:hAnsi="Calibri" w:eastAsia="仿宋_GB2312"/>
          <w:sz w:val="24"/>
        </w:rPr>
        <w:t xml:space="preserve">                                     年   月   日</w:t>
      </w:r>
    </w:p>
    <w:p w14:paraId="21B37BE9">
      <w:pPr>
        <w:spacing w:line="400" w:lineRule="exact"/>
        <w:ind w:firstLine="5440" w:firstLineChars="1700"/>
        <w:rPr>
          <w:rFonts w:ascii="宋体" w:hAnsi="宋体" w:eastAsia="宋体" w:cs="宋体"/>
          <w:color w:val="3C3C3C"/>
          <w:kern w:val="0"/>
          <w:sz w:val="32"/>
          <w:szCs w:val="32"/>
        </w:rPr>
      </w:pP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 xml:space="preserve">日期：2025年X月X日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3"/>
        <w:numPr>
          <w:ilvl w:val="0"/>
          <w:numId w:val="22"/>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793F3934">
      <w:pPr>
        <w:pStyle w:val="43"/>
        <w:numPr>
          <w:ilvl w:val="0"/>
          <w:numId w:val="25"/>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39"/>
        <w:gridCol w:w="693"/>
        <w:gridCol w:w="710"/>
        <w:gridCol w:w="861"/>
        <w:gridCol w:w="741"/>
        <w:gridCol w:w="848"/>
        <w:gridCol w:w="861"/>
        <w:gridCol w:w="710"/>
        <w:gridCol w:w="716"/>
        <w:gridCol w:w="861"/>
        <w:gridCol w:w="999"/>
        <w:gridCol w:w="716"/>
        <w:gridCol w:w="864"/>
        <w:gridCol w:w="820"/>
        <w:gridCol w:w="656"/>
        <w:gridCol w:w="1065"/>
        <w:gridCol w:w="1310"/>
      </w:tblGrid>
      <w:tr w14:paraId="5D62E3E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3E4D108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498E9908">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2536C33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332F7B4">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252EA7">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6F4B5D92">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8B8F5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51404DC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6EE1E4E7">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2EA0132F">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1FBD594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58BF5282">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DD44793">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38FB390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70E6E3E2">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22B2A01">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4638EFA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57D3F7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4AC52AE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0B92D52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4F6F32F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B623E1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79A6CF64">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15F906F1">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402C7D0">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49C131C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4C4347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66FA665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0D28947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7560C5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2CEA786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454ACD8C">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86DA145">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6607212">
            <w:pPr>
              <w:widowControl/>
              <w:jc w:val="left"/>
              <w:rPr>
                <w:rFonts w:ascii="宋体" w:hAnsi="宋体" w:eastAsia="宋体" w:cs="宋体"/>
                <w:color w:val="000000"/>
                <w:kern w:val="0"/>
                <w:sz w:val="22"/>
                <w:szCs w:val="22"/>
              </w:rPr>
            </w:pPr>
          </w:p>
        </w:tc>
      </w:tr>
      <w:tr w14:paraId="6D149CC3">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A6995E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7D743C3C">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7E0D049">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2F244F06">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11E62D6">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3C44247A">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DCDC51E">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5474E690">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40BFB9D0">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322DA6C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48A1F2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775B380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753CF9B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42F75DCA">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2CF1475F">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3742D17D">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6854235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18E31602">
            <w:pPr>
              <w:widowControl/>
              <w:jc w:val="left"/>
              <w:rPr>
                <w:rFonts w:ascii="宋体" w:hAnsi="宋体" w:eastAsia="宋体" w:cs="宋体"/>
                <w:color w:val="000000"/>
                <w:kern w:val="0"/>
                <w:sz w:val="22"/>
                <w:szCs w:val="22"/>
              </w:rPr>
            </w:pPr>
          </w:p>
        </w:tc>
      </w:tr>
      <w:tr w14:paraId="6B98FB8E">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6950E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1177E82F">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29CB341">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8C09EB">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8102608">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0CFE53A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3D69939">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47ED993">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07EC1B0A">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3443F3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D3C403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4F05DC6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09FBFE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07385A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3FE0ECB">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FD0CE48">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0EDBA77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40592907">
            <w:pPr>
              <w:widowControl/>
              <w:jc w:val="left"/>
              <w:rPr>
                <w:rFonts w:ascii="宋体" w:hAnsi="宋体" w:eastAsia="宋体" w:cs="宋体"/>
                <w:color w:val="000000"/>
                <w:kern w:val="0"/>
                <w:sz w:val="22"/>
                <w:szCs w:val="22"/>
              </w:rPr>
            </w:pPr>
          </w:p>
        </w:tc>
      </w:tr>
      <w:tr w14:paraId="0553D7C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53C9B2E3">
            <w:pPr>
              <w:spacing w:line="360" w:lineRule="auto"/>
              <w:ind w:firstLine="241" w:firstLineChars="100"/>
              <w:rPr>
                <w:rFonts w:ascii="宋体" w:hAnsi="宋体" w:eastAsia="宋体" w:cs="宋体"/>
                <w:b/>
                <w:bCs/>
                <w:color w:val="000000" w:themeColor="text1"/>
                <w:sz w:val="24"/>
              </w:rPr>
            </w:pPr>
          </w:p>
          <w:p w14:paraId="7E6731B7">
            <w:pPr>
              <w:spacing w:line="360" w:lineRule="auto"/>
              <w:ind w:firstLine="420"/>
              <w:rPr>
                <w:rFonts w:ascii="宋体" w:hAnsi="宋体" w:eastAsia="宋体" w:cs="宋体"/>
                <w:b/>
                <w:bCs/>
                <w:color w:val="000000" w:themeColor="text1"/>
                <w:sz w:val="24"/>
              </w:rPr>
            </w:pPr>
            <w:r>
              <w:rPr>
                <w:rFonts w:ascii="宋体" w:hAnsi="宋体" w:eastAsia="宋体" w:cs="宋体"/>
                <w:b/>
                <w:bCs/>
                <w:color w:val="000000" w:themeColor="text1"/>
                <w:sz w:val="24"/>
              </w:rPr>
              <w:t>投标人代表</w:t>
            </w:r>
            <w:r>
              <w:rPr>
                <w:rFonts w:hint="eastAsia" w:ascii="宋体" w:hAnsi="宋体" w:eastAsia="宋体" w:cs="宋体"/>
                <w:b/>
                <w:bCs/>
                <w:color w:val="000000" w:themeColor="text1"/>
                <w:sz w:val="24"/>
                <w:u w:val="single"/>
              </w:rPr>
              <w:t>（签名）</w:t>
            </w:r>
            <w:r>
              <w:rPr>
                <w:rFonts w:ascii="宋体" w:hAnsi="宋体" w:eastAsia="宋体" w:cs="宋体"/>
                <w:b/>
                <w:bCs/>
                <w:color w:val="000000" w:themeColor="text1"/>
                <w:sz w:val="24"/>
              </w:rPr>
              <w:t>：</w:t>
            </w:r>
          </w:p>
          <w:p w14:paraId="598185AB">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rPr>
              <w:t>：</w:t>
            </w:r>
            <w:r>
              <w:rPr>
                <w:rFonts w:hint="eastAsia" w:ascii="宋体" w:hAnsi="宋体" w:eastAsia="宋体" w:cs="宋体"/>
                <w:color w:val="000000" w:themeColor="text1"/>
                <w:sz w:val="24"/>
              </w:rPr>
              <w:t>　</w:t>
            </w:r>
            <w:r>
              <w:rPr>
                <w:rFonts w:hint="eastAsia" w:ascii="宋体" w:hAnsi="宋体" w:eastAsia="宋体" w:cs="宋体"/>
                <w:b/>
                <w:bCs/>
                <w:color w:val="000000" w:themeColor="text1"/>
                <w:sz w:val="24"/>
              </w:rPr>
              <w:t>　</w:t>
            </w:r>
            <w:r>
              <w:rPr>
                <w:rFonts w:hint="eastAsia" w:ascii="宋体" w:hAnsi="宋体" w:eastAsia="宋体" w:cs="宋体"/>
                <w:color w:val="000000" w:themeColor="text1"/>
                <w:sz w:val="24"/>
              </w:rPr>
              <w:t>　　　　　</w:t>
            </w:r>
          </w:p>
          <w:p w14:paraId="4E00D552">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 xml:space="preserve">日期：     </w:t>
            </w:r>
            <w:r>
              <w:rPr>
                <w:rFonts w:hint="eastAsia" w:ascii="宋体" w:hAnsi="宋体" w:eastAsia="宋体" w:cs="宋体"/>
                <w:b/>
                <w:bCs/>
                <w:sz w:val="24"/>
              </w:rPr>
              <w:t>年  月  日</w:t>
            </w:r>
          </w:p>
        </w:tc>
      </w:tr>
    </w:tbl>
    <w:p w14:paraId="00D83F6F">
      <w:pPr>
        <w:pStyle w:val="36"/>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rPr>
      </w:pPr>
      <w:r>
        <w:rPr>
          <w:rFonts w:hint="eastAsia" w:ascii="宋体" w:hAnsi="宋体" w:eastAsia="宋体" w:cs="宋体"/>
          <w:b/>
          <w:bCs/>
          <w:sz w:val="24"/>
        </w:rPr>
        <w:t>（一）</w:t>
      </w:r>
      <w:r>
        <w:rPr>
          <w:rFonts w:hint="eastAsia" w:ascii="宋体" w:hAnsi="宋体" w:eastAsia="宋体" w:cs="宋体"/>
          <w:b/>
          <w:bCs/>
          <w:color w:val="000000" w:themeColor="text1"/>
          <w:sz w:val="24"/>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rPr>
            </w:pPr>
            <w:r>
              <w:rPr>
                <w:color w:val="000000" w:themeColor="text1"/>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rPr>
            </w:pPr>
            <w:r>
              <w:rPr>
                <w:rFonts w:hint="eastAsia"/>
                <w:color w:val="000000" w:themeColor="text1"/>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6"/>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6"/>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6"/>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6"/>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6"/>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6"/>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6"/>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CC60073">
      <w:pPr>
        <w:pStyle w:val="3"/>
        <w:widowControl/>
        <w:spacing w:line="240" w:lineRule="auto"/>
        <w:ind w:firstLine="3600" w:firstLineChars="1200"/>
        <w:rPr>
          <w:rFonts w:ascii="Times New Roman" w:hAnsi="Times New Roman" w:eastAsia="宋体"/>
          <w:sz w:val="30"/>
          <w:szCs w:val="30"/>
        </w:rPr>
      </w:pPr>
      <w:bookmarkStart w:id="26"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1232CA53">
      <w:pPr>
        <w:pStyle w:val="3"/>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7"/>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7"/>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w:t>
      </w:r>
    </w:p>
    <w:p w14:paraId="1D89404B">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8"/>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5CD69674">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9"/>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9"/>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9"/>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9"/>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9"/>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9"/>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w:t>
      </w:r>
    </w:p>
    <w:p w14:paraId="6867C1B5">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w:pict>
          <v:rect id="Rectangle 4" o:spid="_x0000_s1035"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xPj4tgAAAAKAQAADwAAAAAAAAABACAAAAAiAAAAZHJzL2Rvd25yZXYu&#10;eG1sUEsBAhQAFAAAAAgAh07iQOwaWkY0AgAAiwQAAA4AAAAAAAAAAQAgAAAAJwEAAGRycy9lMm9E&#10;b2MueG1sUEsFBgAAAAAGAAYAWQEAAM0FAAAAAA==&#10;">
            <v:path/>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w:r>
      <w:r>
        <w:rPr>
          <w:rFonts w:ascii="宋体"/>
          <w:b/>
          <w:bCs/>
        </w:rPr>
        <w:pict>
          <v:rect id="Rectangle 5" o:spid="_x0000_s1034"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mjAm2AAAAAoBAAAPAAAAAAAAAAEAIAAAACIAAABkcnMvZG93bnJldi54&#10;bWxQSwECFAAUAAAACACHTuJArWJr2DMCAACLBAAADgAAAAAAAAABACAAAAAnAQAAZHJzL2Uyb0Rv&#10;Yy54bWxQSwUGAAAAAAYABgBZAQAAzAUAAAAA&#10;">
            <v:path/>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w:r>
    </w:p>
    <w:p w14:paraId="383A9473"/>
    <w:p w14:paraId="31B3E35F">
      <w:pPr>
        <w:pStyle w:val="11"/>
      </w:pPr>
    </w:p>
    <w:p w14:paraId="7F8FD72D"/>
    <w:p w14:paraId="59CCA7AB">
      <w:pPr>
        <w:pStyle w:val="11"/>
      </w:pPr>
    </w:p>
    <w:p w14:paraId="0C5BC26B"/>
    <w:p w14:paraId="112DE5B0">
      <w:r>
        <w:rPr>
          <w:rFonts w:ascii="宋体"/>
        </w:rPr>
        <w:pict>
          <v:rect id="_x0000_s1033" o:spid="_x0000_s1033"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IWH9fYAAAACQEAAA8AAAAAAAAAAQAgAAAAIgAAAGRycy9kb3ducmV2&#10;LnhtbFBLAQIUABQAAAAIAIdO4kDs4rHRNQIAAIsEAAAOAAAAAAAAAAEAIAAAACcBAABkcnMvZTJv&#10;RG9jLnhtbFBLBQYAAAAABgAGAFkBAADOBQAAAAA=&#10;">
            <v:path/>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w:pict>
          <v:rect id="矩形 4" o:spid="_x0000_s1032"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path/>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w:r>
      <w:r>
        <w:rPr>
          <w:rFonts w:ascii="宋体"/>
          <w:b/>
          <w:bCs/>
        </w:rPr>
        <w:pict>
          <v:rect id="矩形 5" o:spid="_x0000_s1031"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path/>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投标人单位名称：</w:t>
      </w:r>
      <w:r>
        <w:rPr>
          <w:rFonts w:hint="eastAsia" w:ascii="宋体" w:hAnsi="宋体" w:eastAsia="宋体" w:cs="宋体"/>
          <w:color w:val="000000" w:themeColor="text1"/>
          <w:sz w:val="24"/>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913563"/>
      <w:bookmarkStart w:id="29" w:name="_Hlk126044986"/>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65FB5F6D">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57FCA67-BB0B-4702-8A9C-A182FF3A613E}"/>
  </w:font>
  <w:font w:name="黑体">
    <w:panose1 w:val="02010609060101010101"/>
    <w:charset w:val="86"/>
    <w:family w:val="auto"/>
    <w:pitch w:val="default"/>
    <w:sig w:usb0="800002BF" w:usb1="38CF7CFA" w:usb2="00000016" w:usb3="00000000" w:csb0="00040001" w:csb1="00000000"/>
    <w:embedRegular r:id="rId2" w:fontKey="{85FF2D83-C972-4359-9361-4AD8A4295E5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C5A45D6D-BE1E-4EFA-AC6C-8722649E9CCC}"/>
  </w:font>
  <w:font w:name="Cambria">
    <w:panose1 w:val="02040503050406030204"/>
    <w:charset w:val="00"/>
    <w:family w:val="roman"/>
    <w:pitch w:val="default"/>
    <w:sig w:usb0="E00006FF" w:usb1="420024FF" w:usb2="02000000" w:usb3="00000000" w:csb0="2000019F" w:csb1="00000000"/>
  </w:font>
  <w:font w:name="隶书">
    <w:altName w:val="Arial Unicode MS"/>
    <w:panose1 w:val="02010509060101010101"/>
    <w:charset w:val="86"/>
    <w:family w:val="modern"/>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embedRegular r:id="rId4" w:fontKey="{906A53F4-845F-4B43-8A92-CFAA24A57426}"/>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5" w:fontKey="{B773CCB2-E48D-4B59-A07F-D6B5E70AA200}"/>
  </w:font>
  <w:font w:name="华文中宋">
    <w:panose1 w:val="02010600040101010101"/>
    <w:charset w:val="86"/>
    <w:family w:val="auto"/>
    <w:pitch w:val="default"/>
    <w:sig w:usb0="00000287" w:usb1="080F0000" w:usb2="00000000" w:usb3="00000000" w:csb0="0004009F" w:csb1="DFD70000"/>
    <w:embedRegular r:id="rId6" w:fontKey="{2999EB6A-BE2E-4B7D-9980-C05DA794DB61}"/>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7" w:fontKey="{CC19A68B-8AB6-40DE-A082-44837FC9C44E}"/>
  </w:font>
  <w:font w:name="微软雅黑">
    <w:panose1 w:val="020B0503020204020204"/>
    <w:charset w:val="86"/>
    <w:family w:val="swiss"/>
    <w:pitch w:val="default"/>
    <w:sig w:usb0="80000287" w:usb1="2ACF3C50" w:usb2="00000016" w:usb3="00000000" w:csb0="0004001F" w:csb1="00000000"/>
    <w:embedRegular r:id="rId8" w:fontKey="{65CB2390-9CA3-4BB3-9570-925CBC25C1DB}"/>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9" w:fontKey="{C28161DD-8E77-42F6-975A-DD543A0F9A64}"/>
  </w:font>
  <w:font w:name="方正小标宋_GBK">
    <w:panose1 w:val="02000000000000000000"/>
    <w:charset w:val="86"/>
    <w:family w:val="script"/>
    <w:pitch w:val="default"/>
    <w:sig w:usb0="A00002BF" w:usb1="38CF7CFA" w:usb2="00082016" w:usb3="00000000" w:csb0="00040001" w:csb1="00000000"/>
    <w:embedRegular r:id="rId10" w:fontKey="{6EF0B5E8-5C42-4B3B-AF05-7A7372478638}"/>
  </w:font>
  <w:font w:name="WPSEMBED1">
    <w:panose1 w:val="020B0604020202020204"/>
    <w:charset w:val="86"/>
    <w:family w:val="auto"/>
    <w:pitch w:val="default"/>
    <w:sig w:usb0="FFFFFFFF" w:usb1="E9FFFFFF" w:usb2="0000003F" w:usb3="00000000" w:csb0="603F01FF" w:csb1="FFFF0000"/>
  </w:font>
  <w:font w:name="WPSEMBED2">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8605B">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w:pict>
        <v:shape id="_x0000_s2049" o:spid="_x0000_s2049"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path/>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28862">
    <w:pPr>
      <w:pStyle w:val="19"/>
      <w:jc w:val="center"/>
    </w:pPr>
    <w:r>
      <w:fldChar w:fldCharType="begin"/>
    </w:r>
    <w:r>
      <w:instrText xml:space="preserve">PAGE   \* MERGEFORMAT</w:instrText>
    </w:r>
    <w:r>
      <w:fldChar w:fldCharType="separate"/>
    </w:r>
    <w:r>
      <w:rPr>
        <w:lang w:val="zh-CN"/>
      </w:rPr>
      <w:t>59</w:t>
    </w:r>
    <w:r>
      <w:rPr>
        <w:lang w:val="zh-CN"/>
      </w:rPr>
      <w:fldChar w:fldCharType="end"/>
    </w:r>
  </w:p>
  <w:p w14:paraId="6F9BD299">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9">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6B6CA1F"/>
    <w:multiLevelType w:val="singleLevel"/>
    <w:tmpl w:val="36B6CA1F"/>
    <w:lvl w:ilvl="0" w:tentative="0">
      <w:start w:val="1"/>
      <w:numFmt w:val="decimal"/>
      <w:lvlText w:val="(%1)"/>
      <w:lvlJc w:val="left"/>
      <w:pPr>
        <w:ind w:left="425" w:hanging="425"/>
      </w:pPr>
      <w:rPr>
        <w:rFonts w:hint="default"/>
      </w:rPr>
    </w:lvl>
  </w:abstractNum>
  <w:abstractNum w:abstractNumId="16">
    <w:nsid w:val="3DF4FAB0"/>
    <w:multiLevelType w:val="singleLevel"/>
    <w:tmpl w:val="3DF4FAB0"/>
    <w:lvl w:ilvl="0" w:tentative="0">
      <w:start w:val="1"/>
      <w:numFmt w:val="decimal"/>
      <w:lvlText w:val="(%1)"/>
      <w:lvlJc w:val="left"/>
      <w:pPr>
        <w:ind w:left="425" w:hanging="425"/>
      </w:pPr>
      <w:rPr>
        <w:rFonts w:hint="default"/>
      </w:rPr>
    </w:lvl>
  </w:abstractNum>
  <w:abstractNum w:abstractNumId="17">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8">
    <w:nsid w:val="4588B6C0"/>
    <w:multiLevelType w:val="singleLevel"/>
    <w:tmpl w:val="4588B6C0"/>
    <w:lvl w:ilvl="0" w:tentative="0">
      <w:start w:val="1"/>
      <w:numFmt w:val="decimal"/>
      <w:suff w:val="nothing"/>
      <w:lvlText w:val="（%1）"/>
      <w:lvlJc w:val="left"/>
      <w:pPr>
        <w:ind w:left="630"/>
      </w:pPr>
    </w:lvl>
  </w:abstractNum>
  <w:abstractNum w:abstractNumId="19">
    <w:nsid w:val="4806A50A"/>
    <w:multiLevelType w:val="singleLevel"/>
    <w:tmpl w:val="4806A50A"/>
    <w:lvl w:ilvl="0" w:tentative="0">
      <w:start w:val="1"/>
      <w:numFmt w:val="decimal"/>
      <w:lvlText w:val="%1)"/>
      <w:lvlJc w:val="left"/>
      <w:pPr>
        <w:ind w:left="425" w:hanging="425"/>
      </w:pPr>
      <w:rPr>
        <w:rFonts w:hint="default"/>
      </w:rPr>
    </w:lvl>
  </w:abstractNum>
  <w:abstractNum w:abstractNumId="20">
    <w:nsid w:val="48C58054"/>
    <w:multiLevelType w:val="singleLevel"/>
    <w:tmpl w:val="48C58054"/>
    <w:lvl w:ilvl="0" w:tentative="0">
      <w:start w:val="6"/>
      <w:numFmt w:val="chineseCounting"/>
      <w:suff w:val="nothing"/>
      <w:lvlText w:val="%1、"/>
      <w:lvlJc w:val="left"/>
      <w:rPr>
        <w:rFonts w:hint="eastAsia"/>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2BF6775"/>
    <w:multiLevelType w:val="singleLevel"/>
    <w:tmpl w:val="72BF6775"/>
    <w:lvl w:ilvl="0" w:tentative="0">
      <w:start w:val="1"/>
      <w:numFmt w:val="decimal"/>
      <w:lvlText w:val="%1)"/>
      <w:lvlJc w:val="left"/>
      <w:pPr>
        <w:ind w:left="425" w:hanging="425"/>
      </w:pPr>
      <w:rPr>
        <w:rFonts w:hint="default"/>
      </w:rPr>
    </w:lvl>
  </w:abstractNum>
  <w:abstractNum w:abstractNumId="28">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1"/>
  </w:num>
  <w:num w:numId="3">
    <w:abstractNumId w:val="12"/>
  </w:num>
  <w:num w:numId="4">
    <w:abstractNumId w:val="6"/>
  </w:num>
  <w:num w:numId="5">
    <w:abstractNumId w:val="14"/>
  </w:num>
  <w:num w:numId="6">
    <w:abstractNumId w:val="8"/>
  </w:num>
  <w:num w:numId="7">
    <w:abstractNumId w:val="22"/>
  </w:num>
  <w:num w:numId="8">
    <w:abstractNumId w:val="21"/>
  </w:num>
  <w:num w:numId="9">
    <w:abstractNumId w:val="2"/>
  </w:num>
  <w:num w:numId="10">
    <w:abstractNumId w:val="16"/>
  </w:num>
  <w:num w:numId="11">
    <w:abstractNumId w:val="10"/>
  </w:num>
  <w:num w:numId="12">
    <w:abstractNumId w:val="9"/>
  </w:num>
  <w:num w:numId="13">
    <w:abstractNumId w:val="28"/>
  </w:num>
  <w:num w:numId="14">
    <w:abstractNumId w:val="15"/>
  </w:num>
  <w:num w:numId="15">
    <w:abstractNumId w:val="27"/>
  </w:num>
  <w:num w:numId="16">
    <w:abstractNumId w:val="24"/>
  </w:num>
  <w:num w:numId="17">
    <w:abstractNumId w:val="19"/>
  </w:num>
  <w:num w:numId="18">
    <w:abstractNumId w:val="20"/>
  </w:num>
  <w:num w:numId="19">
    <w:abstractNumId w:val="13"/>
  </w:num>
  <w:num w:numId="20">
    <w:abstractNumId w:val="18"/>
  </w:num>
  <w:num w:numId="21">
    <w:abstractNumId w:val="4"/>
  </w:num>
  <w:num w:numId="22">
    <w:abstractNumId w:val="25"/>
  </w:num>
  <w:num w:numId="23">
    <w:abstractNumId w:val="7"/>
  </w:num>
  <w:num w:numId="24">
    <w:abstractNumId w:val="5"/>
  </w:num>
  <w:num w:numId="25">
    <w:abstractNumId w:val="17"/>
  </w:num>
  <w:num w:numId="26">
    <w:abstractNumId w:val="11"/>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10D"/>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3695"/>
    <w:rsid w:val="00284EB3"/>
    <w:rsid w:val="00286372"/>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4948"/>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812"/>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23F"/>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240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2F6"/>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6E26EE"/>
    <w:rsid w:val="030E2569"/>
    <w:rsid w:val="031C69F7"/>
    <w:rsid w:val="03350C22"/>
    <w:rsid w:val="033B50CF"/>
    <w:rsid w:val="036C3027"/>
    <w:rsid w:val="03BD1657"/>
    <w:rsid w:val="03ED6E84"/>
    <w:rsid w:val="04C609C8"/>
    <w:rsid w:val="04CE3D21"/>
    <w:rsid w:val="04E35A1E"/>
    <w:rsid w:val="059E1E1A"/>
    <w:rsid w:val="05AC5740"/>
    <w:rsid w:val="05F477B7"/>
    <w:rsid w:val="062A4F87"/>
    <w:rsid w:val="066426AB"/>
    <w:rsid w:val="069A7EED"/>
    <w:rsid w:val="06AE7ADB"/>
    <w:rsid w:val="06CE7C54"/>
    <w:rsid w:val="0722284A"/>
    <w:rsid w:val="07A05F2C"/>
    <w:rsid w:val="08403A7A"/>
    <w:rsid w:val="085546C8"/>
    <w:rsid w:val="08A273DD"/>
    <w:rsid w:val="09181A0E"/>
    <w:rsid w:val="09303623"/>
    <w:rsid w:val="09491AC5"/>
    <w:rsid w:val="096440B1"/>
    <w:rsid w:val="09FA4319"/>
    <w:rsid w:val="0A243FBF"/>
    <w:rsid w:val="0A263C68"/>
    <w:rsid w:val="0A5667CD"/>
    <w:rsid w:val="0B0954D3"/>
    <w:rsid w:val="0B3A73A1"/>
    <w:rsid w:val="0B4A6058"/>
    <w:rsid w:val="0B53018B"/>
    <w:rsid w:val="0BE95409"/>
    <w:rsid w:val="0C70073F"/>
    <w:rsid w:val="0C9B1CCF"/>
    <w:rsid w:val="0CB1143F"/>
    <w:rsid w:val="0CCE2622"/>
    <w:rsid w:val="0E085C48"/>
    <w:rsid w:val="0E1034F8"/>
    <w:rsid w:val="0EBB3AA4"/>
    <w:rsid w:val="0FAD08ED"/>
    <w:rsid w:val="0FCE2E27"/>
    <w:rsid w:val="100D0676"/>
    <w:rsid w:val="10114FA7"/>
    <w:rsid w:val="10A23C41"/>
    <w:rsid w:val="10C27CB2"/>
    <w:rsid w:val="110325DC"/>
    <w:rsid w:val="113373E5"/>
    <w:rsid w:val="11432541"/>
    <w:rsid w:val="12B1205F"/>
    <w:rsid w:val="13B44A8A"/>
    <w:rsid w:val="13EC0A8A"/>
    <w:rsid w:val="13FA337D"/>
    <w:rsid w:val="14175BB0"/>
    <w:rsid w:val="147902B3"/>
    <w:rsid w:val="148A7D85"/>
    <w:rsid w:val="14922FE9"/>
    <w:rsid w:val="14EE3866"/>
    <w:rsid w:val="150C1BA5"/>
    <w:rsid w:val="15180BA4"/>
    <w:rsid w:val="153A6B71"/>
    <w:rsid w:val="15420113"/>
    <w:rsid w:val="15DC43E5"/>
    <w:rsid w:val="15E1204C"/>
    <w:rsid w:val="162636BC"/>
    <w:rsid w:val="16503E5D"/>
    <w:rsid w:val="16714F7E"/>
    <w:rsid w:val="16822017"/>
    <w:rsid w:val="16F05D79"/>
    <w:rsid w:val="171A032B"/>
    <w:rsid w:val="17324FA7"/>
    <w:rsid w:val="17DA4149"/>
    <w:rsid w:val="18510A99"/>
    <w:rsid w:val="188340A0"/>
    <w:rsid w:val="18B35F28"/>
    <w:rsid w:val="18C84236"/>
    <w:rsid w:val="190B1E92"/>
    <w:rsid w:val="19120651"/>
    <w:rsid w:val="19285BF1"/>
    <w:rsid w:val="193D15C5"/>
    <w:rsid w:val="19A23C56"/>
    <w:rsid w:val="1A845156"/>
    <w:rsid w:val="1AAC3EC2"/>
    <w:rsid w:val="1AF94279"/>
    <w:rsid w:val="1B51155A"/>
    <w:rsid w:val="1BE14C7B"/>
    <w:rsid w:val="1BF81957"/>
    <w:rsid w:val="1C6360EC"/>
    <w:rsid w:val="1C9F19A7"/>
    <w:rsid w:val="1D122527"/>
    <w:rsid w:val="1D471F18"/>
    <w:rsid w:val="1D752BCD"/>
    <w:rsid w:val="1DA430AA"/>
    <w:rsid w:val="1E141DF9"/>
    <w:rsid w:val="1EAB60A6"/>
    <w:rsid w:val="1EAE474B"/>
    <w:rsid w:val="1F1B41F1"/>
    <w:rsid w:val="1F984D1E"/>
    <w:rsid w:val="1F9F0833"/>
    <w:rsid w:val="1FB5190D"/>
    <w:rsid w:val="1FFB05D4"/>
    <w:rsid w:val="20B25CBE"/>
    <w:rsid w:val="20D81D57"/>
    <w:rsid w:val="20E26732"/>
    <w:rsid w:val="21951A7A"/>
    <w:rsid w:val="21DC5877"/>
    <w:rsid w:val="21EF69DC"/>
    <w:rsid w:val="21F26E49"/>
    <w:rsid w:val="227616EA"/>
    <w:rsid w:val="23B4085A"/>
    <w:rsid w:val="23C44815"/>
    <w:rsid w:val="249E5BD9"/>
    <w:rsid w:val="24B05A43"/>
    <w:rsid w:val="24FA69A0"/>
    <w:rsid w:val="25335A76"/>
    <w:rsid w:val="257965BE"/>
    <w:rsid w:val="25897742"/>
    <w:rsid w:val="25DC0BEB"/>
    <w:rsid w:val="26013AFE"/>
    <w:rsid w:val="266F0A28"/>
    <w:rsid w:val="2677791D"/>
    <w:rsid w:val="268A42C5"/>
    <w:rsid w:val="26BE6F37"/>
    <w:rsid w:val="26F9251C"/>
    <w:rsid w:val="27AB0837"/>
    <w:rsid w:val="27BF157B"/>
    <w:rsid w:val="281B3EE1"/>
    <w:rsid w:val="28BB6273"/>
    <w:rsid w:val="2955346A"/>
    <w:rsid w:val="29B33674"/>
    <w:rsid w:val="2A2242DE"/>
    <w:rsid w:val="2A29419B"/>
    <w:rsid w:val="2A7D4161"/>
    <w:rsid w:val="2B1E396A"/>
    <w:rsid w:val="2BBE4A09"/>
    <w:rsid w:val="2CED6B8B"/>
    <w:rsid w:val="2D2325AC"/>
    <w:rsid w:val="2D81021F"/>
    <w:rsid w:val="2DF5037E"/>
    <w:rsid w:val="2EAF3C05"/>
    <w:rsid w:val="2EBE628C"/>
    <w:rsid w:val="2EC151A8"/>
    <w:rsid w:val="2FA22E86"/>
    <w:rsid w:val="300C7BD4"/>
    <w:rsid w:val="307D0DF5"/>
    <w:rsid w:val="30DF10B2"/>
    <w:rsid w:val="310D5099"/>
    <w:rsid w:val="31113FD6"/>
    <w:rsid w:val="311356ED"/>
    <w:rsid w:val="31AA329C"/>
    <w:rsid w:val="31EE248D"/>
    <w:rsid w:val="33097BA0"/>
    <w:rsid w:val="340B487E"/>
    <w:rsid w:val="34627E5E"/>
    <w:rsid w:val="34876E3B"/>
    <w:rsid w:val="34D53509"/>
    <w:rsid w:val="355A337B"/>
    <w:rsid w:val="35A46755"/>
    <w:rsid w:val="35B423F0"/>
    <w:rsid w:val="35D12BCA"/>
    <w:rsid w:val="362F5B1E"/>
    <w:rsid w:val="36607729"/>
    <w:rsid w:val="36DB2EFD"/>
    <w:rsid w:val="36F63881"/>
    <w:rsid w:val="37295B73"/>
    <w:rsid w:val="373777F1"/>
    <w:rsid w:val="373E02C1"/>
    <w:rsid w:val="37B27395"/>
    <w:rsid w:val="38273E27"/>
    <w:rsid w:val="386550F4"/>
    <w:rsid w:val="38AA4085"/>
    <w:rsid w:val="38C004AE"/>
    <w:rsid w:val="399D0437"/>
    <w:rsid w:val="3A257964"/>
    <w:rsid w:val="3A4A0C98"/>
    <w:rsid w:val="3A736BBC"/>
    <w:rsid w:val="3AA52CC3"/>
    <w:rsid w:val="3AB504FA"/>
    <w:rsid w:val="3B7E6DB2"/>
    <w:rsid w:val="3B83690E"/>
    <w:rsid w:val="3C355E58"/>
    <w:rsid w:val="3CFF2D9A"/>
    <w:rsid w:val="3D0D4208"/>
    <w:rsid w:val="3D186F6A"/>
    <w:rsid w:val="3D22593A"/>
    <w:rsid w:val="3D23235E"/>
    <w:rsid w:val="3D5460D2"/>
    <w:rsid w:val="3DEB2C72"/>
    <w:rsid w:val="3DFD6502"/>
    <w:rsid w:val="3E4D1237"/>
    <w:rsid w:val="3E9F68DA"/>
    <w:rsid w:val="3F446ADE"/>
    <w:rsid w:val="3FED5CCD"/>
    <w:rsid w:val="400D4BB3"/>
    <w:rsid w:val="405921F0"/>
    <w:rsid w:val="4091460B"/>
    <w:rsid w:val="40CF687B"/>
    <w:rsid w:val="41204B7C"/>
    <w:rsid w:val="416D6A0E"/>
    <w:rsid w:val="417D1DC2"/>
    <w:rsid w:val="43577097"/>
    <w:rsid w:val="44687A85"/>
    <w:rsid w:val="446B68BB"/>
    <w:rsid w:val="44E42F3B"/>
    <w:rsid w:val="452D1052"/>
    <w:rsid w:val="456B1659"/>
    <w:rsid w:val="456E0719"/>
    <w:rsid w:val="45C06792"/>
    <w:rsid w:val="45D43FEC"/>
    <w:rsid w:val="45F33725"/>
    <w:rsid w:val="46756E72"/>
    <w:rsid w:val="46813D02"/>
    <w:rsid w:val="473A07C7"/>
    <w:rsid w:val="474A1318"/>
    <w:rsid w:val="4760687D"/>
    <w:rsid w:val="4810218B"/>
    <w:rsid w:val="494A2E38"/>
    <w:rsid w:val="498F35C1"/>
    <w:rsid w:val="49BD05D0"/>
    <w:rsid w:val="4A0A5CC7"/>
    <w:rsid w:val="4A307253"/>
    <w:rsid w:val="4A6C0158"/>
    <w:rsid w:val="4AB41B33"/>
    <w:rsid w:val="4B110BE1"/>
    <w:rsid w:val="4B2A4158"/>
    <w:rsid w:val="4B6824FD"/>
    <w:rsid w:val="4BA06D7E"/>
    <w:rsid w:val="4BDF11B3"/>
    <w:rsid w:val="4C404C08"/>
    <w:rsid w:val="4CBB3066"/>
    <w:rsid w:val="4CBE2591"/>
    <w:rsid w:val="4CBE5242"/>
    <w:rsid w:val="4CD51A8F"/>
    <w:rsid w:val="4CEB6A0D"/>
    <w:rsid w:val="4D473FEB"/>
    <w:rsid w:val="4DBA7F6B"/>
    <w:rsid w:val="4E310299"/>
    <w:rsid w:val="4E3E74CF"/>
    <w:rsid w:val="4E4F6905"/>
    <w:rsid w:val="4E805282"/>
    <w:rsid w:val="4EF852D8"/>
    <w:rsid w:val="4F012557"/>
    <w:rsid w:val="4FDF1192"/>
    <w:rsid w:val="50453910"/>
    <w:rsid w:val="505226DD"/>
    <w:rsid w:val="50637FC5"/>
    <w:rsid w:val="50802732"/>
    <w:rsid w:val="5080549C"/>
    <w:rsid w:val="50BC39B4"/>
    <w:rsid w:val="50C56D57"/>
    <w:rsid w:val="51271DBC"/>
    <w:rsid w:val="51316A2D"/>
    <w:rsid w:val="522B3C43"/>
    <w:rsid w:val="52770955"/>
    <w:rsid w:val="52EB37B7"/>
    <w:rsid w:val="52EC1CEA"/>
    <w:rsid w:val="53192C95"/>
    <w:rsid w:val="53281FE3"/>
    <w:rsid w:val="532D1418"/>
    <w:rsid w:val="5359798D"/>
    <w:rsid w:val="53607807"/>
    <w:rsid w:val="53844041"/>
    <w:rsid w:val="53A16DA2"/>
    <w:rsid w:val="5486329D"/>
    <w:rsid w:val="55631BDD"/>
    <w:rsid w:val="5577489C"/>
    <w:rsid w:val="55BA07E5"/>
    <w:rsid w:val="55E90150"/>
    <w:rsid w:val="56584D0B"/>
    <w:rsid w:val="56C65201"/>
    <w:rsid w:val="57177BE7"/>
    <w:rsid w:val="573E4B0A"/>
    <w:rsid w:val="577E687E"/>
    <w:rsid w:val="57E119D2"/>
    <w:rsid w:val="57ED67F5"/>
    <w:rsid w:val="588D13BE"/>
    <w:rsid w:val="592E63F2"/>
    <w:rsid w:val="59462FFB"/>
    <w:rsid w:val="59AB76A3"/>
    <w:rsid w:val="59F6057D"/>
    <w:rsid w:val="5A292701"/>
    <w:rsid w:val="5A71707D"/>
    <w:rsid w:val="5AC3366B"/>
    <w:rsid w:val="5AFB10E6"/>
    <w:rsid w:val="5C052CF9"/>
    <w:rsid w:val="5C5E62C9"/>
    <w:rsid w:val="5C637545"/>
    <w:rsid w:val="5CC32BAF"/>
    <w:rsid w:val="5E2C0A11"/>
    <w:rsid w:val="5E6D4EFE"/>
    <w:rsid w:val="5EB034DE"/>
    <w:rsid w:val="5EC15AC0"/>
    <w:rsid w:val="5ECA1FD8"/>
    <w:rsid w:val="5ED7545C"/>
    <w:rsid w:val="5EED3477"/>
    <w:rsid w:val="5F1017E6"/>
    <w:rsid w:val="5F77638B"/>
    <w:rsid w:val="5FDB06E4"/>
    <w:rsid w:val="60C42704"/>
    <w:rsid w:val="60FE4811"/>
    <w:rsid w:val="61DB5207"/>
    <w:rsid w:val="624D5485"/>
    <w:rsid w:val="625B3C89"/>
    <w:rsid w:val="627B3857"/>
    <w:rsid w:val="62EF4D77"/>
    <w:rsid w:val="63147DC8"/>
    <w:rsid w:val="63195E00"/>
    <w:rsid w:val="6344708E"/>
    <w:rsid w:val="638A1A0D"/>
    <w:rsid w:val="63D62FF5"/>
    <w:rsid w:val="64D91F61"/>
    <w:rsid w:val="651915C4"/>
    <w:rsid w:val="65F00D0C"/>
    <w:rsid w:val="660A4DD7"/>
    <w:rsid w:val="662841B4"/>
    <w:rsid w:val="665713E0"/>
    <w:rsid w:val="66C33EDD"/>
    <w:rsid w:val="67714DB8"/>
    <w:rsid w:val="67787E6E"/>
    <w:rsid w:val="677E3D99"/>
    <w:rsid w:val="67BA3663"/>
    <w:rsid w:val="682503E0"/>
    <w:rsid w:val="696B473F"/>
    <w:rsid w:val="69F6673E"/>
    <w:rsid w:val="6A480FCB"/>
    <w:rsid w:val="6B121168"/>
    <w:rsid w:val="6B4240BA"/>
    <w:rsid w:val="6B99622E"/>
    <w:rsid w:val="6BCF7654"/>
    <w:rsid w:val="6C1F1AD0"/>
    <w:rsid w:val="6C3111FA"/>
    <w:rsid w:val="6CC61070"/>
    <w:rsid w:val="6CE25242"/>
    <w:rsid w:val="6D4653C0"/>
    <w:rsid w:val="6DC009DD"/>
    <w:rsid w:val="6E283FD4"/>
    <w:rsid w:val="6E4C1730"/>
    <w:rsid w:val="6E5B59D0"/>
    <w:rsid w:val="6E8E69EC"/>
    <w:rsid w:val="6E9758D2"/>
    <w:rsid w:val="6F751AEC"/>
    <w:rsid w:val="70127ACB"/>
    <w:rsid w:val="70380052"/>
    <w:rsid w:val="70827584"/>
    <w:rsid w:val="708B5A6B"/>
    <w:rsid w:val="710D3D1B"/>
    <w:rsid w:val="7131029F"/>
    <w:rsid w:val="71BB14B3"/>
    <w:rsid w:val="72C93C83"/>
    <w:rsid w:val="73B56776"/>
    <w:rsid w:val="74333BE9"/>
    <w:rsid w:val="74766D2B"/>
    <w:rsid w:val="748C2DA2"/>
    <w:rsid w:val="74B925FE"/>
    <w:rsid w:val="74BB4498"/>
    <w:rsid w:val="74E7523A"/>
    <w:rsid w:val="753F5076"/>
    <w:rsid w:val="7542758E"/>
    <w:rsid w:val="75534F10"/>
    <w:rsid w:val="75805E1A"/>
    <w:rsid w:val="75886FA4"/>
    <w:rsid w:val="758919A7"/>
    <w:rsid w:val="75AD3D2D"/>
    <w:rsid w:val="76B73EBA"/>
    <w:rsid w:val="76C45185"/>
    <w:rsid w:val="77A13DC6"/>
    <w:rsid w:val="77B7713E"/>
    <w:rsid w:val="77BF58CF"/>
    <w:rsid w:val="784D29BC"/>
    <w:rsid w:val="79845204"/>
    <w:rsid w:val="79940985"/>
    <w:rsid w:val="79DE04A6"/>
    <w:rsid w:val="79E629C5"/>
    <w:rsid w:val="7A117FF0"/>
    <w:rsid w:val="7A5B35CF"/>
    <w:rsid w:val="7A6056B2"/>
    <w:rsid w:val="7A993117"/>
    <w:rsid w:val="7A9D4552"/>
    <w:rsid w:val="7B373030"/>
    <w:rsid w:val="7B4B6542"/>
    <w:rsid w:val="7BF37F79"/>
    <w:rsid w:val="7CA36E25"/>
    <w:rsid w:val="7CD30F7E"/>
    <w:rsid w:val="7D9628D3"/>
    <w:rsid w:val="7E5337D1"/>
    <w:rsid w:val="7E927E43"/>
    <w:rsid w:val="7ECC507F"/>
    <w:rsid w:val="7F5C008E"/>
    <w:rsid w:val="7F617B4A"/>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66091"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lang w:eastAsia="en-US"/>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49"/>
    <customShpInfo spid="_x0000_s1035"/>
    <customShpInfo spid="_x0000_s1034"/>
    <customShpInfo spid="_x0000_s1033"/>
    <customShpInfo spid="_x0000_s1032"/>
    <customShpInfo spid="_x0000_s103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48</Pages>
  <Words>3297</Words>
  <Characters>3597</Characters>
  <Lines>30</Lines>
  <Paragraphs>69</Paragraphs>
  <TotalTime>0</TotalTime>
  <ScaleCrop>false</ScaleCrop>
  <LinksUpToDate>false</LinksUpToDate>
  <CharactersWithSpaces>3610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Lam</cp:lastModifiedBy>
  <cp:lastPrinted>2025-06-19T09:35:00Z</cp:lastPrinted>
  <dcterms:modified xsi:type="dcterms:W3CDTF">2026-01-07T03:13:28Z</dcterms:modified>
  <cp:revision>147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F5EED3578F8E4BAEAC65F8D51426E65F_13</vt:lpwstr>
  </property>
  <property fmtid="{D5CDD505-2E9C-101B-9397-08002B2CF9AE}" pid="4" name="KSOTemplateDocerSaveRecord">
    <vt:lpwstr>eyJoZGlkIjoiM2JhODljZDI1ODQ1MDczYWY2NTMwYjA0ODdmMzlkOTciLCJ1c2VySWQiOiIxNjAxNDAyNjIzIn0=</vt:lpwstr>
  </property>
</Properties>
</file>