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A45244">
      <w:pPr>
        <w:spacing w:line="560" w:lineRule="exact"/>
        <w:jc w:val="center"/>
        <w:rPr>
          <w:rFonts w:asciiTheme="majorEastAsia" w:hAnsiTheme="majorEastAsia" w:eastAsiaTheme="majorEastAsia"/>
          <w:b/>
        </w:rPr>
      </w:pPr>
      <w:r>
        <w:rPr>
          <w:rFonts w:hint="eastAsia" w:asciiTheme="majorEastAsia" w:hAnsiTheme="majorEastAsia" w:eastAsiaTheme="majorEastAsia"/>
          <w:b/>
          <w:sz w:val="44"/>
          <w:szCs w:val="44"/>
        </w:rPr>
        <w:t>中山大学附属第八医院（深圳福田）货物类</w:t>
      </w:r>
    </w:p>
    <w:p w14:paraId="700785C2">
      <w:pPr>
        <w:spacing w:line="640" w:lineRule="exact"/>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采购需求书</w:t>
      </w:r>
    </w:p>
    <w:p w14:paraId="4FCA6817">
      <w:pPr>
        <w:spacing w:line="540" w:lineRule="exact"/>
        <w:ind w:firstLine="240" w:firstLineChars="100"/>
        <w:rPr>
          <w:rFonts w:cs="微软雅黑" w:asciiTheme="majorEastAsia" w:hAnsiTheme="majorEastAsia" w:eastAsiaTheme="majorEastAsia"/>
          <w:sz w:val="36"/>
          <w:szCs w:val="36"/>
        </w:rPr>
      </w:pPr>
      <w:r>
        <w:rPr>
          <w:rFonts w:hint="eastAsia" w:cs="宋体" w:asciiTheme="majorEastAsia" w:hAnsiTheme="majorEastAsia" w:eastAsiaTheme="majorEastAsia"/>
          <w:sz w:val="24"/>
        </w:rPr>
        <w:t>说明：“★”号条款为实质性条款，必须完全满足，不满足则不予采购</w:t>
      </w:r>
    </w:p>
    <w:p w14:paraId="12D36325">
      <w:pPr>
        <w:spacing w:line="540" w:lineRule="exact"/>
        <w:ind w:firstLine="361" w:firstLineChars="100"/>
        <w:jc w:val="center"/>
        <w:rPr>
          <w:rFonts w:cs="微软雅黑" w:asciiTheme="majorEastAsia" w:hAnsiTheme="majorEastAsia" w:eastAsiaTheme="majorEastAsia"/>
          <w:b/>
          <w:sz w:val="36"/>
          <w:szCs w:val="36"/>
        </w:rPr>
      </w:pPr>
      <w:r>
        <w:rPr>
          <w:rFonts w:hint="eastAsia" w:cs="微软雅黑" w:asciiTheme="majorEastAsia" w:hAnsiTheme="majorEastAsia" w:eastAsiaTheme="majorEastAsia"/>
          <w:b/>
          <w:sz w:val="36"/>
          <w:szCs w:val="36"/>
        </w:rPr>
        <w:t>第一部分 项目基本要求</w:t>
      </w:r>
    </w:p>
    <w:p w14:paraId="196F1EE7">
      <w:pPr>
        <w:spacing w:before="100" w:beforeAutospacing="1" w:line="276" w:lineRule="auto"/>
        <w:rPr>
          <w:rFonts w:cs="微软雅黑" w:asciiTheme="majorEastAsia" w:hAnsiTheme="majorEastAsia" w:eastAsiaTheme="majorEastAsia"/>
          <w:sz w:val="32"/>
          <w:szCs w:val="32"/>
        </w:rPr>
      </w:pPr>
      <w:r>
        <w:rPr>
          <w:rFonts w:hint="eastAsia" w:cs="微软雅黑" w:asciiTheme="majorEastAsia" w:hAnsiTheme="majorEastAsia" w:eastAsiaTheme="majorEastAsia"/>
          <w:sz w:val="32"/>
          <w:szCs w:val="32"/>
        </w:rPr>
        <w:t xml:space="preserve"> 一、项目基本信息</w:t>
      </w:r>
    </w:p>
    <w:p w14:paraId="6005A0D8">
      <w:pPr>
        <w:spacing w:before="100" w:beforeAutospacing="1" w:line="276" w:lineRule="auto"/>
        <w:ind w:firstLine="482" w:firstLineChars="200"/>
        <w:rPr>
          <w:rFonts w:cs="微软雅黑" w:asciiTheme="majorEastAsia" w:hAnsiTheme="majorEastAsia" w:eastAsiaTheme="majorEastAsia"/>
          <w:sz w:val="24"/>
          <w:shd w:val="clear" w:color="auto" w:fill="FFFFFF"/>
        </w:rPr>
      </w:pPr>
      <w:r>
        <w:rPr>
          <w:rFonts w:hint="eastAsia" w:asciiTheme="majorEastAsia" w:hAnsiTheme="majorEastAsia" w:eastAsiaTheme="majorEastAsia"/>
          <w:b/>
          <w:color w:val="000000"/>
          <w:sz w:val="24"/>
          <w:szCs w:val="21"/>
        </w:rPr>
        <w:t xml:space="preserve">申请科室：               </w:t>
      </w:r>
      <w:r>
        <w:rPr>
          <w:rFonts w:hint="eastAsia" w:cs="宋体" w:asciiTheme="majorEastAsia" w:hAnsiTheme="majorEastAsia" w:eastAsiaTheme="majorEastAsia"/>
          <w:b/>
          <w:color w:val="000000"/>
          <w:sz w:val="24"/>
          <w:szCs w:val="21"/>
        </w:rPr>
        <w:t>负责人姓名：</w:t>
      </w:r>
      <w:r>
        <w:rPr>
          <w:rFonts w:hint="eastAsia" w:asciiTheme="majorEastAsia" w:hAnsiTheme="majorEastAsia" w:eastAsiaTheme="majorEastAsia"/>
          <w:b/>
          <w:color w:val="000000"/>
          <w:sz w:val="24"/>
          <w:szCs w:val="21"/>
        </w:rPr>
        <w:t xml:space="preserve">             </w:t>
      </w:r>
      <w:r>
        <w:rPr>
          <w:rFonts w:hint="eastAsia" w:cs="宋体" w:asciiTheme="majorEastAsia" w:hAnsiTheme="majorEastAsia" w:eastAsiaTheme="majorEastAsia"/>
          <w:b/>
          <w:color w:val="000000"/>
          <w:sz w:val="24"/>
          <w:szCs w:val="21"/>
        </w:rPr>
        <w:t>负责人电话：</w:t>
      </w:r>
    </w:p>
    <w:tbl>
      <w:tblPr>
        <w:tblStyle w:val="12"/>
        <w:tblW w:w="10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222"/>
        <w:gridCol w:w="1417"/>
        <w:gridCol w:w="773"/>
        <w:gridCol w:w="786"/>
        <w:gridCol w:w="64"/>
        <w:gridCol w:w="517"/>
        <w:gridCol w:w="553"/>
        <w:gridCol w:w="773"/>
        <w:gridCol w:w="142"/>
        <w:gridCol w:w="992"/>
        <w:gridCol w:w="992"/>
        <w:gridCol w:w="993"/>
        <w:gridCol w:w="1062"/>
      </w:tblGrid>
      <w:tr w14:paraId="112EB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3"/>
          </w:tcPr>
          <w:p w14:paraId="4102D721">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申请设备名称</w:t>
            </w:r>
          </w:p>
        </w:tc>
        <w:tc>
          <w:tcPr>
            <w:tcW w:w="1559" w:type="dxa"/>
            <w:gridSpan w:val="2"/>
          </w:tcPr>
          <w:p w14:paraId="009409D8">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1134" w:type="dxa"/>
            <w:gridSpan w:val="3"/>
          </w:tcPr>
          <w:p w14:paraId="1265843A">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915" w:type="dxa"/>
            <w:gridSpan w:val="2"/>
          </w:tcPr>
          <w:p w14:paraId="2C2426CA">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984" w:type="dxa"/>
            <w:gridSpan w:val="2"/>
          </w:tcPr>
          <w:p w14:paraId="50FE57F5">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2055" w:type="dxa"/>
            <w:gridSpan w:val="2"/>
          </w:tcPr>
          <w:p w14:paraId="11D338D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r>
      <w:tr w14:paraId="6533F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3"/>
            <w:vAlign w:val="center"/>
          </w:tcPr>
          <w:p w14:paraId="4D73E279">
            <w:pPr>
              <w:spacing w:line="276" w:lineRule="auto"/>
              <w:jc w:val="center"/>
              <w:rPr>
                <w:rFonts w:hint="default" w:asciiTheme="majorEastAsia" w:hAnsiTheme="majorEastAsia" w:eastAsiaTheme="majorEastAsia"/>
                <w:sz w:val="24"/>
                <w:szCs w:val="21"/>
                <w:lang w:val="en-US" w:eastAsia="zh-CN"/>
              </w:rPr>
            </w:pPr>
            <w:r>
              <w:rPr>
                <w:rFonts w:hint="eastAsia" w:asciiTheme="majorEastAsia" w:hAnsiTheme="majorEastAsia" w:eastAsiaTheme="majorEastAsia"/>
                <w:b/>
                <w:sz w:val="24"/>
                <w:szCs w:val="21"/>
                <w:lang w:val="en-US" w:eastAsia="zh-CN"/>
              </w:rPr>
              <w:t>口腔高频电刀</w:t>
            </w:r>
          </w:p>
        </w:tc>
        <w:tc>
          <w:tcPr>
            <w:tcW w:w="1559" w:type="dxa"/>
            <w:gridSpan w:val="2"/>
            <w:vAlign w:val="center"/>
          </w:tcPr>
          <w:p w14:paraId="2CDEDDFB">
            <w:pPr>
              <w:spacing w:line="276" w:lineRule="auto"/>
              <w:jc w:val="center"/>
              <w:rPr>
                <w:rFonts w:hint="eastAsia" w:asciiTheme="majorEastAsia" w:hAnsiTheme="majorEastAsia" w:eastAsiaTheme="majorEastAsia"/>
                <w:sz w:val="24"/>
                <w:szCs w:val="21"/>
                <w:lang w:val="en-US" w:eastAsia="zh-CN"/>
              </w:rPr>
            </w:pPr>
            <w:r>
              <w:rPr>
                <w:rFonts w:hint="eastAsia" w:asciiTheme="majorEastAsia" w:hAnsiTheme="majorEastAsia" w:eastAsiaTheme="majorEastAsia"/>
                <w:b/>
                <w:sz w:val="24"/>
                <w:szCs w:val="21"/>
                <w:lang w:val="en-US" w:eastAsia="zh-CN"/>
              </w:rPr>
              <w:t>进口</w:t>
            </w:r>
          </w:p>
        </w:tc>
        <w:tc>
          <w:tcPr>
            <w:tcW w:w="1134" w:type="dxa"/>
            <w:gridSpan w:val="3"/>
            <w:vAlign w:val="center"/>
          </w:tcPr>
          <w:p w14:paraId="1ABD5AD9">
            <w:pPr>
              <w:spacing w:line="276" w:lineRule="auto"/>
              <w:jc w:val="center"/>
              <w:rPr>
                <w:rFonts w:hint="eastAsia" w:asciiTheme="majorEastAsia" w:hAnsiTheme="majorEastAsia" w:eastAsiaTheme="majorEastAsia"/>
                <w:sz w:val="24"/>
                <w:szCs w:val="21"/>
                <w:lang w:val="en-US" w:eastAsia="zh-CN"/>
              </w:rPr>
            </w:pPr>
            <w:r>
              <w:rPr>
                <w:rFonts w:hint="eastAsia" w:asciiTheme="majorEastAsia" w:hAnsiTheme="majorEastAsia" w:eastAsiaTheme="majorEastAsia"/>
                <w:b/>
                <w:sz w:val="24"/>
                <w:szCs w:val="21"/>
                <w:lang w:val="en-US" w:eastAsia="zh-CN"/>
              </w:rPr>
              <w:t>1</w:t>
            </w:r>
          </w:p>
        </w:tc>
        <w:tc>
          <w:tcPr>
            <w:tcW w:w="915" w:type="dxa"/>
            <w:gridSpan w:val="2"/>
            <w:vAlign w:val="center"/>
          </w:tcPr>
          <w:p w14:paraId="3FA7A226">
            <w:pPr>
              <w:spacing w:line="276" w:lineRule="auto"/>
              <w:jc w:val="center"/>
              <w:rPr>
                <w:rFonts w:hint="eastAsia" w:asciiTheme="majorEastAsia" w:hAnsiTheme="majorEastAsia" w:eastAsiaTheme="majorEastAsia"/>
                <w:sz w:val="24"/>
                <w:szCs w:val="21"/>
                <w:lang w:val="en-US" w:eastAsia="zh-CN"/>
              </w:rPr>
            </w:pPr>
            <w:r>
              <w:rPr>
                <w:rFonts w:hint="eastAsia" w:asciiTheme="majorEastAsia" w:hAnsiTheme="majorEastAsia" w:eastAsiaTheme="majorEastAsia"/>
                <w:b/>
                <w:sz w:val="24"/>
                <w:szCs w:val="21"/>
                <w:lang w:val="en-US" w:eastAsia="zh-CN"/>
              </w:rPr>
              <w:t>台</w:t>
            </w:r>
          </w:p>
        </w:tc>
        <w:tc>
          <w:tcPr>
            <w:tcW w:w="1984" w:type="dxa"/>
            <w:gridSpan w:val="2"/>
            <w:vAlign w:val="center"/>
          </w:tcPr>
          <w:p w14:paraId="117F2D7E">
            <w:pPr>
              <w:keepNext w:val="0"/>
              <w:keepLines w:val="0"/>
              <w:widowControl/>
              <w:suppressLineNumbers w:val="0"/>
              <w:jc w:val="center"/>
              <w:textAlignment w:val="center"/>
              <w:rPr>
                <w:rFonts w:hint="default" w:asciiTheme="majorEastAsia" w:hAnsiTheme="majorEastAsia" w:eastAsiaTheme="majorEastAsia"/>
                <w:sz w:val="24"/>
                <w:szCs w:val="21"/>
                <w:lang w:val="en-US" w:eastAsia="zh-CN"/>
              </w:rPr>
            </w:pPr>
            <w:r>
              <w:rPr>
                <w:rFonts w:hint="default" w:ascii="Times New Roman" w:hAnsi="Times New Roman" w:eastAsia="宋体" w:cs="Times New Roman"/>
                <w:i w:val="0"/>
                <w:iCs w:val="0"/>
                <w:color w:val="000000"/>
                <w:kern w:val="0"/>
                <w:sz w:val="22"/>
                <w:szCs w:val="22"/>
                <w:u w:val="none"/>
                <w:lang w:val="en-US" w:eastAsia="zh-CN" w:bidi="ar"/>
              </w:rPr>
              <w:t>2.45</w:t>
            </w:r>
          </w:p>
        </w:tc>
        <w:tc>
          <w:tcPr>
            <w:tcW w:w="2055" w:type="dxa"/>
            <w:gridSpan w:val="2"/>
            <w:vAlign w:val="center"/>
          </w:tcPr>
          <w:p w14:paraId="0C799BF0">
            <w:pPr>
              <w:keepNext w:val="0"/>
              <w:keepLines w:val="0"/>
              <w:widowControl/>
              <w:suppressLineNumbers w:val="0"/>
              <w:jc w:val="center"/>
              <w:textAlignment w:val="center"/>
              <w:rPr>
                <w:rFonts w:hint="default" w:asciiTheme="majorEastAsia" w:hAnsiTheme="majorEastAsia" w:eastAsiaTheme="majorEastAsia"/>
                <w:sz w:val="24"/>
                <w:szCs w:val="21"/>
                <w:lang w:val="en-US" w:eastAsia="zh-CN"/>
              </w:rPr>
            </w:pPr>
            <w:r>
              <w:rPr>
                <w:rFonts w:hint="default" w:ascii="Times New Roman" w:hAnsi="Times New Roman" w:eastAsia="宋体" w:cs="Times New Roman"/>
                <w:i w:val="0"/>
                <w:iCs w:val="0"/>
                <w:color w:val="000000"/>
                <w:kern w:val="0"/>
                <w:sz w:val="22"/>
                <w:szCs w:val="22"/>
                <w:u w:val="none"/>
                <w:lang w:val="en-US" w:eastAsia="zh-CN" w:bidi="ar"/>
              </w:rPr>
              <w:t>2.45</w:t>
            </w:r>
          </w:p>
        </w:tc>
      </w:tr>
      <w:tr w14:paraId="16DFA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53" w:type="dxa"/>
            <w:gridSpan w:val="2"/>
            <w:vAlign w:val="center"/>
          </w:tcPr>
          <w:p w14:paraId="5EA27D8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项目背景</w:t>
            </w:r>
          </w:p>
        </w:tc>
        <w:tc>
          <w:tcPr>
            <w:tcW w:w="9064" w:type="dxa"/>
            <w:gridSpan w:val="12"/>
          </w:tcPr>
          <w:p w14:paraId="53F8ACEE">
            <w:pPr>
              <w:spacing w:line="276" w:lineRule="auto"/>
              <w:ind w:firstLine="482" w:firstLineChars="200"/>
              <w:jc w:val="left"/>
              <w:rPr>
                <w:rFonts w:asciiTheme="majorEastAsia" w:hAnsiTheme="majorEastAsia" w:eastAsiaTheme="majorEastAsia"/>
                <w:sz w:val="24"/>
                <w:szCs w:val="21"/>
              </w:rPr>
            </w:pPr>
            <w:r>
              <w:rPr>
                <w:rFonts w:hint="eastAsia" w:asciiTheme="majorEastAsia" w:hAnsiTheme="majorEastAsia" w:eastAsiaTheme="majorEastAsia"/>
                <w:b/>
                <w:sz w:val="24"/>
                <w:szCs w:val="21"/>
                <w:lang w:val="en-US" w:eastAsia="zh-CN"/>
              </w:rPr>
              <w:t>现有社康需要开展口腔科为更多患者服务需要配备牙科综合治疗台，为加快口腔科学科建设，提高我区口腔疾病的治疗水平，方便临床诊疗项目的开展，确保医疗质量，减少医疗安全隐患，更好地满足口腔病人日益提高的治疗需求。申请采购数字化牙科综合治疗台。</w:t>
            </w:r>
          </w:p>
        </w:tc>
      </w:tr>
      <w:tr w14:paraId="49A17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917" w:type="dxa"/>
            <w:gridSpan w:val="14"/>
          </w:tcPr>
          <w:p w14:paraId="7C9A95DA">
            <w:pPr>
              <w:rPr>
                <w:rFonts w:cs="宋体" w:asciiTheme="majorEastAsia" w:hAnsiTheme="majorEastAsia" w:eastAsiaTheme="majorEastAsia"/>
                <w:b/>
                <w:bCs/>
                <w:sz w:val="24"/>
              </w:rPr>
            </w:pPr>
            <w:r>
              <w:rPr>
                <w:rFonts w:hint="eastAsia" w:cs="宋体" w:asciiTheme="majorEastAsia" w:hAnsiTheme="majorEastAsia" w:eastAsiaTheme="majorEastAsia"/>
                <w:b/>
                <w:sz w:val="24"/>
              </w:rPr>
              <w:t>★</w:t>
            </w:r>
            <w:r>
              <w:rPr>
                <w:rFonts w:hint="eastAsia" w:cs="宋体" w:asciiTheme="majorEastAsia" w:hAnsiTheme="majorEastAsia" w:eastAsiaTheme="majorEastAsia"/>
                <w:b/>
                <w:bCs/>
                <w:sz w:val="24"/>
              </w:rPr>
              <w:t>设备配置总清单（包括主机和各种配件或附件、试剂耗材及软件等，写明规格和数量）</w:t>
            </w:r>
          </w:p>
        </w:tc>
      </w:tr>
      <w:tr w14:paraId="71B55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2A09E28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3412" w:type="dxa"/>
            <w:gridSpan w:val="3"/>
            <w:vAlign w:val="center"/>
          </w:tcPr>
          <w:p w14:paraId="6FF2F08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850" w:type="dxa"/>
            <w:gridSpan w:val="2"/>
            <w:vAlign w:val="center"/>
          </w:tcPr>
          <w:p w14:paraId="6CC9C90F">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517" w:type="dxa"/>
            <w:vAlign w:val="center"/>
          </w:tcPr>
          <w:p w14:paraId="3CD39FD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553" w:type="dxa"/>
            <w:vAlign w:val="center"/>
          </w:tcPr>
          <w:p w14:paraId="59C2769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773" w:type="dxa"/>
            <w:vAlign w:val="center"/>
          </w:tcPr>
          <w:p w14:paraId="232261AE">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1134" w:type="dxa"/>
            <w:gridSpan w:val="2"/>
            <w:vAlign w:val="center"/>
          </w:tcPr>
          <w:p w14:paraId="0EFBEC0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c>
          <w:tcPr>
            <w:tcW w:w="992" w:type="dxa"/>
            <w:vAlign w:val="center"/>
          </w:tcPr>
          <w:p w14:paraId="6BD9B56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是否需要注册证/备案证</w:t>
            </w:r>
          </w:p>
        </w:tc>
        <w:tc>
          <w:tcPr>
            <w:tcW w:w="993" w:type="dxa"/>
            <w:vAlign w:val="center"/>
          </w:tcPr>
          <w:p w14:paraId="03F11951">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是否属于消耗品</w:t>
            </w:r>
          </w:p>
        </w:tc>
        <w:tc>
          <w:tcPr>
            <w:tcW w:w="1062" w:type="dxa"/>
            <w:vAlign w:val="center"/>
          </w:tcPr>
          <w:p w14:paraId="35442FE4">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是否需要单独报价</w:t>
            </w:r>
          </w:p>
        </w:tc>
      </w:tr>
      <w:tr w14:paraId="2A5B0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632651D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3412" w:type="dxa"/>
            <w:gridSpan w:val="3"/>
            <w:vAlign w:val="center"/>
          </w:tcPr>
          <w:p w14:paraId="081970E8">
            <w:pPr>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口腔高频电刀</w:t>
            </w:r>
          </w:p>
        </w:tc>
        <w:tc>
          <w:tcPr>
            <w:tcW w:w="850" w:type="dxa"/>
            <w:gridSpan w:val="2"/>
            <w:vAlign w:val="center"/>
          </w:tcPr>
          <w:p w14:paraId="6C510F0A">
            <w:pPr>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进口</w:t>
            </w:r>
          </w:p>
        </w:tc>
        <w:tc>
          <w:tcPr>
            <w:tcW w:w="517" w:type="dxa"/>
            <w:vAlign w:val="center"/>
          </w:tcPr>
          <w:p w14:paraId="13AFE4CF">
            <w:pPr>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1</w:t>
            </w:r>
          </w:p>
        </w:tc>
        <w:tc>
          <w:tcPr>
            <w:tcW w:w="553" w:type="dxa"/>
            <w:vAlign w:val="center"/>
          </w:tcPr>
          <w:p w14:paraId="27925AC6">
            <w:pPr>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套</w:t>
            </w:r>
          </w:p>
        </w:tc>
        <w:tc>
          <w:tcPr>
            <w:tcW w:w="773" w:type="dxa"/>
            <w:vAlign w:val="center"/>
          </w:tcPr>
          <w:p w14:paraId="11E3013A">
            <w:pPr>
              <w:keepNext w:val="0"/>
              <w:keepLines w:val="0"/>
              <w:widowControl/>
              <w:suppressLineNumbers w:val="0"/>
              <w:jc w:val="center"/>
              <w:textAlignment w:val="center"/>
              <w:rPr>
                <w:rFonts w:hint="default" w:asciiTheme="majorEastAsia" w:hAnsiTheme="majorEastAsia" w:eastAsiaTheme="majorEastAsia"/>
                <w:b/>
                <w:sz w:val="24"/>
                <w:szCs w:val="21"/>
                <w:lang w:val="en-US" w:eastAsia="zh-CN"/>
              </w:rPr>
            </w:pPr>
            <w:r>
              <w:rPr>
                <w:rFonts w:hint="default" w:ascii="Times New Roman" w:hAnsi="Times New Roman" w:eastAsia="宋体" w:cs="Times New Roman"/>
                <w:i w:val="0"/>
                <w:iCs w:val="0"/>
                <w:color w:val="000000"/>
                <w:kern w:val="0"/>
                <w:sz w:val="22"/>
                <w:szCs w:val="22"/>
                <w:u w:val="none"/>
                <w:lang w:val="en-US" w:eastAsia="zh-CN" w:bidi="ar"/>
              </w:rPr>
              <w:t>2.45</w:t>
            </w:r>
          </w:p>
        </w:tc>
        <w:tc>
          <w:tcPr>
            <w:tcW w:w="1134" w:type="dxa"/>
            <w:gridSpan w:val="2"/>
            <w:vAlign w:val="center"/>
          </w:tcPr>
          <w:p w14:paraId="284D5310">
            <w:pPr>
              <w:keepNext w:val="0"/>
              <w:keepLines w:val="0"/>
              <w:widowControl/>
              <w:suppressLineNumbers w:val="0"/>
              <w:jc w:val="center"/>
              <w:textAlignment w:val="center"/>
              <w:rPr>
                <w:rFonts w:hint="default" w:asciiTheme="majorEastAsia" w:hAnsiTheme="majorEastAsia" w:eastAsiaTheme="majorEastAsia"/>
                <w:b/>
                <w:sz w:val="24"/>
                <w:szCs w:val="21"/>
                <w:lang w:val="en-US" w:eastAsia="zh-CN"/>
              </w:rPr>
            </w:pPr>
            <w:r>
              <w:rPr>
                <w:rFonts w:hint="default" w:ascii="Times New Roman" w:hAnsi="Times New Roman" w:eastAsia="宋体" w:cs="Times New Roman"/>
                <w:i w:val="0"/>
                <w:iCs w:val="0"/>
                <w:color w:val="000000"/>
                <w:kern w:val="0"/>
                <w:sz w:val="22"/>
                <w:szCs w:val="22"/>
                <w:u w:val="none"/>
                <w:lang w:val="en-US" w:eastAsia="zh-CN" w:bidi="ar"/>
              </w:rPr>
              <w:t>2.45</w:t>
            </w:r>
          </w:p>
        </w:tc>
        <w:tc>
          <w:tcPr>
            <w:tcW w:w="992" w:type="dxa"/>
            <w:vAlign w:val="center"/>
          </w:tcPr>
          <w:p w14:paraId="6FE951EC">
            <w:pPr>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是</w:t>
            </w:r>
          </w:p>
        </w:tc>
        <w:tc>
          <w:tcPr>
            <w:tcW w:w="993" w:type="dxa"/>
            <w:vAlign w:val="center"/>
          </w:tcPr>
          <w:p w14:paraId="78109207">
            <w:pPr>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否</w:t>
            </w:r>
          </w:p>
        </w:tc>
        <w:tc>
          <w:tcPr>
            <w:tcW w:w="1062" w:type="dxa"/>
            <w:vAlign w:val="center"/>
          </w:tcPr>
          <w:p w14:paraId="259C8445">
            <w:pPr>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否</w:t>
            </w:r>
          </w:p>
        </w:tc>
      </w:tr>
    </w:tbl>
    <w:p w14:paraId="7DB23A92">
      <w:pPr>
        <w:spacing w:before="100" w:beforeAutospacing="1" w:after="240" w:line="276" w:lineRule="auto"/>
        <w:ind w:firstLine="480" w:firstLineChars="150"/>
        <w:rPr>
          <w:rFonts w:cs="微软雅黑" w:asciiTheme="majorEastAsia" w:hAnsiTheme="majorEastAsia" w:eastAsiaTheme="majorEastAsia"/>
          <w:sz w:val="32"/>
          <w:szCs w:val="32"/>
        </w:rPr>
      </w:pPr>
      <w:r>
        <w:rPr>
          <w:rFonts w:hint="eastAsia" w:cs="微软雅黑" w:asciiTheme="majorEastAsia" w:hAnsiTheme="majorEastAsia" w:eastAsiaTheme="majorEastAsia"/>
          <w:sz w:val="32"/>
          <w:szCs w:val="32"/>
        </w:rPr>
        <w:t>二、特殊资格要求说明</w:t>
      </w:r>
    </w:p>
    <w:p w14:paraId="1A10B71B">
      <w:pPr>
        <w:pStyle w:val="19"/>
        <w:ind w:left="400" w:firstLine="0" w:firstLineChars="0"/>
        <w:rPr>
          <w:rFonts w:asciiTheme="majorEastAsia" w:hAnsiTheme="majorEastAsia" w:eastAsiaTheme="majorEastAsia"/>
          <w:bCs/>
          <w:color w:val="FF0000"/>
          <w:szCs w:val="21"/>
        </w:rPr>
      </w:pPr>
      <w:r>
        <w:rPr>
          <w:rFonts w:hint="eastAsia" w:cs="宋体" w:asciiTheme="majorEastAsia" w:hAnsiTheme="majorEastAsia" w:eastAsiaTheme="majorEastAsia"/>
          <w:sz w:val="24"/>
        </w:rPr>
        <w:t>本项目属于医疗器械目录管理,需提供：</w:t>
      </w:r>
    </w:p>
    <w:p w14:paraId="7E083DD9">
      <w:pPr>
        <w:pStyle w:val="19"/>
        <w:adjustRightInd w:val="0"/>
        <w:snapToGrid w:val="0"/>
        <w:ind w:firstLine="480"/>
        <w:rPr>
          <w:rFonts w:cs="宋体" w:asciiTheme="majorEastAsia" w:hAnsiTheme="majorEastAsia" w:eastAsiaTheme="majorEastAsia"/>
          <w:sz w:val="24"/>
        </w:rPr>
      </w:pPr>
      <w:r>
        <w:rPr>
          <w:rFonts w:hint="eastAsia" w:cs="宋体" w:asciiTheme="majorEastAsia" w:hAnsiTheme="majorEastAsia" w:eastAsiaTheme="majorEastAsia"/>
          <w:sz w:val="24"/>
        </w:rPr>
        <w:t>若投标供应商为所投产品的生产企业，必须提供《医疗器械生产企业许可（备案）证》且生产范围包含该产品，不在住所或者生产地址所在地销售的厂家还需提供医疗器械经营许可证/（第一类/二类）医疗器械经营备案凭证;若投标供应商为所投产品的代理商或授权供应商，必须提供《医疗器械经营企业许可(备案)证》 且经营范围包含该产品。</w:t>
      </w:r>
    </w:p>
    <w:p w14:paraId="33D4D01C">
      <w:pPr>
        <w:numPr>
          <w:ilvl w:val="0"/>
          <w:numId w:val="1"/>
        </w:numPr>
        <w:spacing w:before="240" w:line="540" w:lineRule="exact"/>
        <w:jc w:val="center"/>
        <w:rPr>
          <w:rFonts w:cs="微软雅黑" w:asciiTheme="majorEastAsia" w:hAnsiTheme="majorEastAsia" w:eastAsiaTheme="majorEastAsia"/>
          <w:b/>
          <w:sz w:val="36"/>
          <w:szCs w:val="36"/>
        </w:rPr>
      </w:pPr>
      <w:r>
        <w:rPr>
          <w:rFonts w:hint="eastAsia" w:cs="微软雅黑" w:asciiTheme="majorEastAsia" w:hAnsiTheme="majorEastAsia" w:eastAsiaTheme="majorEastAsia"/>
          <w:b/>
          <w:sz w:val="36"/>
          <w:szCs w:val="36"/>
        </w:rPr>
        <w:t>技术与商务需求</w:t>
      </w:r>
    </w:p>
    <w:p w14:paraId="184AC67C">
      <w:pPr>
        <w:spacing w:before="240"/>
        <w:ind w:firstLine="241" w:firstLineChars="100"/>
        <w:rPr>
          <w:rFonts w:cs="微软雅黑" w:asciiTheme="majorEastAsia" w:hAnsiTheme="majorEastAsia" w:eastAsiaTheme="majorEastAsia"/>
          <w:sz w:val="24"/>
          <w:szCs w:val="36"/>
        </w:rPr>
      </w:pPr>
      <w:r>
        <w:rPr>
          <w:rFonts w:hint="eastAsia" w:cs="宋体" w:asciiTheme="majorEastAsia" w:hAnsiTheme="majorEastAsia" w:eastAsiaTheme="majorEastAsia"/>
          <w:b/>
          <w:bCs/>
          <w:sz w:val="24"/>
        </w:rPr>
        <w:t>说明：</w:t>
      </w:r>
      <w:r>
        <w:rPr>
          <w:rFonts w:hint="eastAsia" w:cs="宋体" w:asciiTheme="majorEastAsia" w:hAnsiTheme="majorEastAsia" w:eastAsiaTheme="majorEastAsia"/>
          <w:b/>
          <w:sz w:val="24"/>
        </w:rPr>
        <w:t>1.“★”号条款为实质性条款，必须完全满足，不满足则不予采购。</w:t>
      </w:r>
      <w:r>
        <w:rPr>
          <w:rFonts w:hint="eastAsia" w:cs="宋体" w:asciiTheme="majorEastAsia" w:hAnsiTheme="majorEastAsia" w:eastAsiaTheme="majorEastAsia"/>
          <w:sz w:val="20"/>
        </w:rPr>
        <w:t>（核心技术要求（以</w:t>
      </w:r>
      <w:r>
        <w:rPr>
          <w:rFonts w:hint="eastAsia" w:cs="宋体" w:asciiTheme="majorEastAsia" w:hAnsiTheme="majorEastAsia" w:eastAsiaTheme="majorEastAsia"/>
          <w:sz w:val="20"/>
          <w:szCs w:val="20"/>
        </w:rPr>
        <w:t>★</w:t>
      </w:r>
      <w:r>
        <w:rPr>
          <w:rFonts w:hint="eastAsia" w:cs="宋体" w:asciiTheme="majorEastAsia" w:hAnsiTheme="majorEastAsia" w:eastAsiaTheme="majorEastAsia"/>
          <w:sz w:val="20"/>
        </w:rPr>
        <w:t>号标注）为技术条款实质性要求不允许负偏离;否则将被否决。其数量≤5条，且必须有不少于3个品牌满足，并在第四部分作出承诺。）</w:t>
      </w:r>
    </w:p>
    <w:p w14:paraId="510021AA">
      <w:pPr>
        <w:ind w:firstLine="360" w:firstLineChars="100"/>
        <w:rPr>
          <w:rFonts w:cs="宋体" w:asciiTheme="majorEastAsia" w:hAnsiTheme="majorEastAsia" w:eastAsiaTheme="majorEastAsia"/>
          <w:bCs/>
          <w:sz w:val="20"/>
          <w:szCs w:val="20"/>
        </w:rPr>
      </w:pPr>
      <w:r>
        <w:rPr>
          <w:rFonts w:hint="eastAsia" w:cs="微软雅黑" w:asciiTheme="majorEastAsia" w:hAnsiTheme="majorEastAsia" w:eastAsiaTheme="majorEastAsia"/>
          <w:sz w:val="36"/>
          <w:szCs w:val="36"/>
        </w:rPr>
        <w:t xml:space="preserve">   </w:t>
      </w:r>
      <w:r>
        <w:rPr>
          <w:rFonts w:hint="eastAsia" w:cs="宋体" w:asciiTheme="majorEastAsia" w:hAnsiTheme="majorEastAsia" w:eastAsiaTheme="majorEastAsia"/>
          <w:b/>
          <w:sz w:val="24"/>
        </w:rPr>
        <w:t xml:space="preserve"> 2.“▲”</w:t>
      </w:r>
      <w:r>
        <w:rPr>
          <w:rFonts w:hint="eastAsia" w:cs="宋体" w:asciiTheme="majorEastAsia" w:hAnsiTheme="majorEastAsia" w:eastAsiaTheme="majorEastAsia"/>
          <w:b/>
          <w:bCs/>
          <w:sz w:val="24"/>
        </w:rPr>
        <w:t>号条款为重要技术参数，需逐一确定是否满足。</w:t>
      </w:r>
      <w:r>
        <w:rPr>
          <w:rFonts w:hint="eastAsia" w:cs="宋体" w:asciiTheme="majorEastAsia" w:hAnsiTheme="majorEastAsia" w:eastAsiaTheme="majorEastAsia"/>
          <w:bCs/>
          <w:sz w:val="20"/>
          <w:szCs w:val="20"/>
        </w:rPr>
        <w:t>（</w:t>
      </w:r>
      <w:r>
        <w:rPr>
          <w:rFonts w:hint="eastAsia" w:cs="宋体" w:asciiTheme="majorEastAsia" w:hAnsiTheme="majorEastAsia" w:eastAsiaTheme="majorEastAsia"/>
          <w:sz w:val="20"/>
          <w:szCs w:val="20"/>
        </w:rPr>
        <w:t>重要技术要求（以▲号标注）数量≤全部技术要求的10%。</w:t>
      </w:r>
      <w:r>
        <w:rPr>
          <w:rFonts w:hint="eastAsia" w:cs="宋体" w:asciiTheme="majorEastAsia" w:hAnsiTheme="majorEastAsia" w:eastAsiaTheme="majorEastAsia"/>
          <w:bCs/>
          <w:sz w:val="20"/>
          <w:szCs w:val="20"/>
        </w:rPr>
        <w:t>）</w:t>
      </w:r>
    </w:p>
    <w:p w14:paraId="441190AF">
      <w:pPr>
        <w:ind w:firstLine="201" w:firstLineChars="100"/>
        <w:rPr>
          <w:rFonts w:hint="eastAsia"/>
        </w:rPr>
      </w:pPr>
      <w:r>
        <w:rPr>
          <w:rFonts w:hint="eastAsia" w:cs="微软雅黑" w:asciiTheme="majorEastAsia" w:hAnsiTheme="majorEastAsia" w:eastAsiaTheme="majorEastAsia"/>
          <w:b/>
          <w:sz w:val="20"/>
          <w:szCs w:val="20"/>
        </w:rPr>
        <w:t>“★”号条款:所投产品如纳入医疗器械管理，投标供应商必须提供所投产品的《医疗器械注册(备案)证》的扫描件。(如有效期不足6个月的，需提供审批部门的回执。)</w:t>
      </w:r>
    </w:p>
    <w:tbl>
      <w:tblPr>
        <w:tblStyle w:val="12"/>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935"/>
        <w:gridCol w:w="120"/>
        <w:gridCol w:w="7444"/>
        <w:gridCol w:w="817"/>
      </w:tblGrid>
      <w:tr w14:paraId="73221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209" w:type="dxa"/>
            <w:gridSpan w:val="4"/>
            <w:vAlign w:val="center"/>
          </w:tcPr>
          <w:p w14:paraId="2F5A0001">
            <w:pPr>
              <w:adjustRightInd w:val="0"/>
              <w:snapToGrid w:val="0"/>
              <w:rPr>
                <w:rFonts w:asciiTheme="majorEastAsia" w:hAnsiTheme="majorEastAsia" w:eastAsiaTheme="majorEastAsia"/>
                <w:b/>
                <w:sz w:val="28"/>
                <w:szCs w:val="21"/>
              </w:rPr>
            </w:pPr>
            <w:r>
              <w:rPr>
                <w:rFonts w:hint="eastAsia" w:asciiTheme="majorEastAsia" w:hAnsiTheme="majorEastAsia" w:eastAsiaTheme="majorEastAsia"/>
                <w:b/>
                <w:sz w:val="28"/>
                <w:szCs w:val="21"/>
              </w:rPr>
              <w:t>一、技术部分</w:t>
            </w:r>
          </w:p>
        </w:tc>
        <w:tc>
          <w:tcPr>
            <w:tcW w:w="817" w:type="dxa"/>
            <w:vAlign w:val="center"/>
          </w:tcPr>
          <w:p w14:paraId="5C1498B7">
            <w:pPr>
              <w:adjustRightInd w:val="0"/>
              <w:snapToGrid w:val="0"/>
              <w:jc w:val="center"/>
              <w:rPr>
                <w:rFonts w:asciiTheme="majorEastAsia" w:hAnsiTheme="majorEastAsia" w:eastAsiaTheme="majorEastAsia"/>
                <w:b/>
                <w:sz w:val="24"/>
                <w:szCs w:val="21"/>
              </w:rPr>
            </w:pPr>
          </w:p>
        </w:tc>
      </w:tr>
      <w:tr w14:paraId="20858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Align w:val="center"/>
          </w:tcPr>
          <w:p w14:paraId="06171CE3">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935" w:type="dxa"/>
            <w:vAlign w:val="center"/>
          </w:tcPr>
          <w:p w14:paraId="0E0CD577">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7564" w:type="dxa"/>
            <w:gridSpan w:val="2"/>
            <w:vAlign w:val="center"/>
          </w:tcPr>
          <w:p w14:paraId="6D3FC4C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技术要求</w:t>
            </w:r>
          </w:p>
        </w:tc>
        <w:tc>
          <w:tcPr>
            <w:tcW w:w="817" w:type="dxa"/>
            <w:vAlign w:val="center"/>
          </w:tcPr>
          <w:p w14:paraId="66448C6A">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标注</w:t>
            </w:r>
          </w:p>
        </w:tc>
      </w:tr>
      <w:tr w14:paraId="35647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restart"/>
          </w:tcPr>
          <w:p w14:paraId="1432A22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935" w:type="dxa"/>
            <w:vMerge w:val="restart"/>
          </w:tcPr>
          <w:p w14:paraId="7F533E0F">
            <w:pPr>
              <w:adjustRightInd w:val="0"/>
              <w:snapToGrid w:val="0"/>
              <w:rPr>
                <w:rFonts w:asciiTheme="majorEastAsia" w:hAnsiTheme="majorEastAsia" w:eastAsiaTheme="majorEastAsia"/>
                <w:b/>
                <w:sz w:val="24"/>
                <w:szCs w:val="21"/>
              </w:rPr>
            </w:pPr>
          </w:p>
        </w:tc>
        <w:tc>
          <w:tcPr>
            <w:tcW w:w="7564" w:type="dxa"/>
            <w:gridSpan w:val="2"/>
            <w:vAlign w:val="top"/>
          </w:tcPr>
          <w:p w14:paraId="7B4CBEE6">
            <w:pPr>
              <w:spacing w:line="276" w:lineRule="auto"/>
              <w:rPr>
                <w:rFonts w:asciiTheme="majorEastAsia" w:hAnsiTheme="majorEastAsia" w:eastAsiaTheme="majorEastAsia"/>
                <w:b/>
                <w:sz w:val="24"/>
                <w:szCs w:val="21"/>
              </w:rPr>
            </w:pPr>
            <w:r>
              <w:rPr>
                <w:rFonts w:hint="eastAsia" w:asciiTheme="majorEastAsia" w:hAnsiTheme="majorEastAsia" w:eastAsiaTheme="majorEastAsia"/>
                <w:b/>
                <w:sz w:val="24"/>
                <w:szCs w:val="21"/>
              </w:rPr>
              <w:t>一、主机参数（按照配置清单逐一描述）</w:t>
            </w:r>
          </w:p>
        </w:tc>
        <w:tc>
          <w:tcPr>
            <w:tcW w:w="817" w:type="dxa"/>
            <w:vAlign w:val="top"/>
          </w:tcPr>
          <w:p w14:paraId="0AC66134">
            <w:pPr>
              <w:spacing w:line="276" w:lineRule="auto"/>
              <w:rPr>
                <w:rFonts w:asciiTheme="majorEastAsia" w:hAnsiTheme="majorEastAsia" w:eastAsiaTheme="majorEastAsia"/>
                <w:b/>
                <w:sz w:val="24"/>
                <w:szCs w:val="21"/>
              </w:rPr>
            </w:pPr>
          </w:p>
        </w:tc>
      </w:tr>
      <w:tr w14:paraId="1C667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8146FC5">
            <w:pPr>
              <w:adjustRightInd w:val="0"/>
              <w:snapToGrid w:val="0"/>
              <w:rPr>
                <w:rFonts w:asciiTheme="majorEastAsia" w:hAnsiTheme="majorEastAsia" w:eastAsiaTheme="majorEastAsia"/>
                <w:b/>
                <w:sz w:val="24"/>
                <w:szCs w:val="21"/>
              </w:rPr>
            </w:pPr>
          </w:p>
        </w:tc>
        <w:tc>
          <w:tcPr>
            <w:tcW w:w="935" w:type="dxa"/>
            <w:vMerge w:val="continue"/>
          </w:tcPr>
          <w:p w14:paraId="1AE7B137">
            <w:pPr>
              <w:adjustRightInd w:val="0"/>
              <w:snapToGrid w:val="0"/>
              <w:rPr>
                <w:rFonts w:asciiTheme="majorEastAsia" w:hAnsiTheme="majorEastAsia" w:eastAsiaTheme="majorEastAsia"/>
                <w:b/>
                <w:sz w:val="24"/>
                <w:szCs w:val="21"/>
              </w:rPr>
            </w:pPr>
          </w:p>
        </w:tc>
        <w:tc>
          <w:tcPr>
            <w:tcW w:w="7564" w:type="dxa"/>
            <w:gridSpan w:val="2"/>
            <w:vAlign w:val="center"/>
          </w:tcPr>
          <w:p w14:paraId="155B76BA">
            <w:pPr>
              <w:adjustRightInd w:val="0"/>
              <w:snapToGrid w:val="0"/>
              <w:rPr>
                <w:rFonts w:hint="eastAsia" w:asciiTheme="majorEastAsia" w:hAnsiTheme="majorEastAsia" w:eastAsiaTheme="majorEastAsia"/>
                <w:szCs w:val="21"/>
              </w:rPr>
            </w:pPr>
            <w:r>
              <w:rPr>
                <w:rFonts w:hint="eastAsia" w:asciiTheme="majorEastAsia" w:hAnsiTheme="majorEastAsia" w:eastAsiaTheme="majorEastAsia"/>
                <w:szCs w:val="21"/>
              </w:rPr>
              <w:t>采用单/双向技术控制活性电极高频发生器</w:t>
            </w:r>
          </w:p>
        </w:tc>
        <w:tc>
          <w:tcPr>
            <w:tcW w:w="817" w:type="dxa"/>
            <w:vAlign w:val="top"/>
          </w:tcPr>
          <w:p w14:paraId="3F4C971F">
            <w:pPr>
              <w:spacing w:line="276" w:lineRule="auto"/>
              <w:rPr>
                <w:rFonts w:asciiTheme="majorEastAsia" w:hAnsiTheme="majorEastAsia" w:eastAsiaTheme="majorEastAsia"/>
                <w:b/>
                <w:sz w:val="24"/>
                <w:szCs w:val="21"/>
              </w:rPr>
            </w:pPr>
          </w:p>
        </w:tc>
      </w:tr>
      <w:tr w14:paraId="53FA3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7BC3987">
            <w:pPr>
              <w:adjustRightInd w:val="0"/>
              <w:snapToGrid w:val="0"/>
              <w:rPr>
                <w:rFonts w:asciiTheme="majorEastAsia" w:hAnsiTheme="majorEastAsia" w:eastAsiaTheme="majorEastAsia"/>
                <w:b/>
                <w:sz w:val="24"/>
                <w:szCs w:val="21"/>
              </w:rPr>
            </w:pPr>
          </w:p>
        </w:tc>
        <w:tc>
          <w:tcPr>
            <w:tcW w:w="935" w:type="dxa"/>
            <w:vMerge w:val="continue"/>
          </w:tcPr>
          <w:p w14:paraId="4D6DDE13">
            <w:pPr>
              <w:adjustRightInd w:val="0"/>
              <w:snapToGrid w:val="0"/>
              <w:rPr>
                <w:rFonts w:asciiTheme="majorEastAsia" w:hAnsiTheme="majorEastAsia" w:eastAsiaTheme="majorEastAsia"/>
                <w:b/>
                <w:sz w:val="24"/>
                <w:szCs w:val="21"/>
              </w:rPr>
            </w:pPr>
          </w:p>
        </w:tc>
        <w:tc>
          <w:tcPr>
            <w:tcW w:w="7564" w:type="dxa"/>
            <w:gridSpan w:val="2"/>
            <w:vAlign w:val="center"/>
          </w:tcPr>
          <w:p w14:paraId="21244DDE">
            <w:pPr>
              <w:adjustRightInd w:val="0"/>
              <w:snapToGrid w:val="0"/>
              <w:rPr>
                <w:rFonts w:hint="eastAsia" w:asciiTheme="majorEastAsia" w:hAnsiTheme="majorEastAsia" w:eastAsiaTheme="majorEastAsia"/>
                <w:szCs w:val="21"/>
                <w:highlight w:val="none"/>
                <w:lang w:val="en-US" w:eastAsia="zh-CN"/>
              </w:rPr>
            </w:pPr>
            <w:r>
              <w:rPr>
                <w:rFonts w:hint="eastAsia" w:asciiTheme="majorEastAsia" w:hAnsiTheme="majorEastAsia" w:eastAsiaTheme="majorEastAsia"/>
                <w:color w:val="auto"/>
                <w:szCs w:val="21"/>
                <w:highlight w:val="none"/>
                <w:lang w:val="en-US" w:eastAsia="zh-CN"/>
              </w:rPr>
              <w:t>1、</w:t>
            </w:r>
            <w:r>
              <w:rPr>
                <w:rFonts w:hint="eastAsia" w:asciiTheme="majorEastAsia" w:hAnsiTheme="majorEastAsia" w:eastAsiaTheme="majorEastAsia"/>
                <w:color w:val="auto"/>
                <w:szCs w:val="21"/>
                <w:highlight w:val="none"/>
              </w:rPr>
              <w:t>腕带电极</w:t>
            </w:r>
            <w:r>
              <w:rPr>
                <w:rFonts w:hint="eastAsia" w:asciiTheme="majorEastAsia" w:hAnsiTheme="majorEastAsia" w:eastAsiaTheme="majorEastAsia"/>
                <w:color w:val="auto"/>
                <w:szCs w:val="21"/>
                <w:highlight w:val="none"/>
                <w:lang w:eastAsia="zh-CN"/>
              </w:rPr>
              <w:t>：</w:t>
            </w:r>
            <w:r>
              <w:rPr>
                <w:rFonts w:hint="eastAsia" w:asciiTheme="majorEastAsia" w:hAnsiTheme="majorEastAsia" w:eastAsiaTheme="majorEastAsia"/>
                <w:color w:val="auto"/>
                <w:szCs w:val="21"/>
                <w:highlight w:val="none"/>
                <w:lang w:val="en-US" w:eastAsia="zh-CN"/>
              </w:rPr>
              <w:t>可高温高压</w:t>
            </w:r>
            <w:r>
              <w:rPr>
                <w:rFonts w:hint="eastAsia" w:asciiTheme="majorEastAsia" w:hAnsiTheme="majorEastAsia" w:eastAsiaTheme="majorEastAsia"/>
                <w:color w:val="auto"/>
                <w:szCs w:val="21"/>
                <w:highlight w:val="none"/>
              </w:rPr>
              <w:t>消毒</w:t>
            </w:r>
          </w:p>
        </w:tc>
        <w:tc>
          <w:tcPr>
            <w:tcW w:w="817" w:type="dxa"/>
            <w:vAlign w:val="top"/>
          </w:tcPr>
          <w:p w14:paraId="482EBCB3">
            <w:pPr>
              <w:spacing w:line="276" w:lineRule="auto"/>
              <w:rPr>
                <w:rFonts w:asciiTheme="majorEastAsia" w:hAnsiTheme="majorEastAsia" w:eastAsiaTheme="majorEastAsia"/>
                <w:b/>
                <w:sz w:val="24"/>
                <w:szCs w:val="21"/>
              </w:rPr>
            </w:pPr>
          </w:p>
        </w:tc>
      </w:tr>
      <w:tr w14:paraId="56ADB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C81178E">
            <w:pPr>
              <w:adjustRightInd w:val="0"/>
              <w:snapToGrid w:val="0"/>
              <w:rPr>
                <w:rFonts w:asciiTheme="majorEastAsia" w:hAnsiTheme="majorEastAsia" w:eastAsiaTheme="majorEastAsia"/>
                <w:b/>
                <w:sz w:val="24"/>
                <w:szCs w:val="21"/>
              </w:rPr>
            </w:pPr>
          </w:p>
        </w:tc>
        <w:tc>
          <w:tcPr>
            <w:tcW w:w="935" w:type="dxa"/>
            <w:vMerge w:val="continue"/>
          </w:tcPr>
          <w:p w14:paraId="0B816816">
            <w:pPr>
              <w:adjustRightInd w:val="0"/>
              <w:snapToGrid w:val="0"/>
              <w:rPr>
                <w:rFonts w:asciiTheme="majorEastAsia" w:hAnsiTheme="majorEastAsia" w:eastAsiaTheme="majorEastAsia"/>
                <w:b/>
                <w:sz w:val="24"/>
                <w:szCs w:val="21"/>
              </w:rPr>
            </w:pPr>
          </w:p>
        </w:tc>
        <w:tc>
          <w:tcPr>
            <w:tcW w:w="7564" w:type="dxa"/>
            <w:gridSpan w:val="2"/>
            <w:vAlign w:val="center"/>
          </w:tcPr>
          <w:p w14:paraId="69DAAB9B">
            <w:pPr>
              <w:adjustRightInd w:val="0"/>
              <w:snapToGrid w:val="0"/>
              <w:rPr>
                <w:rFonts w:hint="eastAsia" w:asciiTheme="majorEastAsia" w:hAnsiTheme="majorEastAsia" w:eastAsiaTheme="majorEastAsia"/>
                <w:szCs w:val="21"/>
                <w:highlight w:val="none"/>
                <w:lang w:eastAsia="zh-CN"/>
              </w:rPr>
            </w:pPr>
            <w:r>
              <w:rPr>
                <w:rFonts w:hint="eastAsia" w:asciiTheme="majorEastAsia" w:hAnsiTheme="majorEastAsia" w:eastAsiaTheme="majorEastAsia"/>
                <w:szCs w:val="21"/>
                <w:highlight w:val="none"/>
                <w:lang w:val="en-US" w:eastAsia="zh-CN"/>
              </w:rPr>
              <w:t>2、</w:t>
            </w:r>
            <w:r>
              <w:rPr>
                <w:rFonts w:hint="eastAsia" w:asciiTheme="majorEastAsia" w:hAnsiTheme="majorEastAsia" w:eastAsiaTheme="majorEastAsia"/>
                <w:szCs w:val="21"/>
                <w:highlight w:val="none"/>
              </w:rPr>
              <w:t>电极手柄</w:t>
            </w:r>
            <w:r>
              <w:rPr>
                <w:rFonts w:hint="eastAsia" w:asciiTheme="majorEastAsia" w:hAnsiTheme="majorEastAsia" w:eastAsiaTheme="majorEastAsia"/>
                <w:szCs w:val="21"/>
                <w:highlight w:val="none"/>
                <w:lang w:eastAsia="zh-CN"/>
              </w:rPr>
              <w:t>：</w:t>
            </w:r>
            <w:r>
              <w:rPr>
                <w:rFonts w:hint="eastAsia" w:asciiTheme="majorEastAsia" w:hAnsiTheme="majorEastAsia" w:eastAsiaTheme="majorEastAsia"/>
                <w:szCs w:val="21"/>
                <w:highlight w:val="none"/>
              </w:rPr>
              <w:t>可</w:t>
            </w:r>
            <w:r>
              <w:rPr>
                <w:rFonts w:hint="eastAsia" w:asciiTheme="majorEastAsia" w:hAnsiTheme="majorEastAsia" w:eastAsiaTheme="majorEastAsia"/>
                <w:szCs w:val="21"/>
                <w:highlight w:val="none"/>
                <w:lang w:val="en-US" w:eastAsia="zh-CN"/>
              </w:rPr>
              <w:t>拆装</w:t>
            </w:r>
            <w:r>
              <w:rPr>
                <w:rFonts w:hint="eastAsia" w:asciiTheme="majorEastAsia" w:hAnsiTheme="majorEastAsia" w:eastAsiaTheme="majorEastAsia"/>
                <w:szCs w:val="21"/>
                <w:highlight w:val="none"/>
              </w:rPr>
              <w:t>并可高温消毒</w:t>
            </w:r>
          </w:p>
        </w:tc>
        <w:tc>
          <w:tcPr>
            <w:tcW w:w="817" w:type="dxa"/>
            <w:vAlign w:val="top"/>
          </w:tcPr>
          <w:p w14:paraId="104EE1B3">
            <w:pPr>
              <w:spacing w:line="276" w:lineRule="auto"/>
              <w:rPr>
                <w:rFonts w:asciiTheme="majorEastAsia" w:hAnsiTheme="majorEastAsia" w:eastAsiaTheme="majorEastAsia"/>
                <w:b/>
                <w:sz w:val="24"/>
                <w:szCs w:val="21"/>
              </w:rPr>
            </w:pPr>
          </w:p>
        </w:tc>
      </w:tr>
      <w:tr w14:paraId="2796D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7798D63">
            <w:pPr>
              <w:adjustRightInd w:val="0"/>
              <w:snapToGrid w:val="0"/>
              <w:rPr>
                <w:rFonts w:asciiTheme="majorEastAsia" w:hAnsiTheme="majorEastAsia" w:eastAsiaTheme="majorEastAsia"/>
                <w:b/>
                <w:sz w:val="24"/>
                <w:szCs w:val="21"/>
              </w:rPr>
            </w:pPr>
          </w:p>
        </w:tc>
        <w:tc>
          <w:tcPr>
            <w:tcW w:w="935" w:type="dxa"/>
            <w:vMerge w:val="continue"/>
          </w:tcPr>
          <w:p w14:paraId="4DC5BABF">
            <w:pPr>
              <w:adjustRightInd w:val="0"/>
              <w:snapToGrid w:val="0"/>
              <w:rPr>
                <w:rFonts w:asciiTheme="majorEastAsia" w:hAnsiTheme="majorEastAsia" w:eastAsiaTheme="majorEastAsia"/>
                <w:b/>
                <w:sz w:val="24"/>
                <w:szCs w:val="21"/>
              </w:rPr>
            </w:pPr>
          </w:p>
        </w:tc>
        <w:tc>
          <w:tcPr>
            <w:tcW w:w="7564" w:type="dxa"/>
            <w:gridSpan w:val="2"/>
            <w:vAlign w:val="center"/>
          </w:tcPr>
          <w:p w14:paraId="69685297">
            <w:pPr>
              <w:adjustRightInd w:val="0"/>
              <w:snapToGrid w:val="0"/>
              <w:rPr>
                <w:rFonts w:hint="eastAsia" w:asciiTheme="majorEastAsia" w:hAnsiTheme="majorEastAsia" w:eastAsiaTheme="majorEastAsia"/>
                <w:szCs w:val="21"/>
                <w:highlight w:val="none"/>
                <w:lang w:eastAsia="zh-CN"/>
              </w:rPr>
            </w:pPr>
            <w:r>
              <w:rPr>
                <w:rFonts w:hint="eastAsia" w:asciiTheme="majorEastAsia" w:hAnsiTheme="majorEastAsia" w:eastAsiaTheme="majorEastAsia"/>
                <w:szCs w:val="21"/>
                <w:highlight w:val="none"/>
                <w:lang w:val="en-US" w:eastAsia="zh-CN"/>
              </w:rPr>
              <w:t>3、</w:t>
            </w:r>
            <w:r>
              <w:rPr>
                <w:rFonts w:hint="eastAsia" w:asciiTheme="majorEastAsia" w:hAnsiTheme="majorEastAsia" w:eastAsiaTheme="majorEastAsia"/>
                <w:szCs w:val="21"/>
                <w:highlight w:val="none"/>
              </w:rPr>
              <w:t>硅胶手柄线</w:t>
            </w:r>
            <w:r>
              <w:rPr>
                <w:rFonts w:hint="eastAsia" w:asciiTheme="majorEastAsia" w:hAnsiTheme="majorEastAsia" w:eastAsiaTheme="majorEastAsia"/>
                <w:szCs w:val="21"/>
                <w:highlight w:val="none"/>
                <w:lang w:eastAsia="zh-CN"/>
              </w:rPr>
              <w:t>：</w:t>
            </w:r>
            <w:r>
              <w:rPr>
                <w:rFonts w:hint="eastAsia" w:asciiTheme="majorEastAsia" w:hAnsiTheme="majorEastAsia" w:eastAsiaTheme="majorEastAsia"/>
                <w:szCs w:val="21"/>
                <w:highlight w:val="none"/>
              </w:rPr>
              <w:t>可</w:t>
            </w:r>
            <w:r>
              <w:rPr>
                <w:rFonts w:hint="eastAsia" w:asciiTheme="majorEastAsia" w:hAnsiTheme="majorEastAsia" w:eastAsiaTheme="majorEastAsia"/>
                <w:szCs w:val="21"/>
                <w:highlight w:val="none"/>
                <w:lang w:val="en-US" w:eastAsia="zh-CN"/>
              </w:rPr>
              <w:t>拆装</w:t>
            </w:r>
            <w:r>
              <w:rPr>
                <w:rFonts w:hint="eastAsia" w:asciiTheme="majorEastAsia" w:hAnsiTheme="majorEastAsia" w:eastAsiaTheme="majorEastAsia"/>
                <w:szCs w:val="21"/>
                <w:highlight w:val="none"/>
              </w:rPr>
              <w:t>并可高温消毒</w:t>
            </w:r>
          </w:p>
        </w:tc>
        <w:tc>
          <w:tcPr>
            <w:tcW w:w="817" w:type="dxa"/>
            <w:vAlign w:val="top"/>
          </w:tcPr>
          <w:p w14:paraId="0375BC25">
            <w:pPr>
              <w:spacing w:line="276" w:lineRule="auto"/>
              <w:rPr>
                <w:rFonts w:asciiTheme="majorEastAsia" w:hAnsiTheme="majorEastAsia" w:eastAsiaTheme="majorEastAsia"/>
                <w:b/>
                <w:sz w:val="24"/>
                <w:szCs w:val="21"/>
              </w:rPr>
            </w:pPr>
          </w:p>
        </w:tc>
      </w:tr>
      <w:tr w14:paraId="4A154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7657745">
            <w:pPr>
              <w:adjustRightInd w:val="0"/>
              <w:snapToGrid w:val="0"/>
              <w:rPr>
                <w:rFonts w:asciiTheme="majorEastAsia" w:hAnsiTheme="majorEastAsia" w:eastAsiaTheme="majorEastAsia"/>
                <w:b/>
                <w:sz w:val="24"/>
                <w:szCs w:val="21"/>
              </w:rPr>
            </w:pPr>
          </w:p>
        </w:tc>
        <w:tc>
          <w:tcPr>
            <w:tcW w:w="935" w:type="dxa"/>
            <w:vMerge w:val="continue"/>
          </w:tcPr>
          <w:p w14:paraId="0F547F3E">
            <w:pPr>
              <w:adjustRightInd w:val="0"/>
              <w:snapToGrid w:val="0"/>
              <w:rPr>
                <w:rFonts w:asciiTheme="majorEastAsia" w:hAnsiTheme="majorEastAsia" w:eastAsiaTheme="majorEastAsia"/>
                <w:b/>
                <w:sz w:val="24"/>
                <w:szCs w:val="21"/>
              </w:rPr>
            </w:pPr>
          </w:p>
        </w:tc>
        <w:tc>
          <w:tcPr>
            <w:tcW w:w="7564" w:type="dxa"/>
            <w:gridSpan w:val="2"/>
            <w:vAlign w:val="center"/>
          </w:tcPr>
          <w:p w14:paraId="653F4AD6">
            <w:pPr>
              <w:adjustRightInd w:val="0"/>
              <w:snapToGrid w:val="0"/>
              <w:rPr>
                <w:rFonts w:hint="eastAsia" w:asciiTheme="majorEastAsia" w:hAnsiTheme="majorEastAsia" w:eastAsiaTheme="majorEastAsia"/>
                <w:szCs w:val="21"/>
                <w:highlight w:val="none"/>
                <w:lang w:eastAsia="zh-CN"/>
              </w:rPr>
            </w:pPr>
            <w:r>
              <w:rPr>
                <w:rFonts w:hint="eastAsia" w:asciiTheme="majorEastAsia" w:hAnsiTheme="majorEastAsia" w:eastAsiaTheme="majorEastAsia"/>
                <w:szCs w:val="21"/>
                <w:highlight w:val="none"/>
                <w:lang w:val="en-US" w:eastAsia="zh-CN"/>
              </w:rPr>
              <w:t>4、</w:t>
            </w:r>
            <w:r>
              <w:rPr>
                <w:rFonts w:hint="eastAsia" w:asciiTheme="majorEastAsia" w:hAnsiTheme="majorEastAsia" w:eastAsiaTheme="majorEastAsia"/>
                <w:szCs w:val="21"/>
                <w:highlight w:val="none"/>
              </w:rPr>
              <w:t>电极</w:t>
            </w:r>
            <w:r>
              <w:rPr>
                <w:rFonts w:hint="eastAsia" w:asciiTheme="majorEastAsia" w:hAnsiTheme="majorEastAsia" w:eastAsiaTheme="majorEastAsia"/>
                <w:szCs w:val="21"/>
                <w:highlight w:val="none"/>
                <w:lang w:val="en-US" w:eastAsia="zh-CN"/>
              </w:rPr>
              <w:t>种类</w:t>
            </w:r>
            <w:r>
              <w:rPr>
                <w:rFonts w:hint="eastAsia" w:asciiTheme="majorEastAsia" w:hAnsiTheme="majorEastAsia" w:eastAsiaTheme="majorEastAsia"/>
                <w:szCs w:val="21"/>
                <w:highlight w:val="none"/>
                <w:lang w:eastAsia="zh-CN"/>
              </w:rPr>
              <w:t>：</w:t>
            </w:r>
            <w:r>
              <w:rPr>
                <w:rFonts w:hint="eastAsia" w:asciiTheme="majorEastAsia" w:hAnsiTheme="majorEastAsia" w:eastAsiaTheme="majorEastAsia"/>
                <w:szCs w:val="21"/>
                <w:highlight w:val="none"/>
                <w:lang w:val="en-US" w:eastAsia="zh-CN"/>
              </w:rPr>
              <w:t>≥</w:t>
            </w:r>
            <w:r>
              <w:rPr>
                <w:rFonts w:hint="eastAsia" w:asciiTheme="majorEastAsia" w:hAnsiTheme="majorEastAsia" w:eastAsiaTheme="majorEastAsia"/>
                <w:szCs w:val="21"/>
                <w:highlight w:val="none"/>
              </w:rPr>
              <w:t>10种可</w:t>
            </w:r>
            <w:r>
              <w:rPr>
                <w:rFonts w:hint="eastAsia" w:asciiTheme="majorEastAsia" w:hAnsiTheme="majorEastAsia" w:eastAsiaTheme="majorEastAsia"/>
                <w:szCs w:val="21"/>
                <w:highlight w:val="none"/>
                <w:lang w:val="en-US" w:eastAsia="zh-CN"/>
              </w:rPr>
              <w:t>拆装</w:t>
            </w:r>
            <w:r>
              <w:rPr>
                <w:rFonts w:hint="eastAsia" w:asciiTheme="majorEastAsia" w:hAnsiTheme="majorEastAsia" w:eastAsiaTheme="majorEastAsia"/>
                <w:szCs w:val="21"/>
                <w:highlight w:val="none"/>
              </w:rPr>
              <w:t>并可高温消毒</w:t>
            </w:r>
          </w:p>
        </w:tc>
        <w:tc>
          <w:tcPr>
            <w:tcW w:w="817" w:type="dxa"/>
            <w:vAlign w:val="top"/>
          </w:tcPr>
          <w:p w14:paraId="19D20020">
            <w:pPr>
              <w:spacing w:line="276" w:lineRule="auto"/>
              <w:rPr>
                <w:rFonts w:asciiTheme="majorEastAsia" w:hAnsiTheme="majorEastAsia" w:eastAsiaTheme="majorEastAsia"/>
                <w:b/>
                <w:sz w:val="24"/>
                <w:szCs w:val="21"/>
              </w:rPr>
            </w:pPr>
          </w:p>
        </w:tc>
      </w:tr>
      <w:tr w14:paraId="0E713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5504975">
            <w:pPr>
              <w:adjustRightInd w:val="0"/>
              <w:snapToGrid w:val="0"/>
              <w:rPr>
                <w:rFonts w:asciiTheme="majorEastAsia" w:hAnsiTheme="majorEastAsia" w:eastAsiaTheme="majorEastAsia"/>
                <w:b/>
                <w:sz w:val="24"/>
                <w:szCs w:val="21"/>
              </w:rPr>
            </w:pPr>
          </w:p>
        </w:tc>
        <w:tc>
          <w:tcPr>
            <w:tcW w:w="935" w:type="dxa"/>
            <w:vMerge w:val="continue"/>
          </w:tcPr>
          <w:p w14:paraId="32EB30C0">
            <w:pPr>
              <w:adjustRightInd w:val="0"/>
              <w:snapToGrid w:val="0"/>
              <w:rPr>
                <w:rFonts w:asciiTheme="majorEastAsia" w:hAnsiTheme="majorEastAsia" w:eastAsiaTheme="majorEastAsia"/>
                <w:b/>
                <w:sz w:val="24"/>
                <w:szCs w:val="21"/>
              </w:rPr>
            </w:pPr>
          </w:p>
        </w:tc>
        <w:tc>
          <w:tcPr>
            <w:tcW w:w="7564" w:type="dxa"/>
            <w:gridSpan w:val="2"/>
            <w:vAlign w:val="center"/>
          </w:tcPr>
          <w:p w14:paraId="7C894D8B">
            <w:pPr>
              <w:adjustRightInd w:val="0"/>
              <w:snapToGrid w:val="0"/>
              <w:rPr>
                <w:rFonts w:hint="eastAsia" w:asciiTheme="majorEastAsia" w:hAnsiTheme="majorEastAsia" w:eastAsiaTheme="majorEastAsia"/>
                <w:szCs w:val="21"/>
                <w:highlight w:val="none"/>
                <w:lang w:val="en-US" w:eastAsia="zh-CN"/>
              </w:rPr>
            </w:pPr>
            <w:r>
              <w:rPr>
                <w:rFonts w:hint="eastAsia" w:asciiTheme="majorEastAsia" w:hAnsiTheme="majorEastAsia" w:eastAsiaTheme="majorEastAsia"/>
                <w:szCs w:val="21"/>
                <w:highlight w:val="none"/>
                <w:lang w:val="en-US" w:eastAsia="zh-CN"/>
              </w:rPr>
              <w:t>5、</w:t>
            </w:r>
            <w:r>
              <w:rPr>
                <w:rFonts w:hint="eastAsia" w:asciiTheme="majorEastAsia" w:hAnsiTheme="majorEastAsia" w:eastAsiaTheme="majorEastAsia"/>
                <w:szCs w:val="21"/>
                <w:highlight w:val="none"/>
              </w:rPr>
              <w:t>电极</w:t>
            </w:r>
            <w:r>
              <w:rPr>
                <w:rFonts w:hint="eastAsia" w:asciiTheme="majorEastAsia" w:hAnsiTheme="majorEastAsia" w:eastAsiaTheme="majorEastAsia"/>
                <w:szCs w:val="21"/>
                <w:highlight w:val="none"/>
                <w:lang w:val="en-US" w:eastAsia="zh-CN"/>
              </w:rPr>
              <w:t>功能要求：</w:t>
            </w:r>
            <w:r>
              <w:rPr>
                <w:rFonts w:hint="eastAsia" w:asciiTheme="majorEastAsia" w:hAnsiTheme="majorEastAsia" w:eastAsiaTheme="majorEastAsia"/>
                <w:szCs w:val="21"/>
                <w:highlight w:val="none"/>
              </w:rPr>
              <w:t>包含</w:t>
            </w:r>
            <w:r>
              <w:rPr>
                <w:rFonts w:hint="eastAsia" w:asciiTheme="majorEastAsia" w:hAnsiTheme="majorEastAsia" w:eastAsiaTheme="majorEastAsia"/>
                <w:szCs w:val="21"/>
                <w:highlight w:val="none"/>
                <w:lang w:val="en-US" w:eastAsia="zh-CN"/>
              </w:rPr>
              <w:t>但不限于</w:t>
            </w:r>
            <w:r>
              <w:rPr>
                <w:rFonts w:hint="eastAsia" w:asciiTheme="majorEastAsia" w:hAnsiTheme="majorEastAsia" w:eastAsiaTheme="majorEastAsia"/>
                <w:szCs w:val="21"/>
                <w:highlight w:val="none"/>
              </w:rPr>
              <w:t>切割、切除、凝血切割、电灼烧电凝</w:t>
            </w:r>
            <w:r>
              <w:rPr>
                <w:rFonts w:hint="eastAsia" w:asciiTheme="majorEastAsia" w:hAnsiTheme="majorEastAsia" w:eastAsiaTheme="majorEastAsia"/>
                <w:szCs w:val="21"/>
                <w:highlight w:val="none"/>
                <w:lang w:val="en-US" w:eastAsia="zh-CN"/>
              </w:rPr>
              <w:t>等</w:t>
            </w:r>
          </w:p>
        </w:tc>
        <w:tc>
          <w:tcPr>
            <w:tcW w:w="817" w:type="dxa"/>
            <w:vAlign w:val="top"/>
          </w:tcPr>
          <w:p w14:paraId="33F6C899">
            <w:pPr>
              <w:spacing w:line="276" w:lineRule="auto"/>
              <w:rPr>
                <w:rFonts w:asciiTheme="majorEastAsia" w:hAnsiTheme="majorEastAsia" w:eastAsiaTheme="majorEastAsia"/>
                <w:b/>
                <w:sz w:val="24"/>
                <w:szCs w:val="21"/>
              </w:rPr>
            </w:pPr>
          </w:p>
        </w:tc>
      </w:tr>
      <w:tr w14:paraId="368E6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B3C7957">
            <w:pPr>
              <w:adjustRightInd w:val="0"/>
              <w:snapToGrid w:val="0"/>
              <w:rPr>
                <w:rFonts w:asciiTheme="majorEastAsia" w:hAnsiTheme="majorEastAsia" w:eastAsiaTheme="majorEastAsia"/>
                <w:b/>
                <w:sz w:val="24"/>
                <w:szCs w:val="21"/>
              </w:rPr>
            </w:pPr>
          </w:p>
        </w:tc>
        <w:tc>
          <w:tcPr>
            <w:tcW w:w="935" w:type="dxa"/>
            <w:vMerge w:val="continue"/>
          </w:tcPr>
          <w:p w14:paraId="0EB33306">
            <w:pPr>
              <w:adjustRightInd w:val="0"/>
              <w:snapToGrid w:val="0"/>
              <w:rPr>
                <w:rFonts w:asciiTheme="majorEastAsia" w:hAnsiTheme="majorEastAsia" w:eastAsiaTheme="majorEastAsia"/>
                <w:b/>
                <w:sz w:val="24"/>
                <w:szCs w:val="21"/>
              </w:rPr>
            </w:pPr>
          </w:p>
        </w:tc>
        <w:tc>
          <w:tcPr>
            <w:tcW w:w="7564" w:type="dxa"/>
            <w:gridSpan w:val="2"/>
            <w:vAlign w:val="center"/>
          </w:tcPr>
          <w:p w14:paraId="7D2395D5">
            <w:pPr>
              <w:adjustRightInd w:val="0"/>
              <w:snapToGrid w:val="0"/>
              <w:rPr>
                <w:rFonts w:hint="eastAsia" w:asciiTheme="majorEastAsia" w:hAnsiTheme="majorEastAsia" w:eastAsiaTheme="majorEastAsia"/>
                <w:szCs w:val="21"/>
                <w:highlight w:val="none"/>
                <w:lang w:eastAsia="zh-CN"/>
              </w:rPr>
            </w:pPr>
            <w:r>
              <w:rPr>
                <w:rFonts w:hint="eastAsia" w:asciiTheme="majorEastAsia" w:hAnsiTheme="majorEastAsia" w:eastAsiaTheme="majorEastAsia"/>
                <w:szCs w:val="21"/>
                <w:highlight w:val="none"/>
                <w:lang w:val="en-US" w:eastAsia="zh-CN"/>
              </w:rPr>
              <w:t>6、</w:t>
            </w:r>
            <w:r>
              <w:rPr>
                <w:rFonts w:hint="eastAsia" w:asciiTheme="majorEastAsia" w:hAnsiTheme="majorEastAsia" w:eastAsiaTheme="majorEastAsia"/>
                <w:szCs w:val="21"/>
                <w:highlight w:val="none"/>
              </w:rPr>
              <w:t>发生器</w:t>
            </w:r>
            <w:r>
              <w:rPr>
                <w:rFonts w:hint="eastAsia" w:asciiTheme="majorEastAsia" w:hAnsiTheme="majorEastAsia" w:eastAsiaTheme="majorEastAsia"/>
                <w:szCs w:val="21"/>
                <w:highlight w:val="none"/>
                <w:lang w:eastAsia="zh-CN"/>
              </w:rPr>
              <w:t>：</w:t>
            </w:r>
            <w:r>
              <w:rPr>
                <w:rFonts w:hint="eastAsia" w:asciiTheme="majorEastAsia" w:hAnsiTheme="majorEastAsia" w:eastAsiaTheme="majorEastAsia"/>
                <w:szCs w:val="21"/>
                <w:highlight w:val="none"/>
              </w:rPr>
              <w:t>具有独立的控制切割和凝血</w:t>
            </w:r>
            <w:r>
              <w:rPr>
                <w:rFonts w:hint="eastAsia" w:asciiTheme="majorEastAsia" w:hAnsiTheme="majorEastAsia" w:eastAsiaTheme="majorEastAsia"/>
                <w:szCs w:val="21"/>
                <w:highlight w:val="none"/>
                <w:lang w:eastAsia="zh-CN"/>
              </w:rPr>
              <w:t>，</w:t>
            </w:r>
            <w:r>
              <w:rPr>
                <w:rFonts w:hint="eastAsia" w:asciiTheme="majorEastAsia" w:hAnsiTheme="majorEastAsia" w:eastAsiaTheme="majorEastAsia"/>
                <w:szCs w:val="21"/>
                <w:highlight w:val="none"/>
              </w:rPr>
              <w:t>适用于口腔外科，牙科修复，牙科正畸，牙周手术等</w:t>
            </w:r>
          </w:p>
        </w:tc>
        <w:tc>
          <w:tcPr>
            <w:tcW w:w="817" w:type="dxa"/>
            <w:vAlign w:val="top"/>
          </w:tcPr>
          <w:p w14:paraId="1A62A036">
            <w:pPr>
              <w:spacing w:line="276" w:lineRule="auto"/>
              <w:rPr>
                <w:rFonts w:asciiTheme="majorEastAsia" w:hAnsiTheme="majorEastAsia" w:eastAsiaTheme="majorEastAsia"/>
                <w:b/>
                <w:sz w:val="24"/>
                <w:szCs w:val="21"/>
              </w:rPr>
            </w:pPr>
            <w:r>
              <w:rPr>
                <w:rFonts w:hint="eastAsia" w:cs="宋体" w:asciiTheme="majorEastAsia" w:hAnsiTheme="majorEastAsia" w:eastAsiaTheme="majorEastAsia"/>
                <w:b/>
                <w:sz w:val="24"/>
              </w:rPr>
              <w:t>▲</w:t>
            </w:r>
          </w:p>
        </w:tc>
      </w:tr>
      <w:tr w14:paraId="1C316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1945DB8">
            <w:pPr>
              <w:adjustRightInd w:val="0"/>
              <w:snapToGrid w:val="0"/>
              <w:rPr>
                <w:rFonts w:asciiTheme="majorEastAsia" w:hAnsiTheme="majorEastAsia" w:eastAsiaTheme="majorEastAsia"/>
                <w:b/>
                <w:sz w:val="24"/>
                <w:szCs w:val="21"/>
              </w:rPr>
            </w:pPr>
          </w:p>
        </w:tc>
        <w:tc>
          <w:tcPr>
            <w:tcW w:w="935" w:type="dxa"/>
            <w:vMerge w:val="continue"/>
          </w:tcPr>
          <w:p w14:paraId="034E348E">
            <w:pPr>
              <w:adjustRightInd w:val="0"/>
              <w:snapToGrid w:val="0"/>
              <w:rPr>
                <w:rFonts w:asciiTheme="majorEastAsia" w:hAnsiTheme="majorEastAsia" w:eastAsiaTheme="majorEastAsia"/>
                <w:b/>
                <w:sz w:val="24"/>
                <w:szCs w:val="21"/>
              </w:rPr>
            </w:pPr>
          </w:p>
        </w:tc>
        <w:tc>
          <w:tcPr>
            <w:tcW w:w="7564" w:type="dxa"/>
            <w:gridSpan w:val="2"/>
            <w:vAlign w:val="center"/>
          </w:tcPr>
          <w:p w14:paraId="3582D915">
            <w:pPr>
              <w:adjustRightInd w:val="0"/>
              <w:snapToGrid w:val="0"/>
              <w:rPr>
                <w:rFonts w:hint="default" w:eastAsia="宋体" w:asciiTheme="majorEastAsia" w:hAnsiTheme="majorEastAsia"/>
                <w:szCs w:val="21"/>
                <w:highlight w:val="none"/>
                <w:lang w:val="en-US" w:eastAsia="zh-CN"/>
              </w:rPr>
            </w:pPr>
            <w:r>
              <w:rPr>
                <w:rFonts w:hint="eastAsia"/>
                <w:highlight w:val="none"/>
                <w:lang w:val="en-US" w:eastAsia="zh-CN"/>
              </w:rPr>
              <w:t>7、</w:t>
            </w:r>
            <w:r>
              <w:rPr>
                <w:rFonts w:hint="eastAsia" w:asciiTheme="majorEastAsia" w:hAnsiTheme="majorEastAsia" w:eastAsiaTheme="majorEastAsia"/>
                <w:szCs w:val="21"/>
                <w:highlight w:val="none"/>
              </w:rPr>
              <w:t>电源电压：2</w:t>
            </w:r>
            <w:r>
              <w:rPr>
                <w:rFonts w:hint="eastAsia" w:asciiTheme="majorEastAsia" w:hAnsiTheme="majorEastAsia" w:eastAsiaTheme="majorEastAsia"/>
                <w:szCs w:val="21"/>
                <w:highlight w:val="none"/>
                <w:lang w:val="en-US" w:eastAsia="zh-CN"/>
              </w:rPr>
              <w:t>2</w:t>
            </w:r>
            <w:r>
              <w:rPr>
                <w:rFonts w:hint="eastAsia" w:asciiTheme="majorEastAsia" w:hAnsiTheme="majorEastAsia" w:eastAsiaTheme="majorEastAsia"/>
                <w:szCs w:val="21"/>
                <w:highlight w:val="none"/>
              </w:rPr>
              <w:t>0V-</w:t>
            </w:r>
            <w:r>
              <w:rPr>
                <w:rFonts w:hint="eastAsia" w:asciiTheme="majorEastAsia" w:hAnsiTheme="majorEastAsia" w:eastAsiaTheme="majorEastAsia"/>
                <w:szCs w:val="21"/>
                <w:highlight w:val="none"/>
                <w:lang w:val="en-US" w:eastAsia="zh-CN"/>
              </w:rPr>
              <w:t>240V，</w:t>
            </w:r>
            <w:r>
              <w:rPr>
                <w:rFonts w:hint="eastAsia" w:asciiTheme="majorEastAsia" w:hAnsiTheme="majorEastAsia" w:eastAsiaTheme="majorEastAsia"/>
                <w:szCs w:val="21"/>
                <w:highlight w:val="none"/>
              </w:rPr>
              <w:t>50/60HZ</w:t>
            </w:r>
            <w:r>
              <w:rPr>
                <w:rFonts w:hint="eastAsia"/>
                <w:highlight w:val="none"/>
                <w:lang w:val="en-US" w:eastAsia="zh-CN"/>
              </w:rPr>
              <w:t>）</w:t>
            </w:r>
          </w:p>
        </w:tc>
        <w:tc>
          <w:tcPr>
            <w:tcW w:w="817" w:type="dxa"/>
            <w:vAlign w:val="top"/>
          </w:tcPr>
          <w:p w14:paraId="553E49C3">
            <w:pPr>
              <w:spacing w:line="276" w:lineRule="auto"/>
              <w:rPr>
                <w:rFonts w:asciiTheme="majorEastAsia" w:hAnsiTheme="majorEastAsia" w:eastAsiaTheme="majorEastAsia"/>
                <w:b/>
                <w:sz w:val="24"/>
                <w:szCs w:val="21"/>
              </w:rPr>
            </w:pPr>
          </w:p>
        </w:tc>
      </w:tr>
      <w:tr w14:paraId="2729D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16699CB">
            <w:pPr>
              <w:adjustRightInd w:val="0"/>
              <w:snapToGrid w:val="0"/>
              <w:rPr>
                <w:rFonts w:asciiTheme="majorEastAsia" w:hAnsiTheme="majorEastAsia" w:eastAsiaTheme="majorEastAsia"/>
                <w:b/>
                <w:sz w:val="24"/>
                <w:szCs w:val="21"/>
              </w:rPr>
            </w:pPr>
          </w:p>
        </w:tc>
        <w:tc>
          <w:tcPr>
            <w:tcW w:w="935" w:type="dxa"/>
            <w:vMerge w:val="continue"/>
          </w:tcPr>
          <w:p w14:paraId="5D90CCD1">
            <w:pPr>
              <w:adjustRightInd w:val="0"/>
              <w:snapToGrid w:val="0"/>
              <w:rPr>
                <w:rFonts w:asciiTheme="majorEastAsia" w:hAnsiTheme="majorEastAsia" w:eastAsiaTheme="majorEastAsia"/>
                <w:b/>
                <w:sz w:val="24"/>
                <w:szCs w:val="21"/>
              </w:rPr>
            </w:pPr>
          </w:p>
        </w:tc>
        <w:tc>
          <w:tcPr>
            <w:tcW w:w="7564" w:type="dxa"/>
            <w:gridSpan w:val="2"/>
            <w:vAlign w:val="center"/>
          </w:tcPr>
          <w:p w14:paraId="24F9AD91">
            <w:pPr>
              <w:adjustRightInd w:val="0"/>
              <w:snapToGrid w:val="0"/>
              <w:rPr>
                <w:rFonts w:hint="eastAsia" w:asciiTheme="majorEastAsia" w:hAnsiTheme="majorEastAsia" w:eastAsiaTheme="majorEastAsia"/>
                <w:szCs w:val="21"/>
                <w:highlight w:val="none"/>
              </w:rPr>
            </w:pPr>
            <w:r>
              <w:rPr>
                <w:rFonts w:hint="eastAsia" w:asciiTheme="majorEastAsia" w:hAnsiTheme="majorEastAsia" w:eastAsiaTheme="majorEastAsia"/>
                <w:szCs w:val="21"/>
                <w:highlight w:val="none"/>
                <w:lang w:val="en-US" w:eastAsia="zh-CN"/>
              </w:rPr>
              <w:t>8、</w:t>
            </w:r>
            <w:r>
              <w:rPr>
                <w:rFonts w:hint="eastAsia" w:asciiTheme="majorEastAsia" w:hAnsiTheme="majorEastAsia" w:eastAsiaTheme="majorEastAsia"/>
                <w:szCs w:val="21"/>
                <w:highlight w:val="none"/>
              </w:rPr>
              <w:t>功率：</w:t>
            </w:r>
            <w:r>
              <w:rPr>
                <w:rFonts w:hint="eastAsia" w:asciiTheme="majorEastAsia" w:hAnsiTheme="majorEastAsia" w:eastAsiaTheme="majorEastAsia"/>
                <w:szCs w:val="21"/>
                <w:highlight w:val="none"/>
                <w:lang w:val="en-US" w:eastAsia="zh-CN"/>
              </w:rPr>
              <w:t>20-50</w:t>
            </w:r>
            <w:r>
              <w:rPr>
                <w:rFonts w:hint="eastAsia" w:asciiTheme="majorEastAsia" w:hAnsiTheme="majorEastAsia" w:eastAsiaTheme="majorEastAsia"/>
                <w:szCs w:val="21"/>
                <w:highlight w:val="none"/>
              </w:rPr>
              <w:t>W/600Ω</w:t>
            </w:r>
          </w:p>
        </w:tc>
        <w:tc>
          <w:tcPr>
            <w:tcW w:w="817" w:type="dxa"/>
            <w:vAlign w:val="top"/>
          </w:tcPr>
          <w:p w14:paraId="73BDB2BD">
            <w:pPr>
              <w:spacing w:line="276" w:lineRule="auto"/>
              <w:rPr>
                <w:rFonts w:asciiTheme="majorEastAsia" w:hAnsiTheme="majorEastAsia" w:eastAsiaTheme="majorEastAsia"/>
                <w:b/>
                <w:sz w:val="24"/>
                <w:szCs w:val="21"/>
              </w:rPr>
            </w:pPr>
          </w:p>
        </w:tc>
      </w:tr>
      <w:tr w14:paraId="35005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FBC47A7">
            <w:pPr>
              <w:adjustRightInd w:val="0"/>
              <w:snapToGrid w:val="0"/>
              <w:rPr>
                <w:rFonts w:asciiTheme="majorEastAsia" w:hAnsiTheme="majorEastAsia" w:eastAsiaTheme="majorEastAsia"/>
                <w:b/>
                <w:sz w:val="24"/>
                <w:szCs w:val="21"/>
              </w:rPr>
            </w:pPr>
          </w:p>
        </w:tc>
        <w:tc>
          <w:tcPr>
            <w:tcW w:w="935" w:type="dxa"/>
            <w:vMerge w:val="continue"/>
          </w:tcPr>
          <w:p w14:paraId="5A476E84">
            <w:pPr>
              <w:adjustRightInd w:val="0"/>
              <w:snapToGrid w:val="0"/>
              <w:rPr>
                <w:rFonts w:asciiTheme="majorEastAsia" w:hAnsiTheme="majorEastAsia" w:eastAsiaTheme="majorEastAsia"/>
                <w:b/>
                <w:sz w:val="24"/>
                <w:szCs w:val="21"/>
              </w:rPr>
            </w:pPr>
          </w:p>
        </w:tc>
        <w:tc>
          <w:tcPr>
            <w:tcW w:w="7564" w:type="dxa"/>
            <w:gridSpan w:val="2"/>
            <w:vAlign w:val="center"/>
          </w:tcPr>
          <w:p w14:paraId="1EC6FB79">
            <w:pPr>
              <w:adjustRightInd w:val="0"/>
              <w:snapToGrid w:val="0"/>
              <w:rPr>
                <w:rFonts w:hint="default" w:asciiTheme="majorEastAsia" w:hAnsiTheme="majorEastAsia" w:eastAsiaTheme="majorEastAsia"/>
                <w:szCs w:val="21"/>
                <w:highlight w:val="none"/>
                <w:lang w:val="en-US" w:eastAsia="zh-CN"/>
              </w:rPr>
            </w:pPr>
            <w:r>
              <w:rPr>
                <w:rFonts w:hint="eastAsia" w:asciiTheme="majorEastAsia" w:hAnsiTheme="majorEastAsia" w:eastAsiaTheme="majorEastAsia"/>
                <w:szCs w:val="21"/>
                <w:highlight w:val="none"/>
                <w:lang w:val="en-US" w:eastAsia="zh-CN"/>
              </w:rPr>
              <w:t>9、</w:t>
            </w:r>
            <w:r>
              <w:rPr>
                <w:rFonts w:hint="eastAsia" w:asciiTheme="majorEastAsia" w:hAnsiTheme="majorEastAsia" w:eastAsiaTheme="majorEastAsia"/>
                <w:szCs w:val="21"/>
                <w:highlight w:val="none"/>
              </w:rPr>
              <w:t>频率：1.2MHZ±0.2 MHZ</w:t>
            </w:r>
            <w:r>
              <w:rPr>
                <w:rFonts w:hint="eastAsia" w:asciiTheme="majorEastAsia" w:hAnsiTheme="majorEastAsia" w:eastAsiaTheme="majorEastAsia"/>
                <w:szCs w:val="21"/>
                <w:highlight w:val="none"/>
                <w:lang w:val="en-US" w:eastAsia="zh-CN"/>
              </w:rPr>
              <w:t xml:space="preserve">    10、</w:t>
            </w:r>
            <w:r>
              <w:rPr>
                <w:rFonts w:hint="eastAsia" w:asciiTheme="majorEastAsia" w:hAnsiTheme="majorEastAsia" w:eastAsiaTheme="majorEastAsia"/>
                <w:szCs w:val="21"/>
                <w:highlight w:val="none"/>
              </w:rPr>
              <w:t>采用单/双向技术控制活性电极高频发生器</w:t>
            </w:r>
          </w:p>
        </w:tc>
        <w:tc>
          <w:tcPr>
            <w:tcW w:w="817" w:type="dxa"/>
            <w:vAlign w:val="top"/>
          </w:tcPr>
          <w:p w14:paraId="22E90501">
            <w:pPr>
              <w:spacing w:line="276" w:lineRule="auto"/>
              <w:rPr>
                <w:rFonts w:asciiTheme="majorEastAsia" w:hAnsiTheme="majorEastAsia" w:eastAsiaTheme="majorEastAsia"/>
                <w:b/>
                <w:sz w:val="24"/>
                <w:szCs w:val="21"/>
              </w:rPr>
            </w:pPr>
          </w:p>
        </w:tc>
      </w:tr>
      <w:tr w14:paraId="11EE6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026" w:type="dxa"/>
            <w:gridSpan w:val="5"/>
          </w:tcPr>
          <w:p w14:paraId="1F5B1BD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8"/>
                <w:szCs w:val="21"/>
              </w:rPr>
              <w:t>二、</w:t>
            </w:r>
            <w:r>
              <w:rPr>
                <w:rFonts w:hint="eastAsia" w:cs="宋体" w:asciiTheme="majorEastAsia" w:hAnsiTheme="majorEastAsia" w:eastAsiaTheme="majorEastAsia"/>
                <w:sz w:val="24"/>
              </w:rPr>
              <w:t>★</w:t>
            </w:r>
            <w:r>
              <w:rPr>
                <w:rFonts w:hint="eastAsia" w:asciiTheme="majorEastAsia" w:hAnsiTheme="majorEastAsia" w:eastAsiaTheme="majorEastAsia"/>
                <w:b/>
                <w:sz w:val="28"/>
                <w:szCs w:val="21"/>
              </w:rPr>
              <w:t>商务需求</w:t>
            </w:r>
          </w:p>
        </w:tc>
      </w:tr>
      <w:tr w14:paraId="7A46B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67763DF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一、到货时间</w:t>
            </w:r>
            <w:r>
              <w:rPr>
                <w:rFonts w:asciiTheme="majorEastAsia" w:hAnsiTheme="majorEastAsia" w:eastAsiaTheme="majorEastAsia"/>
                <w:b/>
                <w:sz w:val="24"/>
                <w:szCs w:val="21"/>
              </w:rPr>
              <w:t xml:space="preserve"> </w:t>
            </w:r>
          </w:p>
        </w:tc>
        <w:tc>
          <w:tcPr>
            <w:tcW w:w="8261" w:type="dxa"/>
            <w:gridSpan w:val="2"/>
          </w:tcPr>
          <w:p w14:paraId="651C137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合同签订后并接采购人通知_</w:t>
            </w:r>
            <w:r>
              <w:rPr>
                <w:rFonts w:hint="eastAsia" w:cs="Times New Roman" w:asciiTheme="majorEastAsia" w:hAnsiTheme="majorEastAsia" w:eastAsiaTheme="majorEastAsia"/>
                <w:b/>
                <w:sz w:val="24"/>
                <w:szCs w:val="21"/>
              </w:rPr>
              <w:t>_</w:t>
            </w:r>
            <w:r>
              <w:rPr>
                <w:rFonts w:hint="eastAsia" w:cs="Times New Roman" w:asciiTheme="majorEastAsia" w:hAnsiTheme="majorEastAsia" w:eastAsiaTheme="majorEastAsia"/>
                <w:b/>
                <w:sz w:val="24"/>
                <w:szCs w:val="21"/>
                <w:lang w:val="en-US" w:eastAsia="zh-CN"/>
              </w:rPr>
              <w:t>90</w:t>
            </w:r>
            <w:r>
              <w:rPr>
                <w:rFonts w:hint="eastAsia" w:cs="Times New Roman" w:asciiTheme="majorEastAsia" w:hAnsiTheme="majorEastAsia" w:eastAsiaTheme="majorEastAsia"/>
                <w:b/>
                <w:sz w:val="24"/>
                <w:szCs w:val="21"/>
              </w:rPr>
              <w:t>_</w:t>
            </w:r>
            <w:r>
              <w:rPr>
                <w:rFonts w:hint="eastAsia" w:asciiTheme="majorEastAsia" w:hAnsiTheme="majorEastAsia" w:eastAsiaTheme="majorEastAsia"/>
                <w:b/>
                <w:sz w:val="24"/>
                <w:szCs w:val="21"/>
              </w:rPr>
              <w:t>__日历日内。</w:t>
            </w:r>
          </w:p>
        </w:tc>
      </w:tr>
      <w:tr w14:paraId="15E57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5267DD0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二、交货地点：</w:t>
            </w:r>
          </w:p>
        </w:tc>
        <w:tc>
          <w:tcPr>
            <w:tcW w:w="8261" w:type="dxa"/>
            <w:gridSpan w:val="2"/>
          </w:tcPr>
          <w:p w14:paraId="2DD4E208">
            <w:pPr>
              <w:adjustRightInd w:val="0"/>
              <w:snapToGrid w:val="0"/>
              <w:rPr>
                <w:rFonts w:asciiTheme="majorEastAsia" w:hAnsiTheme="majorEastAsia" w:eastAsiaTheme="majorEastAsia"/>
                <w:b/>
                <w:sz w:val="24"/>
                <w:szCs w:val="21"/>
              </w:rPr>
            </w:pPr>
            <w:r>
              <w:rPr>
                <w:rFonts w:asciiTheme="majorEastAsia" w:hAnsiTheme="majorEastAsia" w:eastAsiaTheme="majorEastAsia"/>
                <w:b/>
                <w:sz w:val="24"/>
                <w:szCs w:val="21"/>
              </w:rPr>
              <w:t>采购人指定地点</w:t>
            </w:r>
          </w:p>
        </w:tc>
      </w:tr>
      <w:tr w14:paraId="418B4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9061139">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三、报价要求：</w:t>
            </w:r>
          </w:p>
        </w:tc>
        <w:tc>
          <w:tcPr>
            <w:tcW w:w="8261" w:type="dxa"/>
            <w:gridSpan w:val="2"/>
          </w:tcPr>
          <w:p w14:paraId="52EE279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Cs w:val="21"/>
              </w:rPr>
              <w:t>报价必须是完成该项目的一切费用总和，包括设备费、运输费、装卸费、保险费、技术培训费、设备安装费、调试费、售后服务费、国家规定的各项税费等全部费用</w:t>
            </w:r>
          </w:p>
        </w:tc>
      </w:tr>
      <w:tr w14:paraId="5799A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49CFF8E">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四、付款方式</w:t>
            </w:r>
          </w:p>
        </w:tc>
        <w:tc>
          <w:tcPr>
            <w:tcW w:w="8261" w:type="dxa"/>
            <w:gridSpan w:val="2"/>
            <w:shd w:val="clear" w:color="auto" w:fill="auto"/>
            <w:vAlign w:val="top"/>
          </w:tcPr>
          <w:p w14:paraId="2E3348C2">
            <w:pPr>
              <w:adjustRightInd w:val="0"/>
              <w:snapToGrid w:val="0"/>
              <w:rPr>
                <w:rFonts w:hint="eastAsia" w:asciiTheme="majorEastAsia" w:hAnsiTheme="majorEastAsia" w:eastAsiaTheme="majorEastAsia"/>
                <w:b/>
                <w:szCs w:val="21"/>
              </w:rPr>
            </w:pPr>
            <w:r>
              <w:rPr>
                <w:rFonts w:hint="eastAsia" w:asciiTheme="majorEastAsia" w:hAnsiTheme="majorEastAsia" w:eastAsiaTheme="majorEastAsia"/>
                <w:b/>
                <w:szCs w:val="21"/>
              </w:rPr>
              <w:t>合同总价＜3万付款方式：</w:t>
            </w:r>
          </w:p>
          <w:p w14:paraId="6444C799">
            <w:pPr>
              <w:adjustRightInd w:val="0"/>
              <w:snapToGrid w:val="0"/>
              <w:rPr>
                <w:rFonts w:cs="Times New Roman" w:asciiTheme="majorEastAsia" w:hAnsiTheme="majorEastAsia" w:eastAsiaTheme="majorEastAsia"/>
                <w:b/>
                <w:kern w:val="2"/>
                <w:sz w:val="24"/>
                <w:szCs w:val="21"/>
                <w:lang w:val="en-US" w:eastAsia="zh-CN" w:bidi="ar-SA"/>
              </w:rPr>
            </w:pPr>
            <w:r>
              <w:rPr>
                <w:rFonts w:hint="eastAsia" w:asciiTheme="majorEastAsia" w:hAnsiTheme="majorEastAsia" w:eastAsiaTheme="majorEastAsia"/>
                <w:szCs w:val="21"/>
              </w:rPr>
              <w:t>货到清点、安装调试验收合格正常使用后，出具全额发票，甲方凭乙方提供的完整资料，自发票到达甲方财务之日起</w:t>
            </w:r>
            <w:r>
              <w:rPr>
                <w:rFonts w:hint="eastAsia" w:asciiTheme="majorEastAsia" w:hAnsiTheme="majorEastAsia" w:eastAsiaTheme="majorEastAsia"/>
                <w:color w:val="FF0000"/>
                <w:szCs w:val="21"/>
              </w:rPr>
              <w:t>10个工作日</w:t>
            </w:r>
            <w:r>
              <w:rPr>
                <w:rFonts w:hint="eastAsia" w:asciiTheme="majorEastAsia" w:hAnsiTheme="majorEastAsia" w:eastAsiaTheme="majorEastAsia"/>
                <w:szCs w:val="21"/>
              </w:rPr>
              <w:t>内，支付100%合同货款到乙方指定帐户。</w:t>
            </w:r>
          </w:p>
        </w:tc>
      </w:tr>
      <w:tr w14:paraId="61189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702AA28E">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五、交货要求</w:t>
            </w:r>
          </w:p>
        </w:tc>
        <w:tc>
          <w:tcPr>
            <w:tcW w:w="8261" w:type="dxa"/>
            <w:gridSpan w:val="2"/>
          </w:tcPr>
          <w:p w14:paraId="3247DB3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5.1 </w:t>
            </w:r>
            <w:r>
              <w:rPr>
                <w:rFonts w:asciiTheme="minorEastAsia" w:hAnsiTheme="minorEastAsia" w:eastAsiaTheme="minorEastAsia"/>
                <w:bCs/>
                <w:szCs w:val="21"/>
              </w:rPr>
              <w:t>中标</w:t>
            </w:r>
            <w:r>
              <w:rPr>
                <w:rFonts w:hint="eastAsia" w:asciiTheme="minorEastAsia" w:hAnsiTheme="minorEastAsia" w:eastAsiaTheme="minorEastAsia"/>
                <w:bCs/>
                <w:szCs w:val="21"/>
              </w:rPr>
              <w:t>人</w:t>
            </w:r>
            <w:r>
              <w:rPr>
                <w:rFonts w:asciiTheme="minorEastAsia" w:hAnsiTheme="minorEastAsia" w:eastAsiaTheme="minorEastAsia"/>
                <w:bCs/>
                <w:szCs w:val="21"/>
              </w:rPr>
              <w:t>应向采购人提供</w:t>
            </w:r>
            <w:r>
              <w:rPr>
                <w:rFonts w:hint="eastAsia" w:asciiTheme="minorEastAsia" w:hAnsiTheme="minorEastAsia" w:eastAsiaTheme="minorEastAsia"/>
                <w:bCs/>
                <w:szCs w:val="21"/>
              </w:rPr>
              <w:t>配置清单、产品说明书、图纸、操作手册、中文操作使用说明书、</w:t>
            </w:r>
            <w:r>
              <w:rPr>
                <w:rFonts w:asciiTheme="minorEastAsia" w:hAnsiTheme="minorEastAsia" w:eastAsiaTheme="minorEastAsia"/>
                <w:bCs/>
                <w:szCs w:val="21"/>
              </w:rPr>
              <w:t>设备原厂维护手册、维修手册、软件备份、故障代码表、备件清单、零部件、</w:t>
            </w:r>
            <w:r>
              <w:rPr>
                <w:rFonts w:hint="eastAsia" w:asciiTheme="minorEastAsia" w:hAnsiTheme="minorEastAsia" w:eastAsiaTheme="minorEastAsia"/>
                <w:bCs/>
                <w:szCs w:val="21"/>
              </w:rPr>
              <w:t>维护手册（含维修密码及接口数据）等维护维修必需的材料和信息。所有外文资料需提供中文译本。文件应随货物一并交付至采购人指定地点。</w:t>
            </w:r>
          </w:p>
          <w:p w14:paraId="2118809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5.2提供的货物必须为全新货物，出厂日期</w:t>
            </w:r>
            <w:r>
              <w:rPr>
                <w:rFonts w:hint="eastAsia" w:ascii="宋体" w:hAnsi="宋体"/>
                <w:szCs w:val="21"/>
              </w:rPr>
              <w:t>原则上</w:t>
            </w:r>
            <w:r>
              <w:rPr>
                <w:rFonts w:hint="eastAsia" w:asciiTheme="minorEastAsia" w:hAnsiTheme="minorEastAsia" w:eastAsiaTheme="minorEastAsia"/>
                <w:bCs/>
                <w:szCs w:val="21"/>
              </w:rPr>
              <w:t>在采购人收到日期前</w:t>
            </w:r>
            <w:r>
              <w:rPr>
                <w:rFonts w:asciiTheme="minorEastAsia" w:hAnsiTheme="minorEastAsia" w:eastAsiaTheme="minorEastAsia"/>
                <w:bCs/>
                <w:szCs w:val="21"/>
              </w:rPr>
              <w:t>12</w:t>
            </w:r>
            <w:r>
              <w:rPr>
                <w:rFonts w:hint="eastAsia" w:asciiTheme="minorEastAsia" w:hAnsiTheme="minorEastAsia" w:eastAsiaTheme="minorEastAsia"/>
                <w:bCs/>
                <w:szCs w:val="21"/>
              </w:rPr>
              <w:t>个月内经检验合格的产品</w:t>
            </w:r>
            <w:r>
              <w:rPr>
                <w:rFonts w:hint="eastAsia" w:ascii="宋体" w:hAnsi="宋体"/>
                <w:szCs w:val="21"/>
              </w:rPr>
              <w:t>，</w:t>
            </w:r>
            <w:r>
              <w:rPr>
                <w:rFonts w:hint="eastAsia" w:ascii="宋体" w:hAnsi="宋体"/>
                <w:color w:val="FF0000"/>
                <w:szCs w:val="21"/>
              </w:rPr>
              <w:t>若无法提供12个月内的产品，则采购人有权要求延长相应期限的产品保修期</w:t>
            </w:r>
            <w:r>
              <w:rPr>
                <w:rFonts w:hint="eastAsia" w:asciiTheme="minorEastAsia" w:hAnsiTheme="minorEastAsia" w:eastAsiaTheme="minorEastAsia"/>
                <w:bCs/>
                <w:szCs w:val="21"/>
              </w:rPr>
              <w:t>。产品如需要计量检定的应提供相关计量检定部门出具的合法检定报告。其中，进口设备必须具有报关证明文件、原产地证明和商检合格证明文件等相关证明文件，否则采购人概不接收。如国家规定的强检设备，由中标人负责完成首次计量强制检定，验收前中标人必须附上计量检定合格报告。</w:t>
            </w:r>
          </w:p>
          <w:p w14:paraId="382C5B7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5.3 采购人有权检验或测试货物，以确认货物是否符合合同规格的要求，并且不承担额外的费用。如发现所交货物与投标文件中所承诺的不符或存在质量、技术缺陷等,采购人可以拒绝接收该货物,中标人应在 7 日历日内采取补足、更换或退货等措施,以满足规格的要求，由此发生的一切损失和费用由中标人承担。</w:t>
            </w:r>
          </w:p>
          <w:p w14:paraId="4B478ED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5.4中标人负责货物的现场安装和调试,提供货物安装、调试和维修所需的专用工具和辅助材料。中标人应在货物运至指定地点后一周内开始安装调试,并在 30 日历日内安装调试完毕。</w:t>
            </w:r>
          </w:p>
          <w:p w14:paraId="4924D21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5.5货物安装需施工的，中标人应在合同签订前提供设备安装施工图纸，采购人与中标人共同签字确定安装场地施工方案。并承担设备的包装、运输、保险、装卸、安装调试、培训、商检及计量检测、关税、增值税和进口代理等费用。</w:t>
            </w:r>
          </w:p>
        </w:tc>
      </w:tr>
      <w:tr w14:paraId="4977C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D0DBBE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六、验收： </w:t>
            </w:r>
          </w:p>
        </w:tc>
        <w:tc>
          <w:tcPr>
            <w:tcW w:w="8261" w:type="dxa"/>
            <w:gridSpan w:val="2"/>
          </w:tcPr>
          <w:p w14:paraId="118A7F2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6.1中标人应派有经验的技术人员到现场进行安装、调试，直到设备正常使用。由采购人按合同和招标、投标文件约定的要求和标准及中华人民共和国现行的验收规范和评定标准进行交货验收。</w:t>
            </w:r>
          </w:p>
          <w:p w14:paraId="6A04F99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6.2 验收要求：货物必须满足以下条件后方可被采购方接受： </w:t>
            </w:r>
          </w:p>
          <w:p w14:paraId="5C44997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1）货物具备产品合格证。</w:t>
            </w:r>
          </w:p>
          <w:p w14:paraId="4FC9822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2）设备全新,外观无伤痕变形或明显修饰痕迹。</w:t>
            </w:r>
          </w:p>
          <w:p w14:paraId="19B9DD6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3）如有国标，必须符合有关规定；如无国标，则按照行业标准；如无国标及行业标准，则按双方约定执行。投标文件提供的技术数据经实测证实是真实的。检验及质量保证期内达到的性能指标与要求一致，达到或优于相应标准。</w:t>
            </w:r>
          </w:p>
          <w:p w14:paraId="507C8B7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4）技术文件资料、备件等已按规定数量移交完毕。</w:t>
            </w:r>
          </w:p>
          <w:p w14:paraId="3E5D522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5）按照招标书要求及投标文件提供的技术要求验收必须合格。</w:t>
            </w:r>
          </w:p>
          <w:p w14:paraId="690FE71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中标人提供的各种文件载明的内容必须真实，采购人对产品的技术数据置疑时有权要求中标人按照双方认可的第三方检测机构出具的检验方法进行检测及鉴定(检测费用由中标人承担)，检测结果必须证明中标人提供的技术数据是真实的，否则视为不合格</w:t>
            </w:r>
          </w:p>
          <w:p w14:paraId="1F51E62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7）在货物安装调试合格后，所有技术指标达到技术规范书要求，经验收合格后，双方共同签署验收报告。产品质保期自验收合格之日起算，由中标人提供产品质保文件。</w:t>
            </w:r>
          </w:p>
        </w:tc>
      </w:tr>
      <w:tr w14:paraId="228CD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7F494E47">
            <w:pPr>
              <w:adjustRightInd w:val="0"/>
              <w:snapToGrid w:val="0"/>
              <w:rPr>
                <w:rFonts w:asciiTheme="majorEastAsia" w:hAnsiTheme="majorEastAsia" w:eastAsiaTheme="majorEastAsia"/>
                <w:b/>
                <w:sz w:val="24"/>
                <w:szCs w:val="21"/>
                <w:highlight w:val="yellow"/>
              </w:rPr>
            </w:pPr>
            <w:r>
              <w:rPr>
                <w:rFonts w:hint="eastAsia" w:asciiTheme="majorEastAsia" w:hAnsiTheme="majorEastAsia" w:eastAsiaTheme="majorEastAsia"/>
                <w:b/>
                <w:sz w:val="24"/>
                <w:szCs w:val="21"/>
              </w:rPr>
              <w:t>七、售后服务要求：</w:t>
            </w:r>
          </w:p>
          <w:p w14:paraId="7C73B266">
            <w:pPr>
              <w:adjustRightInd w:val="0"/>
              <w:snapToGrid w:val="0"/>
              <w:rPr>
                <w:rFonts w:asciiTheme="majorEastAsia" w:hAnsiTheme="majorEastAsia" w:eastAsiaTheme="majorEastAsia"/>
                <w:sz w:val="24"/>
                <w:szCs w:val="21"/>
              </w:rPr>
            </w:pPr>
          </w:p>
        </w:tc>
        <w:tc>
          <w:tcPr>
            <w:tcW w:w="8261" w:type="dxa"/>
            <w:gridSpan w:val="2"/>
          </w:tcPr>
          <w:p w14:paraId="5311DEC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7.1</w:t>
            </w:r>
            <w:r>
              <w:rPr>
                <w:rFonts w:hint="eastAsia" w:ascii="宋体" w:hAnsi="宋体"/>
                <w:bCs/>
                <w:color w:val="FF0000"/>
                <w:szCs w:val="21"/>
              </w:rPr>
              <w:t>各投标人应在投标文件中承诺</w:t>
            </w:r>
            <w:r>
              <w:rPr>
                <w:rFonts w:hint="eastAsia" w:ascii="宋体" w:hAnsi="宋体"/>
                <w:bCs/>
                <w:color w:val="0070C0"/>
                <w:szCs w:val="21"/>
              </w:rPr>
              <w:t>报价已包含提供整机原厂保修期</w:t>
            </w:r>
            <w:r>
              <w:rPr>
                <w:rFonts w:hint="eastAsia" w:asciiTheme="minorEastAsia" w:hAnsiTheme="minorEastAsia" w:eastAsiaTheme="minorEastAsia"/>
                <w:bCs/>
                <w:color w:val="FF0000"/>
                <w:szCs w:val="21"/>
                <w:u w:val="single"/>
              </w:rPr>
              <w:t xml:space="preserve">  </w:t>
            </w:r>
            <w:r>
              <w:rPr>
                <w:rFonts w:hint="eastAsia" w:asciiTheme="minorEastAsia" w:hAnsiTheme="minorEastAsia" w:eastAsiaTheme="minorEastAsia"/>
                <w:bCs/>
                <w:color w:val="FF0000"/>
                <w:szCs w:val="21"/>
                <w:u w:val="single"/>
                <w:lang w:val="en-US" w:eastAsia="zh-CN"/>
              </w:rPr>
              <w:t xml:space="preserve">  </w:t>
            </w:r>
            <w:r>
              <w:rPr>
                <w:rFonts w:hint="eastAsia" w:asciiTheme="minorEastAsia" w:hAnsiTheme="minorEastAsia" w:eastAsiaTheme="minorEastAsia"/>
                <w:bCs/>
                <w:color w:val="FF0000"/>
                <w:szCs w:val="21"/>
                <w:u w:val="single"/>
              </w:rPr>
              <w:t xml:space="preserve">  </w:t>
            </w:r>
            <w:r>
              <w:rPr>
                <w:rFonts w:hint="eastAsia" w:asciiTheme="minorEastAsia" w:hAnsiTheme="minorEastAsia" w:eastAsiaTheme="minorEastAsia"/>
                <w:bCs/>
                <w:color w:val="FF0000"/>
                <w:szCs w:val="21"/>
              </w:rPr>
              <w:t>年（填写的数值≥3年）</w:t>
            </w:r>
            <w:r>
              <w:rPr>
                <w:rFonts w:hint="eastAsia" w:asciiTheme="minorEastAsia" w:hAnsiTheme="minorEastAsia" w:eastAsiaTheme="minorEastAsia"/>
                <w:bCs/>
                <w:szCs w:val="21"/>
              </w:rPr>
              <w:t>，终身维修。</w:t>
            </w:r>
            <w:r>
              <w:rPr>
                <w:rFonts w:hint="eastAsia" w:ascii="宋体" w:hAnsi="宋体"/>
                <w:bCs/>
                <w:color w:val="0070C0"/>
                <w:szCs w:val="21"/>
              </w:rPr>
              <w:t>保修期</w:t>
            </w:r>
            <w:r>
              <w:rPr>
                <w:rFonts w:hint="eastAsia" w:asciiTheme="minorEastAsia" w:hAnsiTheme="minorEastAsia" w:eastAsiaTheme="minorEastAsia"/>
                <w:bCs/>
                <w:szCs w:val="21"/>
              </w:rPr>
              <w:t>内</w:t>
            </w:r>
            <w:r>
              <w:rPr>
                <w:rFonts w:asciiTheme="minorEastAsia" w:hAnsiTheme="minorEastAsia" w:eastAsiaTheme="minorEastAsia"/>
                <w:bCs/>
                <w:szCs w:val="21"/>
              </w:rPr>
              <w:t>,</w:t>
            </w:r>
            <w:r>
              <w:rPr>
                <w:rFonts w:hint="eastAsia" w:asciiTheme="minorEastAsia" w:hAnsiTheme="minorEastAsia" w:eastAsiaTheme="minorEastAsia"/>
                <w:bCs/>
                <w:szCs w:val="21"/>
              </w:rPr>
              <w:t>年度定期预防性维护保养次数应不少于 2 次并留存维护记录。</w:t>
            </w:r>
            <w:r>
              <w:rPr>
                <w:rFonts w:hint="eastAsia" w:asciiTheme="minorEastAsia" w:hAnsiTheme="minorEastAsia" w:eastAsiaTheme="minorEastAsia"/>
                <w:bCs/>
                <w:color w:val="0070C0"/>
                <w:szCs w:val="21"/>
              </w:rPr>
              <w:t>报价已包含</w:t>
            </w:r>
            <w:r>
              <w:rPr>
                <w:rFonts w:hint="eastAsia" w:ascii="宋体" w:hAnsi="宋体"/>
                <w:bCs/>
                <w:color w:val="0070C0"/>
                <w:szCs w:val="21"/>
              </w:rPr>
              <w:t>保修期</w:t>
            </w:r>
            <w:r>
              <w:rPr>
                <w:rFonts w:hint="eastAsia" w:asciiTheme="minorEastAsia" w:hAnsiTheme="minorEastAsia" w:eastAsiaTheme="minorEastAsia"/>
                <w:bCs/>
                <w:color w:val="0070C0"/>
                <w:szCs w:val="21"/>
              </w:rPr>
              <w:t>内更换零配件及工时费</w:t>
            </w:r>
            <w:r>
              <w:rPr>
                <w:rFonts w:hint="eastAsia" w:asciiTheme="minorEastAsia" w:hAnsiTheme="minorEastAsia" w:eastAsiaTheme="minorEastAsia"/>
                <w:bCs/>
                <w:szCs w:val="21"/>
              </w:rPr>
              <w:t>。</w:t>
            </w:r>
          </w:p>
          <w:p w14:paraId="5CDC5466">
            <w:pPr>
              <w:adjustRightInd w:val="0"/>
              <w:snapToGrid w:val="0"/>
              <w:ind w:firstLine="360" w:firstLineChars="200"/>
              <w:rPr>
                <w:rFonts w:asciiTheme="minorEastAsia" w:hAnsiTheme="minorEastAsia" w:eastAsiaTheme="minorEastAsia"/>
                <w:bCs/>
                <w:sz w:val="18"/>
                <w:szCs w:val="21"/>
              </w:rPr>
            </w:pPr>
            <w:r>
              <w:rPr>
                <w:rFonts w:hint="eastAsia" w:asciiTheme="minorEastAsia" w:hAnsiTheme="minorEastAsia" w:eastAsiaTheme="minorEastAsia"/>
                <w:bCs/>
                <w:sz w:val="18"/>
                <w:szCs w:val="21"/>
              </w:rPr>
              <w:t>（备注：质保期是指投标人应在该期间内对本项目下交付的所有货物提供质量保证，不包括消耗品的配送。）</w:t>
            </w:r>
          </w:p>
          <w:p w14:paraId="1A34373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7.2    4小时内响应，24 小时维修到位（不可抗力情况除外）。消耗品和零配件供应及时，质保期</w:t>
            </w:r>
            <w:r>
              <w:rPr>
                <w:rFonts w:asciiTheme="minorEastAsia" w:hAnsiTheme="minorEastAsia" w:eastAsiaTheme="minorEastAsia"/>
                <w:bCs/>
                <w:szCs w:val="21"/>
              </w:rPr>
              <w:t>内及外设备出现故障不能正常使用，</w:t>
            </w:r>
            <w:r>
              <w:rPr>
                <w:rFonts w:asciiTheme="minorEastAsia" w:hAnsiTheme="minorEastAsia" w:eastAsiaTheme="minorEastAsia"/>
                <w:bCs/>
                <w:color w:val="0070C0"/>
                <w:szCs w:val="21"/>
              </w:rPr>
              <w:t>中标</w:t>
            </w:r>
            <w:r>
              <w:rPr>
                <w:rFonts w:hint="eastAsia" w:asciiTheme="minorEastAsia" w:hAnsiTheme="minorEastAsia" w:eastAsiaTheme="minorEastAsia"/>
                <w:bCs/>
                <w:color w:val="0070C0"/>
                <w:szCs w:val="21"/>
              </w:rPr>
              <w:t>人报价已包含</w:t>
            </w:r>
            <w:r>
              <w:rPr>
                <w:rFonts w:asciiTheme="minorEastAsia" w:hAnsiTheme="minorEastAsia" w:eastAsiaTheme="minorEastAsia"/>
                <w:bCs/>
                <w:color w:val="0070C0"/>
                <w:szCs w:val="21"/>
              </w:rPr>
              <w:t>提供备用机给采购人使用直至设备修复完好投入使用</w:t>
            </w:r>
            <w:r>
              <w:rPr>
                <w:rFonts w:hint="eastAsia" w:asciiTheme="minorEastAsia" w:hAnsiTheme="minorEastAsia" w:eastAsiaTheme="minorEastAsia"/>
                <w:bCs/>
                <w:color w:val="0070C0"/>
                <w:szCs w:val="21"/>
              </w:rPr>
              <w:t>的服务</w:t>
            </w:r>
            <w:r>
              <w:rPr>
                <w:rFonts w:asciiTheme="minorEastAsia" w:hAnsiTheme="minorEastAsia" w:eastAsiaTheme="minorEastAsia"/>
                <w:bCs/>
                <w:color w:val="0070C0"/>
                <w:szCs w:val="21"/>
              </w:rPr>
              <w:t>。</w:t>
            </w:r>
          </w:p>
          <w:p w14:paraId="27263AF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7.3质保期满以后，中标人对设备终身负责维修、安装、升级软件服务，长期以优惠价提供零配件（中标供应商提供主要零配件报价单）。</w:t>
            </w:r>
          </w:p>
          <w:p w14:paraId="10BC0E0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7.4</w:t>
            </w:r>
            <w:r>
              <w:rPr>
                <w:rFonts w:hint="eastAsia" w:asciiTheme="minorEastAsia" w:hAnsiTheme="minorEastAsia" w:eastAsiaTheme="minorEastAsia"/>
                <w:bCs/>
                <w:color w:val="0070C0"/>
                <w:szCs w:val="21"/>
              </w:rPr>
              <w:t>报价已包含终身提供软件升级服务,并开放设备接口，派人配合与医院各信息系统的连接工作</w:t>
            </w:r>
            <w:r>
              <w:rPr>
                <w:rFonts w:hint="eastAsia" w:asciiTheme="minorEastAsia" w:hAnsiTheme="minorEastAsia" w:eastAsiaTheme="minorEastAsia"/>
                <w:bCs/>
                <w:szCs w:val="21"/>
              </w:rPr>
              <w:t>，直至该设备与医院信息系统可进行完整的数据交换；在设备保修期内，当医院信息系统变更并需要与该设备连接时，</w:t>
            </w:r>
            <w:r>
              <w:rPr>
                <w:rFonts w:hint="eastAsia" w:asciiTheme="minorEastAsia" w:hAnsiTheme="minorEastAsia" w:eastAsiaTheme="minorEastAsia"/>
                <w:bCs/>
                <w:color w:val="0070C0"/>
                <w:szCs w:val="21"/>
              </w:rPr>
              <w:t>需派人</w:t>
            </w:r>
            <w:r>
              <w:rPr>
                <w:rFonts w:hint="eastAsia" w:asciiTheme="minorEastAsia" w:hAnsiTheme="minorEastAsia" w:eastAsiaTheme="minorEastAsia"/>
                <w:bCs/>
                <w:szCs w:val="21"/>
              </w:rPr>
              <w:t>配合直至该设备与医院信息系统可进行完整的数据交换</w:t>
            </w:r>
            <w:r>
              <w:rPr>
                <w:rFonts w:hint="eastAsia" w:asciiTheme="minorEastAsia" w:hAnsiTheme="minorEastAsia" w:eastAsiaTheme="minorEastAsia"/>
                <w:bCs/>
                <w:color w:val="0070C0"/>
                <w:szCs w:val="21"/>
              </w:rPr>
              <w:t>，且采购人无需另行支付费用。</w:t>
            </w:r>
          </w:p>
          <w:p w14:paraId="7681392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7.5质保期内【设备故障率】≤【 5 】%。【设备故障率】未达要求的，每升高【1】%，质保期顺延【30 】天。当【设备故障率】≥【 10 】%时，投标人必须在采购人提出要求之日起【 30 】日内无条件更换新机，并按该设备总价的【5】%向采购人支付违约金，由此造成采购人其他损失的，中标人应另行赔偿。中标人维修的指定邮箱</w:t>
            </w:r>
            <w:r>
              <w:rPr>
                <w:rFonts w:asciiTheme="minorEastAsia" w:hAnsiTheme="minorEastAsia" w:eastAsiaTheme="minorEastAsia"/>
                <w:bCs/>
                <w:szCs w:val="21"/>
              </w:rPr>
              <w:t>，</w:t>
            </w:r>
            <w:r>
              <w:rPr>
                <w:rFonts w:hint="eastAsia" w:asciiTheme="minorEastAsia" w:hAnsiTheme="minorEastAsia" w:eastAsiaTheme="minorEastAsia"/>
                <w:bCs/>
                <w:szCs w:val="21"/>
              </w:rPr>
              <w:t>采购人维修通知的邮件发出后，视为采购人的维修通知送达中标人。</w:t>
            </w:r>
          </w:p>
          <w:p w14:paraId="59E9EE8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7.6</w:t>
            </w:r>
            <w:r>
              <w:rPr>
                <w:rFonts w:hint="eastAsia"/>
              </w:rPr>
              <w:t>质保期满后，中标人应以优惠价供应维修零配件、消耗品。签订合同时填写合同模板中的《设备配套消耗材料报价单》和《设备主要维修配件报价单》。采购人可与中标人就优惠价进行谈判，但优惠价不得高于签订合同时承诺的维修零配件、消耗品的报价。</w:t>
            </w:r>
            <w:r>
              <w:rPr>
                <w:rFonts w:hint="eastAsia" w:asciiTheme="minorEastAsia" w:hAnsiTheme="minorEastAsia" w:eastAsiaTheme="minorEastAsia"/>
                <w:bCs/>
                <w:szCs w:val="21"/>
              </w:rPr>
              <w:t>质保期</w:t>
            </w:r>
            <w:r>
              <w:rPr>
                <w:rFonts w:asciiTheme="minorEastAsia" w:hAnsiTheme="minorEastAsia" w:eastAsiaTheme="minorEastAsia"/>
                <w:bCs/>
                <w:szCs w:val="21"/>
              </w:rPr>
              <w:t>满后，</w:t>
            </w:r>
            <w:r>
              <w:rPr>
                <w:rFonts w:hint="eastAsia" w:asciiTheme="minorEastAsia" w:hAnsiTheme="minorEastAsia" w:eastAsiaTheme="minorEastAsia"/>
                <w:bCs/>
                <w:szCs w:val="21"/>
              </w:rPr>
              <w:t>中标</w:t>
            </w:r>
            <w:r>
              <w:rPr>
                <w:rFonts w:asciiTheme="minorEastAsia" w:hAnsiTheme="minorEastAsia" w:eastAsiaTheme="minorEastAsia"/>
                <w:bCs/>
                <w:szCs w:val="21"/>
              </w:rPr>
              <w:t>人应以优惠价供应维修零配件、消耗品和延续保修合同。价格最高的前5项零配件、消耗品和延续保修合同的报价明细必须填写于《合同报价清单》中。采购人可与</w:t>
            </w:r>
            <w:r>
              <w:rPr>
                <w:rFonts w:hint="eastAsia" w:asciiTheme="minorEastAsia" w:hAnsiTheme="minorEastAsia" w:eastAsiaTheme="minorEastAsia"/>
                <w:bCs/>
                <w:szCs w:val="21"/>
              </w:rPr>
              <w:t>中标</w:t>
            </w:r>
            <w:r>
              <w:rPr>
                <w:rFonts w:asciiTheme="minorEastAsia" w:hAnsiTheme="minorEastAsia" w:eastAsiaTheme="minorEastAsia"/>
                <w:bCs/>
                <w:szCs w:val="21"/>
              </w:rPr>
              <w:t>人就优惠价进行谈判，但优惠价不得高于</w:t>
            </w:r>
            <w:r>
              <w:rPr>
                <w:rFonts w:hint="eastAsia" w:asciiTheme="minorEastAsia" w:hAnsiTheme="minorEastAsia" w:eastAsiaTheme="minorEastAsia"/>
                <w:bCs/>
                <w:szCs w:val="21"/>
              </w:rPr>
              <w:t>中标</w:t>
            </w:r>
            <w:r>
              <w:rPr>
                <w:rFonts w:asciiTheme="minorEastAsia" w:hAnsiTheme="minorEastAsia" w:eastAsiaTheme="minorEastAsia"/>
                <w:bCs/>
                <w:szCs w:val="21"/>
              </w:rPr>
              <w:t>人在投标文件的《零配件、消耗品和延续保修合同报价清单》中承诺的维修零配件、消耗品和延续保修合同的报价。</w:t>
            </w:r>
          </w:p>
        </w:tc>
      </w:tr>
      <w:tr w14:paraId="5354A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03732708">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八、培训要求 </w:t>
            </w:r>
          </w:p>
        </w:tc>
        <w:tc>
          <w:tcPr>
            <w:tcW w:w="8261" w:type="dxa"/>
            <w:gridSpan w:val="2"/>
          </w:tcPr>
          <w:p w14:paraId="32874201">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需针对临床使用人员及工程人员设计培训方案，主要内容包括但不限于：临床使用及维护保养培训：设备的基本结构、性能、主要部件的构造及修理，日常使用保养与管理，常见故障的排除，紧急情况的处理等,直至能独立操作并附培训方案。</w:t>
            </w:r>
          </w:p>
        </w:tc>
      </w:tr>
      <w:tr w14:paraId="61F70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EE5533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九、违约责任</w:t>
            </w:r>
          </w:p>
        </w:tc>
        <w:tc>
          <w:tcPr>
            <w:tcW w:w="8261" w:type="dxa"/>
            <w:gridSpan w:val="2"/>
          </w:tcPr>
          <w:p w14:paraId="4846A64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9.1中标人所交设备的品种、型号、规格、质量、功能、技术参数等方面不能实质性满足招标文件，</w:t>
            </w:r>
            <w:r>
              <w:rPr>
                <w:rFonts w:asciiTheme="minorEastAsia" w:hAnsiTheme="minorEastAsia" w:eastAsiaTheme="minorEastAsia"/>
                <w:bCs/>
                <w:szCs w:val="21"/>
              </w:rPr>
              <w:t>交付的货物不符合合同规定的</w:t>
            </w:r>
            <w:r>
              <w:rPr>
                <w:rFonts w:hint="eastAsia" w:asciiTheme="minorEastAsia" w:hAnsiTheme="minorEastAsia" w:eastAsiaTheme="minorEastAsia"/>
                <w:bCs/>
                <w:szCs w:val="21"/>
              </w:rPr>
              <w:t>，采购人有权拒绝收货，且中标</w:t>
            </w:r>
            <w:r>
              <w:rPr>
                <w:rFonts w:asciiTheme="minorEastAsia" w:hAnsiTheme="minorEastAsia" w:eastAsiaTheme="minorEastAsia"/>
                <w:bCs/>
                <w:szCs w:val="21"/>
              </w:rPr>
              <w:t>人向采购人支付合同总价的5%</w:t>
            </w:r>
            <w:r>
              <w:rPr>
                <w:rFonts w:hint="eastAsia" w:asciiTheme="minorEastAsia" w:hAnsiTheme="minorEastAsia" w:eastAsiaTheme="minorEastAsia"/>
                <w:bCs/>
                <w:szCs w:val="21"/>
              </w:rPr>
              <w:t>的违约金。</w:t>
            </w:r>
          </w:p>
          <w:p w14:paraId="347A704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9.2中标人逾期交货，或逾期完成安装调试，或货物逾期通过验收的，中标人均应支付逾期违约金，每日按合同总价的5‰计算；逾期超过三十日的，中标人需向采购人另行支付合同总价的10%的违约金，且采购人有权单方解除本合同，中标人于收到采购人发出的解除通知书后三日内无条件退回采购人已支付的全部款项。此条款与9.1条同时执行。</w:t>
            </w:r>
          </w:p>
        </w:tc>
      </w:tr>
      <w:tr w14:paraId="7DA9B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Borders>
              <w:bottom w:val="single" w:color="auto" w:sz="4" w:space="0"/>
            </w:tcBorders>
          </w:tcPr>
          <w:p w14:paraId="234B167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十、其他</w:t>
            </w:r>
          </w:p>
        </w:tc>
        <w:tc>
          <w:tcPr>
            <w:tcW w:w="8261" w:type="dxa"/>
            <w:gridSpan w:val="2"/>
            <w:tcBorders>
              <w:bottom w:val="single" w:color="auto" w:sz="4" w:space="0"/>
            </w:tcBorders>
          </w:tcPr>
          <w:p w14:paraId="2948DB3E">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10.1如有设备相关耗材、试剂或易损器械，设备及主要维修配件，请提供并分别列出它们的优惠价格。</w:t>
            </w:r>
          </w:p>
          <w:p w14:paraId="0680ABBE">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10.2设备电源插头符合使用科室现有的插座，如不符合提供相应的插头转换接口。</w:t>
            </w:r>
          </w:p>
          <w:p w14:paraId="7ADD18CE">
            <w:pPr>
              <w:adjustRightInd w:val="0"/>
              <w:snapToGrid w:val="0"/>
              <w:ind w:firstLine="420" w:firstLineChars="200"/>
              <w:rPr>
                <w:rFonts w:asciiTheme="minorEastAsia" w:hAnsiTheme="minorEastAsia" w:eastAsiaTheme="minorEastAsia"/>
                <w:bCs/>
                <w:szCs w:val="21"/>
              </w:rPr>
            </w:pPr>
            <w:r>
              <w:rPr>
                <w:rFonts w:asciiTheme="minorEastAsia" w:hAnsiTheme="minorEastAsia" w:eastAsiaTheme="minorEastAsia"/>
                <w:bCs/>
                <w:szCs w:val="21"/>
              </w:rPr>
              <w:t>10.</w:t>
            </w:r>
            <w:r>
              <w:rPr>
                <w:rFonts w:hint="eastAsia" w:asciiTheme="minorEastAsia" w:hAnsiTheme="minorEastAsia" w:eastAsiaTheme="minorEastAsia"/>
                <w:bCs/>
                <w:szCs w:val="21"/>
              </w:rPr>
              <w:t>3如涉及工程类需提供相关的电路图、施工图，安装工程所涉及到的全部费用（包含但不限于装修费、旧设备拆装费、总承包管理服务费、安装如涉及外接电源、网络、给排水、排风等必须对现有设施进行改造或增加管线、材料及人工等），均由中标人承担，电源电线插座、长度和用电等需符合采购人的使用要求，所供设备均需妥善安装确保采购人可正常使用。</w:t>
            </w:r>
          </w:p>
          <w:p w14:paraId="5AAC035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10.4中标人所交付货物、工程或服务不符合其投标承诺的，或在投标阶段为中标而盲目虚假承诺、低价恶性竞争，在履约阶段则通过偷工减料、以次充好而获取利润的，将不予验收，并交主管部门遵照相关规定处理，所有责任由中标人一力承担。</w:t>
            </w:r>
          </w:p>
        </w:tc>
      </w:tr>
    </w:tbl>
    <w:p w14:paraId="28C1DF33">
      <w:pPr>
        <w:rPr>
          <w:rFonts w:hint="eastAsia" w:ascii="宋体" w:hAnsi="宋体"/>
          <w:sz w:val="24"/>
        </w:rPr>
      </w:pPr>
    </w:p>
    <w:sectPr>
      <w:footerReference r:id="rId3" w:type="default"/>
      <w:pgSz w:w="11906" w:h="16838"/>
      <w:pgMar w:top="284" w:right="851" w:bottom="284" w:left="851" w:header="113" w:footer="28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icrosoft JhengHei UI Light">
    <w:panose1 w:val="020B0304030504040204"/>
    <w:charset w:val="88"/>
    <w:family w:val="swiss"/>
    <w:pitch w:val="default"/>
    <w:sig w:usb0="8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embedRegular r:id="rId1" w:fontKey="{0F69E9C0-8437-430C-8F44-57CF1411130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375192"/>
      <w:docPartObj>
        <w:docPartGallery w:val="autotext"/>
      </w:docPartObj>
    </w:sdtPr>
    <w:sdtContent>
      <w:sdt>
        <w:sdtPr>
          <w:id w:val="171357217"/>
          <w:docPartObj>
            <w:docPartGallery w:val="autotext"/>
          </w:docPartObj>
        </w:sdtPr>
        <w:sdtContent>
          <w:p w14:paraId="3F743C17">
            <w:pPr>
              <w:pStyle w:val="8"/>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5</w:t>
            </w:r>
            <w:r>
              <w:rPr>
                <w:b/>
                <w:sz w:val="24"/>
                <w:szCs w:val="24"/>
              </w:rPr>
              <w:fldChar w:fldCharType="end"/>
            </w:r>
          </w:p>
        </w:sdtContent>
      </w:sdt>
    </w:sdtContent>
  </w:sdt>
  <w:p w14:paraId="2A975325">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870740"/>
    <w:multiLevelType w:val="singleLevel"/>
    <w:tmpl w:val="5B870740"/>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403"/>
    <w:rsid w:val="00005907"/>
    <w:rsid w:val="00014A66"/>
    <w:rsid w:val="000170C1"/>
    <w:rsid w:val="00021B63"/>
    <w:rsid w:val="00022431"/>
    <w:rsid w:val="00024E35"/>
    <w:rsid w:val="00027536"/>
    <w:rsid w:val="00027A10"/>
    <w:rsid w:val="0003257D"/>
    <w:rsid w:val="00047765"/>
    <w:rsid w:val="00056650"/>
    <w:rsid w:val="000910F0"/>
    <w:rsid w:val="00091320"/>
    <w:rsid w:val="00094BE5"/>
    <w:rsid w:val="000B173B"/>
    <w:rsid w:val="000C2EB1"/>
    <w:rsid w:val="000D332B"/>
    <w:rsid w:val="000D486B"/>
    <w:rsid w:val="000D528A"/>
    <w:rsid w:val="000E2EEF"/>
    <w:rsid w:val="000E6D84"/>
    <w:rsid w:val="00100E5F"/>
    <w:rsid w:val="00117159"/>
    <w:rsid w:val="00117B29"/>
    <w:rsid w:val="00122AB5"/>
    <w:rsid w:val="00141F0D"/>
    <w:rsid w:val="00147AA8"/>
    <w:rsid w:val="00147DE0"/>
    <w:rsid w:val="00162C8C"/>
    <w:rsid w:val="00164210"/>
    <w:rsid w:val="0017347E"/>
    <w:rsid w:val="00173505"/>
    <w:rsid w:val="001755A1"/>
    <w:rsid w:val="001B112F"/>
    <w:rsid w:val="001B29FF"/>
    <w:rsid w:val="001F45BE"/>
    <w:rsid w:val="001F5D4E"/>
    <w:rsid w:val="00201CE8"/>
    <w:rsid w:val="00207531"/>
    <w:rsid w:val="00213A4E"/>
    <w:rsid w:val="00214240"/>
    <w:rsid w:val="0022066A"/>
    <w:rsid w:val="00223188"/>
    <w:rsid w:val="002243DF"/>
    <w:rsid w:val="0024191C"/>
    <w:rsid w:val="00244C7F"/>
    <w:rsid w:val="00262E90"/>
    <w:rsid w:val="002850D0"/>
    <w:rsid w:val="002956A8"/>
    <w:rsid w:val="0029701C"/>
    <w:rsid w:val="00297C31"/>
    <w:rsid w:val="002B3785"/>
    <w:rsid w:val="002F5D5E"/>
    <w:rsid w:val="00307648"/>
    <w:rsid w:val="003213BB"/>
    <w:rsid w:val="00321F08"/>
    <w:rsid w:val="00322AE6"/>
    <w:rsid w:val="00326BC1"/>
    <w:rsid w:val="00334AA0"/>
    <w:rsid w:val="00352B55"/>
    <w:rsid w:val="00354F4C"/>
    <w:rsid w:val="003942D3"/>
    <w:rsid w:val="0039648A"/>
    <w:rsid w:val="003D442D"/>
    <w:rsid w:val="003D7EF0"/>
    <w:rsid w:val="004164F9"/>
    <w:rsid w:val="00423853"/>
    <w:rsid w:val="00423C2F"/>
    <w:rsid w:val="00446E5F"/>
    <w:rsid w:val="00455236"/>
    <w:rsid w:val="00456EA0"/>
    <w:rsid w:val="00465CFB"/>
    <w:rsid w:val="00465E46"/>
    <w:rsid w:val="00472034"/>
    <w:rsid w:val="00497BF4"/>
    <w:rsid w:val="004B1081"/>
    <w:rsid w:val="004B3240"/>
    <w:rsid w:val="004B3CFF"/>
    <w:rsid w:val="004C1160"/>
    <w:rsid w:val="004C74AE"/>
    <w:rsid w:val="004D0A11"/>
    <w:rsid w:val="004E0D21"/>
    <w:rsid w:val="004F46AD"/>
    <w:rsid w:val="004F6661"/>
    <w:rsid w:val="00504B0F"/>
    <w:rsid w:val="00523CD5"/>
    <w:rsid w:val="005275A8"/>
    <w:rsid w:val="00535190"/>
    <w:rsid w:val="0053721B"/>
    <w:rsid w:val="00542363"/>
    <w:rsid w:val="00543959"/>
    <w:rsid w:val="0055112D"/>
    <w:rsid w:val="00553925"/>
    <w:rsid w:val="005666F4"/>
    <w:rsid w:val="005675B0"/>
    <w:rsid w:val="005772ED"/>
    <w:rsid w:val="00590721"/>
    <w:rsid w:val="00597CA2"/>
    <w:rsid w:val="005C211C"/>
    <w:rsid w:val="005C239D"/>
    <w:rsid w:val="005C57CC"/>
    <w:rsid w:val="005D1F81"/>
    <w:rsid w:val="00603257"/>
    <w:rsid w:val="0060593D"/>
    <w:rsid w:val="006231CE"/>
    <w:rsid w:val="00651D42"/>
    <w:rsid w:val="00654133"/>
    <w:rsid w:val="00662021"/>
    <w:rsid w:val="00662B11"/>
    <w:rsid w:val="006C7CF0"/>
    <w:rsid w:val="006D3D0D"/>
    <w:rsid w:val="006D571D"/>
    <w:rsid w:val="007024B9"/>
    <w:rsid w:val="007130B5"/>
    <w:rsid w:val="00716C4F"/>
    <w:rsid w:val="007246DD"/>
    <w:rsid w:val="00750A3D"/>
    <w:rsid w:val="007554DF"/>
    <w:rsid w:val="00793785"/>
    <w:rsid w:val="007A0C07"/>
    <w:rsid w:val="007A2E18"/>
    <w:rsid w:val="007A7BFE"/>
    <w:rsid w:val="007B1DF4"/>
    <w:rsid w:val="007C4096"/>
    <w:rsid w:val="007D196F"/>
    <w:rsid w:val="007D65D9"/>
    <w:rsid w:val="007E274A"/>
    <w:rsid w:val="0080050C"/>
    <w:rsid w:val="008120B0"/>
    <w:rsid w:val="00813523"/>
    <w:rsid w:val="00871F5E"/>
    <w:rsid w:val="00872D2F"/>
    <w:rsid w:val="00874934"/>
    <w:rsid w:val="00876B02"/>
    <w:rsid w:val="008802B6"/>
    <w:rsid w:val="008964A3"/>
    <w:rsid w:val="008B74EE"/>
    <w:rsid w:val="008C28A8"/>
    <w:rsid w:val="008D2C79"/>
    <w:rsid w:val="008D3E82"/>
    <w:rsid w:val="008E56F3"/>
    <w:rsid w:val="0090107D"/>
    <w:rsid w:val="009122AA"/>
    <w:rsid w:val="00914B58"/>
    <w:rsid w:val="00930B23"/>
    <w:rsid w:val="00936CEC"/>
    <w:rsid w:val="009376BC"/>
    <w:rsid w:val="00937D3D"/>
    <w:rsid w:val="00947CF3"/>
    <w:rsid w:val="00953822"/>
    <w:rsid w:val="00972C2D"/>
    <w:rsid w:val="009764EB"/>
    <w:rsid w:val="009908D7"/>
    <w:rsid w:val="00991D87"/>
    <w:rsid w:val="00996AC8"/>
    <w:rsid w:val="009978E3"/>
    <w:rsid w:val="009A130E"/>
    <w:rsid w:val="009A1DE2"/>
    <w:rsid w:val="009B5AA8"/>
    <w:rsid w:val="009E6FD2"/>
    <w:rsid w:val="009F5BF6"/>
    <w:rsid w:val="00A043A8"/>
    <w:rsid w:val="00A0782D"/>
    <w:rsid w:val="00A17D1D"/>
    <w:rsid w:val="00A303A3"/>
    <w:rsid w:val="00A619BE"/>
    <w:rsid w:val="00A903C7"/>
    <w:rsid w:val="00AA4B4A"/>
    <w:rsid w:val="00AA6962"/>
    <w:rsid w:val="00AB2610"/>
    <w:rsid w:val="00AF5FA9"/>
    <w:rsid w:val="00AF7A87"/>
    <w:rsid w:val="00B01564"/>
    <w:rsid w:val="00B06C01"/>
    <w:rsid w:val="00B21F51"/>
    <w:rsid w:val="00B22795"/>
    <w:rsid w:val="00B24F9E"/>
    <w:rsid w:val="00B25EF8"/>
    <w:rsid w:val="00B74119"/>
    <w:rsid w:val="00B82233"/>
    <w:rsid w:val="00BA17A1"/>
    <w:rsid w:val="00BA5B17"/>
    <w:rsid w:val="00BC4EC7"/>
    <w:rsid w:val="00BC5AE8"/>
    <w:rsid w:val="00BF1CC2"/>
    <w:rsid w:val="00BF69AA"/>
    <w:rsid w:val="00C03748"/>
    <w:rsid w:val="00C05356"/>
    <w:rsid w:val="00C11198"/>
    <w:rsid w:val="00C13828"/>
    <w:rsid w:val="00C32BEC"/>
    <w:rsid w:val="00C35949"/>
    <w:rsid w:val="00C46532"/>
    <w:rsid w:val="00C52EBE"/>
    <w:rsid w:val="00C55020"/>
    <w:rsid w:val="00C619DD"/>
    <w:rsid w:val="00C67D6C"/>
    <w:rsid w:val="00C77FD8"/>
    <w:rsid w:val="00CF09E5"/>
    <w:rsid w:val="00D05083"/>
    <w:rsid w:val="00D5343F"/>
    <w:rsid w:val="00D54D59"/>
    <w:rsid w:val="00D647C2"/>
    <w:rsid w:val="00D976F6"/>
    <w:rsid w:val="00DA6EC9"/>
    <w:rsid w:val="00DB1E59"/>
    <w:rsid w:val="00DB4D7A"/>
    <w:rsid w:val="00DB528F"/>
    <w:rsid w:val="00DC4CC7"/>
    <w:rsid w:val="00DC7DA0"/>
    <w:rsid w:val="00DF5E92"/>
    <w:rsid w:val="00E052D9"/>
    <w:rsid w:val="00E1520C"/>
    <w:rsid w:val="00E35AFC"/>
    <w:rsid w:val="00E93F8F"/>
    <w:rsid w:val="00ED7224"/>
    <w:rsid w:val="00F0149B"/>
    <w:rsid w:val="00F07294"/>
    <w:rsid w:val="00F1549D"/>
    <w:rsid w:val="00F225D8"/>
    <w:rsid w:val="00F23DB0"/>
    <w:rsid w:val="00F30025"/>
    <w:rsid w:val="00F464BC"/>
    <w:rsid w:val="00F60CB5"/>
    <w:rsid w:val="00F65BCF"/>
    <w:rsid w:val="00F6788A"/>
    <w:rsid w:val="00F81403"/>
    <w:rsid w:val="00F83533"/>
    <w:rsid w:val="00F945B0"/>
    <w:rsid w:val="00FB421E"/>
    <w:rsid w:val="00FC40CA"/>
    <w:rsid w:val="00FD0656"/>
    <w:rsid w:val="00FD23ED"/>
    <w:rsid w:val="00FF30DB"/>
    <w:rsid w:val="02A86B17"/>
    <w:rsid w:val="03D90444"/>
    <w:rsid w:val="03DB2FC3"/>
    <w:rsid w:val="0611217C"/>
    <w:rsid w:val="07700F19"/>
    <w:rsid w:val="078A2181"/>
    <w:rsid w:val="07AE3385"/>
    <w:rsid w:val="0B097BE1"/>
    <w:rsid w:val="0F8E7447"/>
    <w:rsid w:val="113A4C18"/>
    <w:rsid w:val="119B6051"/>
    <w:rsid w:val="12A25084"/>
    <w:rsid w:val="130037DF"/>
    <w:rsid w:val="13D32473"/>
    <w:rsid w:val="1425156A"/>
    <w:rsid w:val="142B2292"/>
    <w:rsid w:val="15FB47D0"/>
    <w:rsid w:val="18177CA5"/>
    <w:rsid w:val="18290DCE"/>
    <w:rsid w:val="18342BAC"/>
    <w:rsid w:val="19215F54"/>
    <w:rsid w:val="19A66D0D"/>
    <w:rsid w:val="1A385FE8"/>
    <w:rsid w:val="1E12700E"/>
    <w:rsid w:val="1E532470"/>
    <w:rsid w:val="1E66791F"/>
    <w:rsid w:val="21971856"/>
    <w:rsid w:val="21F962B0"/>
    <w:rsid w:val="22E10C1D"/>
    <w:rsid w:val="23B60208"/>
    <w:rsid w:val="2ADC175B"/>
    <w:rsid w:val="2AFE685E"/>
    <w:rsid w:val="2B252436"/>
    <w:rsid w:val="2B9E0DEB"/>
    <w:rsid w:val="2E353824"/>
    <w:rsid w:val="314A68A5"/>
    <w:rsid w:val="33FD3850"/>
    <w:rsid w:val="359B56E2"/>
    <w:rsid w:val="366D6BB6"/>
    <w:rsid w:val="378F1B1C"/>
    <w:rsid w:val="387F752B"/>
    <w:rsid w:val="38DE382B"/>
    <w:rsid w:val="39616936"/>
    <w:rsid w:val="3EB2662C"/>
    <w:rsid w:val="3F786788"/>
    <w:rsid w:val="43A25C79"/>
    <w:rsid w:val="445F60B6"/>
    <w:rsid w:val="452D3B70"/>
    <w:rsid w:val="46B14461"/>
    <w:rsid w:val="46F5088B"/>
    <w:rsid w:val="476611D2"/>
    <w:rsid w:val="47A3741C"/>
    <w:rsid w:val="48C36653"/>
    <w:rsid w:val="48C93BB0"/>
    <w:rsid w:val="496B51F6"/>
    <w:rsid w:val="4B6628D4"/>
    <w:rsid w:val="4B831790"/>
    <w:rsid w:val="4E280CF3"/>
    <w:rsid w:val="54153611"/>
    <w:rsid w:val="54F35DF2"/>
    <w:rsid w:val="55DD5194"/>
    <w:rsid w:val="56645685"/>
    <w:rsid w:val="566D4594"/>
    <w:rsid w:val="578B30FC"/>
    <w:rsid w:val="58242AE0"/>
    <w:rsid w:val="58AB396B"/>
    <w:rsid w:val="5AA2214F"/>
    <w:rsid w:val="5BDE3A84"/>
    <w:rsid w:val="5C483C8E"/>
    <w:rsid w:val="5C983C73"/>
    <w:rsid w:val="663B31C1"/>
    <w:rsid w:val="66AC0259"/>
    <w:rsid w:val="6AAD2EDA"/>
    <w:rsid w:val="6AFD60D5"/>
    <w:rsid w:val="6F633413"/>
    <w:rsid w:val="6F8719D3"/>
    <w:rsid w:val="6F9E571F"/>
    <w:rsid w:val="72454436"/>
    <w:rsid w:val="73374A1C"/>
    <w:rsid w:val="738F7392"/>
    <w:rsid w:val="744E75EE"/>
    <w:rsid w:val="762C283F"/>
    <w:rsid w:val="767D5D1E"/>
    <w:rsid w:val="76E03ABB"/>
    <w:rsid w:val="780F5E0D"/>
    <w:rsid w:val="7A6F030F"/>
    <w:rsid w:val="7A89169D"/>
    <w:rsid w:val="7B7E0BED"/>
    <w:rsid w:val="7BC1508C"/>
    <w:rsid w:val="7BF070CA"/>
    <w:rsid w:val="7DB06B11"/>
    <w:rsid w:val="7F9C37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340" w:after="330" w:line="360" w:lineRule="auto"/>
      <w:jc w:val="center"/>
      <w:outlineLvl w:val="0"/>
    </w:pPr>
    <w:rPr>
      <w:rFonts w:eastAsia="黑体"/>
      <w:bCs/>
      <w:kern w:val="44"/>
      <w:szCs w:val="44"/>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3"/>
    <w:unhideWhenUsed/>
    <w:qFormat/>
    <w:uiPriority w:val="99"/>
    <w:pPr>
      <w:jc w:val="left"/>
    </w:pPr>
  </w:style>
  <w:style w:type="paragraph" w:styleId="4">
    <w:name w:val="Body Text"/>
    <w:basedOn w:val="1"/>
    <w:link w:val="25"/>
    <w:qFormat/>
    <w:uiPriority w:val="0"/>
    <w:pPr>
      <w:adjustRightInd w:val="0"/>
      <w:snapToGrid w:val="0"/>
      <w:spacing w:line="500" w:lineRule="atLeast"/>
    </w:pPr>
    <w:rPr>
      <w:rFonts w:ascii="宋体"/>
      <w:bCs/>
      <w:sz w:val="28"/>
    </w:rPr>
  </w:style>
  <w:style w:type="paragraph" w:styleId="5">
    <w:name w:val="Body Text Indent"/>
    <w:basedOn w:val="1"/>
    <w:qFormat/>
    <w:uiPriority w:val="0"/>
    <w:pPr>
      <w:spacing w:line="500" w:lineRule="atLeast"/>
      <w:ind w:firstLine="420"/>
    </w:pPr>
  </w:style>
  <w:style w:type="paragraph" w:styleId="6">
    <w:name w:val="Plain Text"/>
    <w:basedOn w:val="1"/>
    <w:link w:val="20"/>
    <w:unhideWhenUsed/>
    <w:qFormat/>
    <w:uiPriority w:val="99"/>
    <w:rPr>
      <w:rFonts w:ascii="宋体" w:hAnsi="Courier New" w:cs="Courier New"/>
      <w:szCs w:val="21"/>
    </w:rPr>
  </w:style>
  <w:style w:type="paragraph" w:styleId="7">
    <w:name w:val="Balloon Text"/>
    <w:basedOn w:val="1"/>
    <w:link w:val="22"/>
    <w:semiHidden/>
    <w:unhideWhenUsed/>
    <w:qFormat/>
    <w:uiPriority w:val="99"/>
    <w:rPr>
      <w:sz w:val="18"/>
      <w:szCs w:val="18"/>
    </w:rPr>
  </w:style>
  <w:style w:type="paragraph" w:styleId="8">
    <w:name w:val="footer"/>
    <w:basedOn w:val="1"/>
    <w:link w:val="18"/>
    <w:unhideWhenUsed/>
    <w:qFormat/>
    <w:uiPriority w:val="99"/>
    <w:pPr>
      <w:tabs>
        <w:tab w:val="center" w:pos="4153"/>
        <w:tab w:val="right" w:pos="8306"/>
      </w:tabs>
      <w:snapToGrid w:val="0"/>
      <w:jc w:val="left"/>
    </w:pPr>
    <w:rPr>
      <w:sz w:val="18"/>
      <w:szCs w:val="18"/>
    </w:rPr>
  </w:style>
  <w:style w:type="paragraph" w:styleId="9">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annotation subject"/>
    <w:basedOn w:val="3"/>
    <w:next w:val="3"/>
    <w:link w:val="24"/>
    <w:semiHidden/>
    <w:unhideWhenUsed/>
    <w:qFormat/>
    <w:uiPriority w:val="99"/>
    <w:rPr>
      <w:b/>
      <w:bCs/>
    </w:rPr>
  </w:style>
  <w:style w:type="paragraph" w:styleId="11">
    <w:name w:val="Body Text First Indent 2"/>
    <w:basedOn w:val="5"/>
    <w:next w:val="1"/>
    <w:unhideWhenUsed/>
    <w:qFormat/>
    <w:uiPriority w:val="99"/>
    <w:pPr>
      <w:ind w:firstLine="200" w:firstLineChars="200"/>
    </w:pPr>
  </w:style>
  <w:style w:type="table" w:styleId="13">
    <w:name w:val="Table Grid"/>
    <w:basedOn w:val="1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Strong"/>
    <w:qFormat/>
    <w:uiPriority w:val="0"/>
    <w:rPr>
      <w:rFonts w:ascii="Tahoma" w:hAnsi="Tahoma" w:eastAsia="宋体"/>
      <w:b/>
      <w:bCs/>
      <w:spacing w:val="10"/>
      <w:kern w:val="2"/>
      <w:sz w:val="24"/>
      <w:szCs w:val="24"/>
      <w:lang w:val="en-US" w:eastAsia="zh-CN" w:bidi="ar-SA"/>
    </w:rPr>
  </w:style>
  <w:style w:type="character" w:styleId="16">
    <w:name w:val="annotation reference"/>
    <w:basedOn w:val="14"/>
    <w:semiHidden/>
    <w:unhideWhenUsed/>
    <w:qFormat/>
    <w:uiPriority w:val="99"/>
    <w:rPr>
      <w:sz w:val="21"/>
      <w:szCs w:val="21"/>
    </w:rPr>
  </w:style>
  <w:style w:type="character" w:customStyle="1" w:styleId="17">
    <w:name w:val="页眉 Char"/>
    <w:basedOn w:val="14"/>
    <w:link w:val="9"/>
    <w:qFormat/>
    <w:uiPriority w:val="99"/>
    <w:rPr>
      <w:sz w:val="18"/>
      <w:szCs w:val="18"/>
    </w:rPr>
  </w:style>
  <w:style w:type="character" w:customStyle="1" w:styleId="18">
    <w:name w:val="页脚 Char"/>
    <w:basedOn w:val="14"/>
    <w:link w:val="8"/>
    <w:qFormat/>
    <w:uiPriority w:val="99"/>
    <w:rPr>
      <w:sz w:val="18"/>
      <w:szCs w:val="18"/>
    </w:rPr>
  </w:style>
  <w:style w:type="paragraph" w:styleId="19">
    <w:name w:val="List Paragraph"/>
    <w:basedOn w:val="1"/>
    <w:qFormat/>
    <w:uiPriority w:val="34"/>
    <w:pPr>
      <w:ind w:firstLine="420" w:firstLineChars="200"/>
    </w:pPr>
  </w:style>
  <w:style w:type="character" w:customStyle="1" w:styleId="20">
    <w:name w:val="纯文本 Char"/>
    <w:basedOn w:val="14"/>
    <w:link w:val="6"/>
    <w:qFormat/>
    <w:uiPriority w:val="99"/>
    <w:rPr>
      <w:rFonts w:ascii="宋体" w:hAnsi="Courier New" w:eastAsia="宋体" w:cs="Courier New"/>
      <w:szCs w:val="21"/>
    </w:rPr>
  </w:style>
  <w:style w:type="paragraph" w:customStyle="1" w:styleId="21">
    <w:name w:val="样式1 Char Char"/>
    <w:basedOn w:val="1"/>
    <w:next w:val="6"/>
    <w:qFormat/>
    <w:uiPriority w:val="0"/>
    <w:pPr>
      <w:spacing w:line="360" w:lineRule="auto"/>
      <w:ind w:firstLine="516" w:firstLineChars="215"/>
    </w:pPr>
    <w:rPr>
      <w:sz w:val="24"/>
    </w:rPr>
  </w:style>
  <w:style w:type="character" w:customStyle="1" w:styleId="22">
    <w:name w:val="批注框文本 Char"/>
    <w:basedOn w:val="14"/>
    <w:link w:val="7"/>
    <w:semiHidden/>
    <w:qFormat/>
    <w:uiPriority w:val="99"/>
    <w:rPr>
      <w:rFonts w:ascii="Times New Roman" w:hAnsi="Times New Roman" w:eastAsia="宋体" w:cs="Times New Roman"/>
      <w:kern w:val="2"/>
      <w:sz w:val="18"/>
      <w:szCs w:val="18"/>
    </w:rPr>
  </w:style>
  <w:style w:type="character" w:customStyle="1" w:styleId="23">
    <w:name w:val="批注文字 Char"/>
    <w:basedOn w:val="14"/>
    <w:link w:val="3"/>
    <w:qFormat/>
    <w:uiPriority w:val="99"/>
    <w:rPr>
      <w:rFonts w:ascii="Times New Roman" w:hAnsi="Times New Roman" w:eastAsia="宋体" w:cs="Times New Roman"/>
      <w:kern w:val="2"/>
      <w:sz w:val="21"/>
      <w:szCs w:val="24"/>
    </w:rPr>
  </w:style>
  <w:style w:type="character" w:customStyle="1" w:styleId="24">
    <w:name w:val="批注主题 Char"/>
    <w:basedOn w:val="23"/>
    <w:link w:val="10"/>
    <w:semiHidden/>
    <w:qFormat/>
    <w:uiPriority w:val="99"/>
    <w:rPr>
      <w:rFonts w:ascii="Times New Roman" w:hAnsi="Times New Roman" w:eastAsia="宋体" w:cs="Times New Roman"/>
      <w:b/>
      <w:bCs/>
      <w:kern w:val="2"/>
      <w:sz w:val="21"/>
      <w:szCs w:val="24"/>
    </w:rPr>
  </w:style>
  <w:style w:type="character" w:customStyle="1" w:styleId="25">
    <w:name w:val="正文文本 Char"/>
    <w:basedOn w:val="14"/>
    <w:link w:val="4"/>
    <w:qFormat/>
    <w:uiPriority w:val="0"/>
    <w:rPr>
      <w:rFonts w:ascii="宋体" w:hAnsi="Times New Roman" w:eastAsia="宋体" w:cs="Times New Roman"/>
      <w:bCs/>
      <w:kern w:val="2"/>
      <w:sz w:val="28"/>
      <w:szCs w:val="24"/>
    </w:rPr>
  </w:style>
  <w:style w:type="paragraph" w:customStyle="1" w:styleId="26">
    <w:name w:val="正文 A"/>
    <w:qFormat/>
    <w:uiPriority w:val="0"/>
    <w:pPr>
      <w:framePr w:wrap="around" w:vAnchor="margin" w:hAnchor="text" w:y="1"/>
      <w:widowControl w:val="0"/>
    </w:pPr>
    <w:rPr>
      <w:rFonts w:ascii="Microsoft JhengHei UI Light" w:hAnsi="Microsoft JhengHei UI Light" w:eastAsia="Microsoft JhengHei UI Light" w:cs="Microsoft JhengHei UI Light"/>
      <w:color w:val="000000"/>
      <w:sz w:val="22"/>
      <w:szCs w:val="22"/>
      <w:u w:color="000000"/>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4947</Words>
  <Characters>5156</Characters>
  <Lines>32</Lines>
  <Paragraphs>9</Paragraphs>
  <TotalTime>23</TotalTime>
  <ScaleCrop>false</ScaleCrop>
  <LinksUpToDate>false</LinksUpToDate>
  <CharactersWithSpaces>5261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2024-11-20T01:50:00Z</dcterms:created>
  <dc:creator>陈蕾</dc:creator>
  <cp:lastModifiedBy>吴静仪</cp:lastModifiedBy>
  <cp:lastPrinted>2025-09-09T08:59:00Z</cp:lastPrinted>
  <dcterms:modified xsi:type="dcterms:W3CDTF">2025-11-25T10:45:36Z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eyJoZGlkIjoiNDhkOTQyYjdlZmMyMzc0YzJkN2U3MGRiMmVkNjlmZjQiLCJ1c2VySWQiOiI0MDk2MjcxNDUifQ==</vt:lpwstr>
  </property>
  <property fmtid="{D5CDD505-2E9C-101B-9397-08002B2CF9AE}" pid="4" name="ICV">
    <vt:lpwstr>D528A7F77C144E4A865C4E22622458DA_13</vt:lpwstr>
  </property>
</Properties>
</file>