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42A9B6">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930B5BF">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341D5FF1">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04A51B6A">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4F3D7816">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53E83B99">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申请科室：重症医学科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bookmarkStart w:id="0" w:name="_GoBack"/>
      <w:bookmarkEnd w:id="0"/>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21B0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5D7E408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1FFB862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78728D4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67719C6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6C8AFB3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1463FCB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0F42C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16718AA7">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注射泵（双通道）</w:t>
            </w:r>
          </w:p>
        </w:tc>
        <w:tc>
          <w:tcPr>
            <w:tcW w:w="1559" w:type="dxa"/>
            <w:gridSpan w:val="3"/>
            <w:vAlign w:val="center"/>
          </w:tcPr>
          <w:p w14:paraId="252CF74E">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vAlign w:val="center"/>
          </w:tcPr>
          <w:p w14:paraId="2772F748">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10</w:t>
            </w:r>
          </w:p>
        </w:tc>
        <w:tc>
          <w:tcPr>
            <w:tcW w:w="915" w:type="dxa"/>
            <w:gridSpan w:val="2"/>
            <w:vAlign w:val="center"/>
          </w:tcPr>
          <w:p w14:paraId="045A80B7">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84" w:type="dxa"/>
            <w:gridSpan w:val="2"/>
          </w:tcPr>
          <w:p w14:paraId="02D47124">
            <w:pPr>
              <w:jc w:val="center"/>
              <w:rPr>
                <w:rFonts w:asciiTheme="majorEastAsia" w:hAnsiTheme="majorEastAsia" w:eastAsiaTheme="majorEastAsia"/>
                <w:sz w:val="24"/>
                <w:szCs w:val="21"/>
              </w:rPr>
            </w:pPr>
            <w:r>
              <w:rPr>
                <w:rFonts w:asciiTheme="majorEastAsia" w:hAnsiTheme="majorEastAsia" w:eastAsiaTheme="majorEastAsia"/>
                <w:sz w:val="24"/>
                <w:szCs w:val="21"/>
              </w:rPr>
              <w:t>0.78</w:t>
            </w:r>
          </w:p>
        </w:tc>
        <w:tc>
          <w:tcPr>
            <w:tcW w:w="2055" w:type="dxa"/>
            <w:gridSpan w:val="2"/>
            <w:vAlign w:val="center"/>
          </w:tcPr>
          <w:p w14:paraId="4ECA5B7D">
            <w:pPr>
              <w:jc w:val="center"/>
              <w:rPr>
                <w:rFonts w:asciiTheme="majorEastAsia" w:hAnsiTheme="majorEastAsia" w:eastAsiaTheme="majorEastAsia"/>
                <w:sz w:val="24"/>
                <w:szCs w:val="21"/>
              </w:rPr>
            </w:pPr>
            <w:r>
              <w:rPr>
                <w:rFonts w:asciiTheme="majorEastAsia" w:hAnsiTheme="majorEastAsia" w:eastAsiaTheme="majorEastAsia"/>
                <w:sz w:val="24"/>
                <w:szCs w:val="21"/>
              </w:rPr>
              <w:t>7.8</w:t>
            </w:r>
          </w:p>
        </w:tc>
      </w:tr>
      <w:tr w14:paraId="25F6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481048B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1ECA787F">
            <w:pPr>
              <w:rPr>
                <w:rFonts w:asciiTheme="majorEastAsia" w:hAnsiTheme="majorEastAsia" w:eastAsiaTheme="majorEastAsia"/>
                <w:sz w:val="24"/>
                <w:szCs w:val="21"/>
              </w:rPr>
            </w:pPr>
            <w:r>
              <w:rPr>
                <w:rFonts w:hint="eastAsia" w:asciiTheme="majorEastAsia" w:hAnsiTheme="majorEastAsia" w:eastAsiaTheme="majorEastAsia"/>
                <w:sz w:val="24"/>
                <w:szCs w:val="21"/>
              </w:rPr>
              <w:t>在现代科研与医疗领域，对流体精准输送与控制的需求日益增长。双通道注射泵作为实现这一目标的关键设备，在诸多场景中发挥着不可或缺的作用。</w:t>
            </w:r>
          </w:p>
          <w:p w14:paraId="5E3887ED">
            <w:pPr>
              <w:rPr>
                <w:rFonts w:asciiTheme="majorEastAsia" w:hAnsiTheme="majorEastAsia" w:eastAsiaTheme="majorEastAsia"/>
                <w:sz w:val="24"/>
                <w:szCs w:val="21"/>
              </w:rPr>
            </w:pPr>
            <w:r>
              <w:rPr>
                <w:rFonts w:hint="eastAsia" w:asciiTheme="majorEastAsia" w:hAnsiTheme="majorEastAsia" w:eastAsiaTheme="majorEastAsia"/>
                <w:sz w:val="24"/>
                <w:szCs w:val="21"/>
              </w:rPr>
              <w:t>在科研方面，药物研发实验需要精确控制药物剂量的注入，以观察药物对实验对象的作用效果。不同药物的浓度、注射速度和时间都需严格把控，单通道注射泵难以满足同时进行多种药物不同参数注射的需求，而双通道注射泵能够同时独立控制两路流体的注射，大大提高实验效率与数据准确性，有助于加速药物研发进程。</w:t>
            </w:r>
          </w:p>
          <w:p w14:paraId="5DD7545A">
            <w:pPr>
              <w:rPr>
                <w:rFonts w:asciiTheme="majorEastAsia" w:hAnsiTheme="majorEastAsia" w:eastAsiaTheme="majorEastAsia"/>
                <w:sz w:val="24"/>
                <w:szCs w:val="21"/>
              </w:rPr>
            </w:pPr>
            <w:r>
              <w:rPr>
                <w:rFonts w:hint="eastAsia" w:asciiTheme="majorEastAsia" w:hAnsiTheme="majorEastAsia" w:eastAsiaTheme="majorEastAsia"/>
                <w:sz w:val="24"/>
                <w:szCs w:val="21"/>
              </w:rPr>
              <w:t>在医疗场景下，临床治疗中经常需要同时输注不同的药物或液体。例如，在危重症患者的治疗过程中，可能需要同时输入血管活性药物以维持血压稳定，以及营养液来保证患者的营养供给。这就要求输注设备能够精准控制不同液体的流速、流量等参数，双通道注射泵正好满足了这一临床需求，为患者的治疗提供了有力保障。</w:t>
            </w:r>
          </w:p>
          <w:p w14:paraId="5499475A">
            <w:pPr>
              <w:rPr>
                <w:rFonts w:asciiTheme="majorEastAsia" w:hAnsiTheme="majorEastAsia" w:eastAsiaTheme="majorEastAsia"/>
                <w:sz w:val="24"/>
                <w:szCs w:val="21"/>
              </w:rPr>
            </w:pPr>
            <w:r>
              <w:rPr>
                <w:rFonts w:hint="eastAsia" w:asciiTheme="majorEastAsia" w:hAnsiTheme="majorEastAsia" w:eastAsiaTheme="majorEastAsia"/>
                <w:sz w:val="24"/>
                <w:szCs w:val="21"/>
              </w:rPr>
              <w:t>然而，目前本单位所使用的注射泵设备存在一定局限性，部分设备老化，性能下降，在流速控制的精准度方面已不能满足当下科研与医疗工作的高标准要求。且现有的单通道注射泵数量有限，在多任务并行开展时，时常出现设备短缺的情况，严重影响工作效率与进度。</w:t>
            </w:r>
          </w:p>
          <w:p w14:paraId="6348BC04">
            <w:pPr>
              <w:rPr>
                <w:rFonts w:asciiTheme="majorEastAsia" w:hAnsiTheme="majorEastAsia" w:eastAsiaTheme="majorEastAsia"/>
                <w:sz w:val="24"/>
                <w:szCs w:val="21"/>
              </w:rPr>
            </w:pPr>
            <w:r>
              <w:rPr>
                <w:rFonts w:hint="eastAsia" w:asciiTheme="majorEastAsia" w:hAnsiTheme="majorEastAsia" w:eastAsiaTheme="majorEastAsia"/>
                <w:sz w:val="24"/>
                <w:szCs w:val="21"/>
              </w:rPr>
              <w:t>为提升科研与医疗工作质量，满足日益增长的业务需求，申购双通道注射泵显得尤为迫切。该设备的引入将有效解决现有设备的不足，进一步提高工作效率，为科研突破与患者治疗带来积极影响。</w:t>
            </w:r>
          </w:p>
        </w:tc>
      </w:tr>
      <w:tr w14:paraId="19CEB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092CAAF5">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143B1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709074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7B3E770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5E55CD9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6BDEA3F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5775910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7360D1E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45EAFAD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07AC1F8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6860CF9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26B0641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3E64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2AFF77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2845" w:type="dxa"/>
            <w:gridSpan w:val="3"/>
          </w:tcPr>
          <w:p w14:paraId="2EB4816E">
            <w:pPr>
              <w:spacing w:line="360" w:lineRule="auto"/>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注射泵主机</w:t>
            </w:r>
          </w:p>
        </w:tc>
        <w:tc>
          <w:tcPr>
            <w:tcW w:w="850" w:type="dxa"/>
            <w:vAlign w:val="center"/>
          </w:tcPr>
          <w:p w14:paraId="63EBC6B4">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5A0EE338">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10</w:t>
            </w:r>
          </w:p>
        </w:tc>
        <w:tc>
          <w:tcPr>
            <w:tcW w:w="567" w:type="dxa"/>
            <w:vAlign w:val="center"/>
          </w:tcPr>
          <w:p w14:paraId="4667ED40">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851" w:type="dxa"/>
            <w:gridSpan w:val="2"/>
            <w:vAlign w:val="center"/>
          </w:tcPr>
          <w:p w14:paraId="0809C38D">
            <w:pPr>
              <w:jc w:val="center"/>
              <w:rPr>
                <w:rFonts w:asciiTheme="majorEastAsia" w:hAnsiTheme="majorEastAsia" w:eastAsiaTheme="majorEastAsia"/>
                <w:sz w:val="24"/>
                <w:szCs w:val="21"/>
              </w:rPr>
            </w:pPr>
            <w:r>
              <w:rPr>
                <w:rFonts w:asciiTheme="majorEastAsia" w:hAnsiTheme="majorEastAsia" w:eastAsiaTheme="majorEastAsia"/>
                <w:sz w:val="24"/>
                <w:szCs w:val="21"/>
              </w:rPr>
              <w:t>0.78</w:t>
            </w:r>
          </w:p>
        </w:tc>
        <w:tc>
          <w:tcPr>
            <w:tcW w:w="1134" w:type="dxa"/>
            <w:gridSpan w:val="2"/>
            <w:vAlign w:val="center"/>
          </w:tcPr>
          <w:p w14:paraId="7EA489CF">
            <w:pPr>
              <w:jc w:val="center"/>
              <w:rPr>
                <w:rFonts w:asciiTheme="majorEastAsia" w:hAnsiTheme="majorEastAsia" w:eastAsiaTheme="majorEastAsia"/>
                <w:sz w:val="24"/>
                <w:szCs w:val="21"/>
              </w:rPr>
            </w:pPr>
            <w:r>
              <w:rPr>
                <w:rFonts w:asciiTheme="majorEastAsia" w:hAnsiTheme="majorEastAsia" w:eastAsiaTheme="majorEastAsia"/>
                <w:sz w:val="24"/>
                <w:szCs w:val="21"/>
              </w:rPr>
              <w:t>7.8</w:t>
            </w:r>
          </w:p>
        </w:tc>
        <w:tc>
          <w:tcPr>
            <w:tcW w:w="1417" w:type="dxa"/>
            <w:vAlign w:val="center"/>
          </w:tcPr>
          <w:p w14:paraId="5257B109">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是</w:t>
            </w:r>
          </w:p>
        </w:tc>
        <w:tc>
          <w:tcPr>
            <w:tcW w:w="993" w:type="dxa"/>
            <w:vAlign w:val="center"/>
          </w:tcPr>
          <w:p w14:paraId="6AC97114">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062" w:type="dxa"/>
            <w:vAlign w:val="center"/>
          </w:tcPr>
          <w:p w14:paraId="6CED661F">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是</w:t>
            </w:r>
          </w:p>
        </w:tc>
      </w:tr>
      <w:tr w14:paraId="1772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005FECB">
            <w:pPr>
              <w:jc w:val="center"/>
              <w:rPr>
                <w:rFonts w:asciiTheme="majorEastAsia" w:hAnsiTheme="majorEastAsia" w:eastAsiaTheme="majorEastAsia"/>
                <w:sz w:val="24"/>
                <w:szCs w:val="21"/>
              </w:rPr>
            </w:pPr>
            <w:r>
              <w:rPr>
                <w:rFonts w:asciiTheme="majorEastAsia" w:hAnsiTheme="majorEastAsia" w:eastAsiaTheme="majorEastAsia"/>
                <w:sz w:val="24"/>
                <w:szCs w:val="21"/>
              </w:rPr>
              <w:t>2</w:t>
            </w:r>
          </w:p>
        </w:tc>
        <w:tc>
          <w:tcPr>
            <w:tcW w:w="2845" w:type="dxa"/>
            <w:gridSpan w:val="3"/>
          </w:tcPr>
          <w:p w14:paraId="3A6F857B">
            <w:pPr>
              <w:spacing w:line="360" w:lineRule="auto"/>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紧固夹</w:t>
            </w:r>
          </w:p>
        </w:tc>
        <w:tc>
          <w:tcPr>
            <w:tcW w:w="850" w:type="dxa"/>
            <w:vAlign w:val="center"/>
          </w:tcPr>
          <w:p w14:paraId="0909DA88">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6EED682C">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10</w:t>
            </w:r>
          </w:p>
        </w:tc>
        <w:tc>
          <w:tcPr>
            <w:tcW w:w="567" w:type="dxa"/>
            <w:vAlign w:val="center"/>
          </w:tcPr>
          <w:p w14:paraId="4875B6D5">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套</w:t>
            </w:r>
          </w:p>
        </w:tc>
        <w:tc>
          <w:tcPr>
            <w:tcW w:w="851" w:type="dxa"/>
            <w:gridSpan w:val="2"/>
            <w:vAlign w:val="center"/>
          </w:tcPr>
          <w:p w14:paraId="1C7EA4A8">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134" w:type="dxa"/>
            <w:gridSpan w:val="2"/>
            <w:vAlign w:val="center"/>
          </w:tcPr>
          <w:p w14:paraId="372B21F2">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417" w:type="dxa"/>
            <w:vAlign w:val="center"/>
          </w:tcPr>
          <w:p w14:paraId="387C3404">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993" w:type="dxa"/>
            <w:vAlign w:val="center"/>
          </w:tcPr>
          <w:p w14:paraId="5BBD5349">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062" w:type="dxa"/>
            <w:vAlign w:val="center"/>
          </w:tcPr>
          <w:p w14:paraId="0D6D66E2">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r>
      <w:tr w14:paraId="7867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7C176D4">
            <w:pPr>
              <w:jc w:val="center"/>
              <w:rPr>
                <w:rFonts w:asciiTheme="majorEastAsia" w:hAnsiTheme="majorEastAsia" w:eastAsiaTheme="majorEastAsia"/>
                <w:sz w:val="24"/>
                <w:szCs w:val="21"/>
              </w:rPr>
            </w:pPr>
            <w:r>
              <w:rPr>
                <w:rFonts w:asciiTheme="majorEastAsia" w:hAnsiTheme="majorEastAsia" w:eastAsiaTheme="majorEastAsia"/>
                <w:sz w:val="24"/>
                <w:szCs w:val="21"/>
              </w:rPr>
              <w:t>3</w:t>
            </w:r>
          </w:p>
        </w:tc>
        <w:tc>
          <w:tcPr>
            <w:tcW w:w="2845" w:type="dxa"/>
            <w:gridSpan w:val="3"/>
            <w:vAlign w:val="center"/>
          </w:tcPr>
          <w:p w14:paraId="229ACE39">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彩色药物库</w:t>
            </w:r>
          </w:p>
        </w:tc>
        <w:tc>
          <w:tcPr>
            <w:tcW w:w="850" w:type="dxa"/>
            <w:vAlign w:val="center"/>
          </w:tcPr>
          <w:p w14:paraId="75D201D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41F1647C">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10</w:t>
            </w:r>
          </w:p>
        </w:tc>
        <w:tc>
          <w:tcPr>
            <w:tcW w:w="567" w:type="dxa"/>
            <w:vAlign w:val="center"/>
          </w:tcPr>
          <w:p w14:paraId="048E934C">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套</w:t>
            </w:r>
          </w:p>
        </w:tc>
        <w:tc>
          <w:tcPr>
            <w:tcW w:w="851" w:type="dxa"/>
            <w:gridSpan w:val="2"/>
            <w:vAlign w:val="center"/>
          </w:tcPr>
          <w:p w14:paraId="38698315">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134" w:type="dxa"/>
            <w:gridSpan w:val="2"/>
            <w:vAlign w:val="center"/>
          </w:tcPr>
          <w:p w14:paraId="5ECB1A18">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417" w:type="dxa"/>
            <w:vAlign w:val="center"/>
          </w:tcPr>
          <w:p w14:paraId="4F1992A6">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993" w:type="dxa"/>
            <w:vAlign w:val="center"/>
          </w:tcPr>
          <w:p w14:paraId="4D56841D">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062" w:type="dxa"/>
            <w:vAlign w:val="center"/>
          </w:tcPr>
          <w:p w14:paraId="4780E887">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r>
    </w:tbl>
    <w:p w14:paraId="17D16ADF">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6136AB9D">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06990A1D">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2FC6B6E2">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1D8EBD20">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3BDF6FE7">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1AFF798F">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4F9D5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1A33358F">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417942B8">
            <w:pPr>
              <w:adjustRightInd w:val="0"/>
              <w:snapToGrid w:val="0"/>
              <w:jc w:val="center"/>
              <w:rPr>
                <w:rFonts w:asciiTheme="majorEastAsia" w:hAnsiTheme="majorEastAsia" w:eastAsiaTheme="majorEastAsia"/>
                <w:b/>
                <w:sz w:val="24"/>
                <w:szCs w:val="21"/>
              </w:rPr>
            </w:pPr>
          </w:p>
        </w:tc>
      </w:tr>
      <w:tr w14:paraId="2E849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761FA8B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069A6A4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0AB5B7B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5AC953E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6033C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1208445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68C681A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 w:val="24"/>
                <w:szCs w:val="21"/>
              </w:rPr>
              <w:t>注射泵（双通道）</w:t>
            </w:r>
          </w:p>
        </w:tc>
        <w:tc>
          <w:tcPr>
            <w:tcW w:w="7564" w:type="dxa"/>
            <w:gridSpan w:val="2"/>
          </w:tcPr>
          <w:p w14:paraId="03014005">
            <w:pPr>
              <w:pStyle w:val="16"/>
              <w:numPr>
                <w:ilvl w:val="0"/>
                <w:numId w:val="2"/>
              </w:numPr>
              <w:ind w:firstLineChars="0"/>
              <w:rPr>
                <w:rFonts w:asciiTheme="majorEastAsia" w:hAnsiTheme="majorEastAsia" w:eastAsiaTheme="majorEastAsia"/>
                <w:b/>
                <w:sz w:val="24"/>
                <w:szCs w:val="21"/>
              </w:rPr>
            </w:pPr>
            <w:r>
              <w:rPr>
                <w:rFonts w:hint="eastAsia" w:asciiTheme="minorEastAsia" w:hAnsiTheme="minorEastAsia"/>
                <w:sz w:val="20"/>
                <w:szCs w:val="20"/>
              </w:rPr>
              <w:t>采用双通道一体化结构，各</w:t>
            </w:r>
            <w:r>
              <w:rPr>
                <w:rFonts w:asciiTheme="minorEastAsia" w:hAnsiTheme="minorEastAsia"/>
                <w:sz w:val="20"/>
                <w:szCs w:val="20"/>
              </w:rPr>
              <w:t>通道</w:t>
            </w:r>
            <w:r>
              <w:rPr>
                <w:rFonts w:hint="eastAsia" w:asciiTheme="minorEastAsia" w:hAnsiTheme="minorEastAsia"/>
                <w:sz w:val="20"/>
                <w:szCs w:val="20"/>
              </w:rPr>
              <w:t>可</w:t>
            </w:r>
            <w:r>
              <w:rPr>
                <w:rFonts w:asciiTheme="minorEastAsia" w:hAnsiTheme="minorEastAsia"/>
                <w:sz w:val="20"/>
                <w:szCs w:val="20"/>
              </w:rPr>
              <w:t>独立运行，</w:t>
            </w:r>
            <w:r>
              <w:rPr>
                <w:rFonts w:hint="eastAsia" w:asciiTheme="minorEastAsia" w:hAnsiTheme="minorEastAsia"/>
                <w:sz w:val="20"/>
                <w:szCs w:val="20"/>
              </w:rPr>
              <w:t>并具备</w:t>
            </w:r>
            <w:r>
              <w:rPr>
                <w:rFonts w:asciiTheme="minorEastAsia" w:hAnsiTheme="minorEastAsia"/>
                <w:sz w:val="20"/>
                <w:szCs w:val="20"/>
              </w:rPr>
              <w:t>通道之间中继/联机功能</w:t>
            </w:r>
            <w:r>
              <w:rPr>
                <w:rFonts w:hint="eastAsia" w:asciiTheme="minorEastAsia" w:hAnsiTheme="minorEastAsia"/>
                <w:sz w:val="20"/>
                <w:szCs w:val="20"/>
              </w:rPr>
              <w:t>（需提供实物照片或产品说明书作为证明材料）</w:t>
            </w:r>
          </w:p>
        </w:tc>
        <w:tc>
          <w:tcPr>
            <w:tcW w:w="817" w:type="dxa"/>
          </w:tcPr>
          <w:p w14:paraId="3893B64F">
            <w:pPr>
              <w:adjustRightInd w:val="0"/>
              <w:snapToGrid w:val="0"/>
              <w:rPr>
                <w:rFonts w:asciiTheme="majorEastAsia" w:hAnsiTheme="majorEastAsia" w:eastAsiaTheme="majorEastAsia"/>
                <w:b/>
                <w:sz w:val="24"/>
                <w:szCs w:val="21"/>
              </w:rPr>
            </w:pPr>
            <w:r>
              <w:rPr>
                <w:rFonts w:hint="eastAsia" w:ascii="宋体" w:hAnsi="宋体" w:cs="宋体"/>
                <w:sz w:val="20"/>
                <w:szCs w:val="20"/>
              </w:rPr>
              <w:t>▲</w:t>
            </w:r>
          </w:p>
        </w:tc>
      </w:tr>
      <w:tr w14:paraId="3651C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B614C94">
            <w:pPr>
              <w:adjustRightInd w:val="0"/>
              <w:snapToGrid w:val="0"/>
              <w:rPr>
                <w:rFonts w:asciiTheme="majorEastAsia" w:hAnsiTheme="majorEastAsia" w:eastAsiaTheme="majorEastAsia"/>
                <w:b/>
                <w:sz w:val="24"/>
                <w:szCs w:val="21"/>
              </w:rPr>
            </w:pPr>
          </w:p>
        </w:tc>
        <w:tc>
          <w:tcPr>
            <w:tcW w:w="935" w:type="dxa"/>
            <w:vMerge w:val="continue"/>
          </w:tcPr>
          <w:p w14:paraId="3FAD283D">
            <w:pPr>
              <w:adjustRightInd w:val="0"/>
              <w:snapToGrid w:val="0"/>
              <w:rPr>
                <w:rFonts w:asciiTheme="majorEastAsia" w:hAnsiTheme="majorEastAsia" w:eastAsiaTheme="majorEastAsia"/>
                <w:b/>
                <w:sz w:val="24"/>
                <w:szCs w:val="21"/>
              </w:rPr>
            </w:pPr>
          </w:p>
        </w:tc>
        <w:tc>
          <w:tcPr>
            <w:tcW w:w="7564" w:type="dxa"/>
            <w:gridSpan w:val="2"/>
          </w:tcPr>
          <w:p w14:paraId="0881A28E">
            <w:pPr>
              <w:pStyle w:val="16"/>
              <w:numPr>
                <w:ilvl w:val="0"/>
                <w:numId w:val="2"/>
              </w:numPr>
              <w:ind w:firstLineChars="0"/>
              <w:rPr>
                <w:rFonts w:ascii="宋体" w:hAnsi="宋体" w:cs="宋体"/>
                <w:color w:val="000000" w:themeColor="text1"/>
                <w:szCs w:val="21"/>
                <w14:textFill>
                  <w14:solidFill>
                    <w14:schemeClr w14:val="tx1"/>
                  </w14:solidFill>
                </w14:textFill>
              </w:rPr>
            </w:pPr>
            <w:r>
              <w:rPr>
                <w:rFonts w:asciiTheme="minorEastAsia" w:hAnsiTheme="minorEastAsia"/>
                <w:sz w:val="20"/>
                <w:szCs w:val="20"/>
              </w:rPr>
              <w:t>注射精度</w:t>
            </w:r>
            <w:r>
              <w:rPr>
                <w:rFonts w:hint="eastAsia" w:asciiTheme="minorEastAsia" w:hAnsiTheme="minorEastAsia"/>
                <w:sz w:val="20"/>
                <w:szCs w:val="20"/>
              </w:rPr>
              <w:t>误差</w:t>
            </w:r>
            <w:r>
              <w:rPr>
                <w:rFonts w:asciiTheme="minorEastAsia" w:hAnsiTheme="minorEastAsia"/>
                <w:sz w:val="20"/>
                <w:szCs w:val="20"/>
              </w:rPr>
              <w:t>≤±1.8%，机械精度</w:t>
            </w:r>
            <w:r>
              <w:rPr>
                <w:rFonts w:hint="eastAsia" w:asciiTheme="minorEastAsia" w:hAnsiTheme="minorEastAsia"/>
                <w:sz w:val="20"/>
                <w:szCs w:val="20"/>
              </w:rPr>
              <w:t>误差</w:t>
            </w:r>
            <w:r>
              <w:rPr>
                <w:rFonts w:asciiTheme="minorEastAsia" w:hAnsiTheme="minorEastAsia"/>
                <w:sz w:val="20"/>
                <w:szCs w:val="20"/>
              </w:rPr>
              <w:t>≤±0.5%</w:t>
            </w:r>
          </w:p>
        </w:tc>
        <w:tc>
          <w:tcPr>
            <w:tcW w:w="817" w:type="dxa"/>
          </w:tcPr>
          <w:p w14:paraId="11956A92">
            <w:pPr>
              <w:adjustRightInd w:val="0"/>
              <w:snapToGrid w:val="0"/>
              <w:rPr>
                <w:rFonts w:asciiTheme="majorEastAsia" w:hAnsiTheme="majorEastAsia" w:eastAsiaTheme="majorEastAsia"/>
                <w:b/>
                <w:sz w:val="24"/>
                <w:szCs w:val="21"/>
              </w:rPr>
            </w:pPr>
          </w:p>
        </w:tc>
      </w:tr>
      <w:tr w14:paraId="2A4ED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0398A90">
            <w:pPr>
              <w:adjustRightInd w:val="0"/>
              <w:snapToGrid w:val="0"/>
              <w:rPr>
                <w:rFonts w:asciiTheme="majorEastAsia" w:hAnsiTheme="majorEastAsia" w:eastAsiaTheme="majorEastAsia"/>
                <w:b/>
                <w:sz w:val="24"/>
                <w:szCs w:val="21"/>
              </w:rPr>
            </w:pPr>
          </w:p>
        </w:tc>
        <w:tc>
          <w:tcPr>
            <w:tcW w:w="935" w:type="dxa"/>
            <w:vMerge w:val="continue"/>
          </w:tcPr>
          <w:p w14:paraId="27B7DCBC">
            <w:pPr>
              <w:adjustRightInd w:val="0"/>
              <w:snapToGrid w:val="0"/>
              <w:rPr>
                <w:rFonts w:asciiTheme="majorEastAsia" w:hAnsiTheme="majorEastAsia" w:eastAsiaTheme="majorEastAsia"/>
                <w:b/>
                <w:sz w:val="24"/>
                <w:szCs w:val="21"/>
              </w:rPr>
            </w:pPr>
          </w:p>
        </w:tc>
        <w:tc>
          <w:tcPr>
            <w:tcW w:w="7564" w:type="dxa"/>
            <w:gridSpan w:val="2"/>
          </w:tcPr>
          <w:p w14:paraId="4FB4F1FE">
            <w:pPr>
              <w:pStyle w:val="16"/>
              <w:numPr>
                <w:ilvl w:val="0"/>
                <w:numId w:val="2"/>
              </w:numPr>
              <w:ind w:firstLineChars="0"/>
              <w:rPr>
                <w:rFonts w:ascii="宋体" w:hAnsi="宋体" w:cs="宋体"/>
                <w:color w:val="000000" w:themeColor="text1"/>
                <w:szCs w:val="21"/>
                <w14:textFill>
                  <w14:solidFill>
                    <w14:schemeClr w14:val="tx1"/>
                  </w14:solidFill>
                </w14:textFill>
              </w:rPr>
            </w:pPr>
            <w:r>
              <w:rPr>
                <w:rFonts w:asciiTheme="minorEastAsia" w:hAnsiTheme="minorEastAsia"/>
                <w:sz w:val="20"/>
                <w:szCs w:val="20"/>
              </w:rPr>
              <w:t>注射速度范围：0.01-2300ml/h</w:t>
            </w:r>
            <w:r>
              <w:rPr>
                <w:rFonts w:hint="eastAsia" w:asciiTheme="minorEastAsia" w:hAnsiTheme="minorEastAsia"/>
                <w:sz w:val="20"/>
                <w:szCs w:val="20"/>
              </w:rPr>
              <w:t>（需涵盖此范围）</w:t>
            </w:r>
            <w:r>
              <w:rPr>
                <w:rFonts w:asciiTheme="minorEastAsia" w:hAnsiTheme="minorEastAsia"/>
                <w:sz w:val="20"/>
                <w:szCs w:val="20"/>
              </w:rPr>
              <w:t>,且最小速度和步进均</w:t>
            </w:r>
            <w:r>
              <w:rPr>
                <w:rFonts w:hint="eastAsia" w:asciiTheme="minorEastAsia" w:hAnsiTheme="minorEastAsia"/>
                <w:sz w:val="20"/>
                <w:szCs w:val="20"/>
              </w:rPr>
              <w:t>≤</w:t>
            </w:r>
            <w:r>
              <w:rPr>
                <w:rFonts w:asciiTheme="minorEastAsia" w:hAnsiTheme="minorEastAsia"/>
                <w:sz w:val="20"/>
                <w:szCs w:val="20"/>
              </w:rPr>
              <w:t>0.01ml/h</w:t>
            </w:r>
          </w:p>
        </w:tc>
        <w:tc>
          <w:tcPr>
            <w:tcW w:w="817" w:type="dxa"/>
          </w:tcPr>
          <w:p w14:paraId="009A4F2B">
            <w:pPr>
              <w:adjustRightInd w:val="0"/>
              <w:snapToGrid w:val="0"/>
              <w:rPr>
                <w:rFonts w:asciiTheme="majorEastAsia" w:hAnsiTheme="majorEastAsia" w:eastAsiaTheme="majorEastAsia"/>
                <w:b/>
                <w:sz w:val="24"/>
                <w:szCs w:val="21"/>
              </w:rPr>
            </w:pPr>
          </w:p>
        </w:tc>
      </w:tr>
      <w:tr w14:paraId="25D01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73695D2">
            <w:pPr>
              <w:adjustRightInd w:val="0"/>
              <w:snapToGrid w:val="0"/>
              <w:rPr>
                <w:rFonts w:asciiTheme="majorEastAsia" w:hAnsiTheme="majorEastAsia" w:eastAsiaTheme="majorEastAsia"/>
                <w:b/>
                <w:sz w:val="24"/>
                <w:szCs w:val="21"/>
              </w:rPr>
            </w:pPr>
          </w:p>
        </w:tc>
        <w:tc>
          <w:tcPr>
            <w:tcW w:w="935" w:type="dxa"/>
            <w:vMerge w:val="continue"/>
          </w:tcPr>
          <w:p w14:paraId="3F7084A7">
            <w:pPr>
              <w:adjustRightInd w:val="0"/>
              <w:snapToGrid w:val="0"/>
              <w:rPr>
                <w:rFonts w:asciiTheme="majorEastAsia" w:hAnsiTheme="majorEastAsia" w:eastAsiaTheme="majorEastAsia"/>
                <w:b/>
                <w:sz w:val="24"/>
                <w:szCs w:val="21"/>
              </w:rPr>
            </w:pPr>
          </w:p>
        </w:tc>
        <w:tc>
          <w:tcPr>
            <w:tcW w:w="7564" w:type="dxa"/>
            <w:gridSpan w:val="2"/>
          </w:tcPr>
          <w:p w14:paraId="5E81B7B8">
            <w:pPr>
              <w:pStyle w:val="16"/>
              <w:numPr>
                <w:ilvl w:val="0"/>
                <w:numId w:val="2"/>
              </w:numPr>
              <w:ind w:firstLineChars="0"/>
              <w:rPr>
                <w:rFonts w:ascii="宋体" w:hAnsi="宋体" w:cs="宋体"/>
                <w:color w:val="000000" w:themeColor="text1"/>
                <w:szCs w:val="21"/>
                <w14:textFill>
                  <w14:solidFill>
                    <w14:schemeClr w14:val="tx1"/>
                  </w14:solidFill>
                </w14:textFill>
              </w:rPr>
            </w:pPr>
            <w:r>
              <w:rPr>
                <w:rFonts w:asciiTheme="minorEastAsia" w:hAnsiTheme="minorEastAsia"/>
                <w:sz w:val="20"/>
                <w:szCs w:val="20"/>
              </w:rPr>
              <w:t>快推速度范围：0.01-2300ml/h</w:t>
            </w:r>
            <w:r>
              <w:rPr>
                <w:rFonts w:hint="eastAsia" w:asciiTheme="minorEastAsia" w:hAnsiTheme="minorEastAsia"/>
                <w:sz w:val="20"/>
                <w:szCs w:val="20"/>
              </w:rPr>
              <w:t>（需涵盖此范围）</w:t>
            </w:r>
            <w:r>
              <w:rPr>
                <w:rFonts w:asciiTheme="minorEastAsia" w:hAnsiTheme="minorEastAsia"/>
                <w:sz w:val="20"/>
                <w:szCs w:val="20"/>
              </w:rPr>
              <w:t>, 且最小速度和步进均</w:t>
            </w:r>
            <w:r>
              <w:rPr>
                <w:rFonts w:hint="eastAsia" w:asciiTheme="minorEastAsia" w:hAnsiTheme="minorEastAsia"/>
                <w:sz w:val="20"/>
                <w:szCs w:val="20"/>
              </w:rPr>
              <w:t>≤</w:t>
            </w:r>
            <w:r>
              <w:rPr>
                <w:rFonts w:asciiTheme="minorEastAsia" w:hAnsiTheme="minorEastAsia"/>
                <w:sz w:val="20"/>
                <w:szCs w:val="20"/>
              </w:rPr>
              <w:t>0.01ml/h</w:t>
            </w:r>
          </w:p>
        </w:tc>
        <w:tc>
          <w:tcPr>
            <w:tcW w:w="817" w:type="dxa"/>
          </w:tcPr>
          <w:p w14:paraId="27B1B441">
            <w:pPr>
              <w:adjustRightInd w:val="0"/>
              <w:snapToGrid w:val="0"/>
              <w:rPr>
                <w:rFonts w:asciiTheme="majorEastAsia" w:hAnsiTheme="majorEastAsia" w:eastAsiaTheme="majorEastAsia"/>
                <w:b/>
                <w:sz w:val="24"/>
                <w:szCs w:val="21"/>
              </w:rPr>
            </w:pPr>
          </w:p>
        </w:tc>
      </w:tr>
      <w:tr w14:paraId="71B7B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AAC7666">
            <w:pPr>
              <w:adjustRightInd w:val="0"/>
              <w:snapToGrid w:val="0"/>
              <w:rPr>
                <w:rFonts w:asciiTheme="majorEastAsia" w:hAnsiTheme="majorEastAsia" w:eastAsiaTheme="majorEastAsia"/>
                <w:b/>
                <w:sz w:val="24"/>
                <w:szCs w:val="21"/>
              </w:rPr>
            </w:pPr>
          </w:p>
        </w:tc>
        <w:tc>
          <w:tcPr>
            <w:tcW w:w="935" w:type="dxa"/>
            <w:vMerge w:val="continue"/>
          </w:tcPr>
          <w:p w14:paraId="69A55630">
            <w:pPr>
              <w:adjustRightInd w:val="0"/>
              <w:snapToGrid w:val="0"/>
              <w:rPr>
                <w:rFonts w:asciiTheme="majorEastAsia" w:hAnsiTheme="majorEastAsia" w:eastAsiaTheme="majorEastAsia"/>
                <w:b/>
                <w:sz w:val="24"/>
                <w:szCs w:val="21"/>
              </w:rPr>
            </w:pPr>
          </w:p>
        </w:tc>
        <w:tc>
          <w:tcPr>
            <w:tcW w:w="7564" w:type="dxa"/>
            <w:gridSpan w:val="2"/>
          </w:tcPr>
          <w:p w14:paraId="0F0B43DA">
            <w:pPr>
              <w:pStyle w:val="16"/>
              <w:numPr>
                <w:ilvl w:val="0"/>
                <w:numId w:val="2"/>
              </w:numPr>
              <w:ind w:firstLineChars="0"/>
              <w:rPr>
                <w:rFonts w:ascii="宋体" w:hAnsi="宋体" w:cs="宋体"/>
                <w:b/>
                <w:color w:val="000000"/>
                <w:szCs w:val="21"/>
              </w:rPr>
            </w:pPr>
            <w:r>
              <w:rPr>
                <w:rFonts w:asciiTheme="minorEastAsia" w:hAnsiTheme="minorEastAsia"/>
                <w:sz w:val="20"/>
                <w:szCs w:val="20"/>
              </w:rPr>
              <w:t>可自动统计</w:t>
            </w:r>
            <w:r>
              <w:rPr>
                <w:rFonts w:hint="eastAsia" w:asciiTheme="minorEastAsia" w:hAnsiTheme="minorEastAsia"/>
                <w:sz w:val="20"/>
                <w:szCs w:val="20"/>
              </w:rPr>
              <w:t>至少</w:t>
            </w:r>
            <w:r>
              <w:rPr>
                <w:rFonts w:asciiTheme="minorEastAsia" w:hAnsiTheme="minorEastAsia"/>
                <w:sz w:val="20"/>
                <w:szCs w:val="20"/>
              </w:rPr>
              <w:t>四种累计量</w:t>
            </w:r>
            <w:r>
              <w:rPr>
                <w:rFonts w:hint="eastAsia" w:asciiTheme="minorEastAsia" w:hAnsiTheme="minorEastAsia"/>
                <w:sz w:val="20"/>
                <w:szCs w:val="20"/>
              </w:rPr>
              <w:t>，包括但不限于</w:t>
            </w:r>
            <w:r>
              <w:rPr>
                <w:rFonts w:asciiTheme="minorEastAsia" w:hAnsiTheme="minorEastAsia"/>
                <w:sz w:val="20"/>
                <w:szCs w:val="20"/>
              </w:rPr>
              <w:t>：24h累计量、最近累计量、自定义时间段累计量、定时间隔累计量</w:t>
            </w:r>
            <w:r>
              <w:rPr>
                <w:rFonts w:hint="eastAsia" w:asciiTheme="minorEastAsia" w:hAnsiTheme="minorEastAsia"/>
                <w:sz w:val="20"/>
                <w:szCs w:val="20"/>
              </w:rPr>
              <w:t>等</w:t>
            </w:r>
          </w:p>
        </w:tc>
        <w:tc>
          <w:tcPr>
            <w:tcW w:w="817" w:type="dxa"/>
          </w:tcPr>
          <w:p w14:paraId="45A1F046">
            <w:pPr>
              <w:adjustRightInd w:val="0"/>
              <w:snapToGrid w:val="0"/>
              <w:rPr>
                <w:rFonts w:asciiTheme="majorEastAsia" w:hAnsiTheme="majorEastAsia" w:eastAsiaTheme="majorEastAsia"/>
                <w:b/>
                <w:sz w:val="24"/>
                <w:szCs w:val="21"/>
              </w:rPr>
            </w:pPr>
          </w:p>
        </w:tc>
      </w:tr>
      <w:tr w14:paraId="59FE2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5ADBA6B">
            <w:pPr>
              <w:adjustRightInd w:val="0"/>
              <w:snapToGrid w:val="0"/>
              <w:rPr>
                <w:rFonts w:asciiTheme="majorEastAsia" w:hAnsiTheme="majorEastAsia" w:eastAsiaTheme="majorEastAsia"/>
                <w:b/>
                <w:sz w:val="24"/>
                <w:szCs w:val="21"/>
              </w:rPr>
            </w:pPr>
          </w:p>
        </w:tc>
        <w:tc>
          <w:tcPr>
            <w:tcW w:w="935" w:type="dxa"/>
            <w:vMerge w:val="continue"/>
          </w:tcPr>
          <w:p w14:paraId="1453C9F6">
            <w:pPr>
              <w:adjustRightInd w:val="0"/>
              <w:snapToGrid w:val="0"/>
              <w:rPr>
                <w:rFonts w:asciiTheme="majorEastAsia" w:hAnsiTheme="majorEastAsia" w:eastAsiaTheme="majorEastAsia"/>
                <w:b/>
                <w:sz w:val="24"/>
                <w:szCs w:val="21"/>
              </w:rPr>
            </w:pPr>
          </w:p>
        </w:tc>
        <w:tc>
          <w:tcPr>
            <w:tcW w:w="7564" w:type="dxa"/>
            <w:gridSpan w:val="2"/>
          </w:tcPr>
          <w:p w14:paraId="5AF34A58">
            <w:pPr>
              <w:pStyle w:val="16"/>
              <w:numPr>
                <w:ilvl w:val="0"/>
                <w:numId w:val="2"/>
              </w:numPr>
              <w:ind w:firstLineChars="0"/>
              <w:rPr>
                <w:rFonts w:ascii="宋体" w:hAnsi="宋体" w:cs="宋体"/>
                <w:color w:val="000000"/>
                <w:szCs w:val="21"/>
              </w:rPr>
            </w:pPr>
            <w:r>
              <w:rPr>
                <w:rFonts w:hint="eastAsia" w:asciiTheme="minorEastAsia" w:hAnsiTheme="minorEastAsia"/>
                <w:sz w:val="20"/>
                <w:szCs w:val="20"/>
              </w:rPr>
              <w:t>至少</w:t>
            </w:r>
            <w:r>
              <w:rPr>
                <w:rFonts w:asciiTheme="minorEastAsia" w:hAnsiTheme="minorEastAsia"/>
                <w:sz w:val="20"/>
                <w:szCs w:val="20"/>
              </w:rPr>
              <w:t>支持2ml、3ml、5ml、10ml、20ml、30ml、50/60ml</w:t>
            </w:r>
            <w:r>
              <w:rPr>
                <w:rFonts w:hint="eastAsia" w:asciiTheme="minorEastAsia" w:hAnsiTheme="minorEastAsia"/>
                <w:sz w:val="20"/>
                <w:szCs w:val="20"/>
              </w:rPr>
              <w:t>规格的注射器</w:t>
            </w:r>
            <w:r>
              <w:rPr>
                <w:rFonts w:asciiTheme="minorEastAsia" w:hAnsiTheme="minorEastAsia"/>
                <w:sz w:val="20"/>
                <w:szCs w:val="20"/>
              </w:rPr>
              <w:t>；</w:t>
            </w:r>
          </w:p>
        </w:tc>
        <w:tc>
          <w:tcPr>
            <w:tcW w:w="817" w:type="dxa"/>
          </w:tcPr>
          <w:p w14:paraId="254F6D97">
            <w:pPr>
              <w:adjustRightInd w:val="0"/>
              <w:snapToGrid w:val="0"/>
              <w:rPr>
                <w:rFonts w:asciiTheme="majorEastAsia" w:hAnsiTheme="majorEastAsia" w:eastAsiaTheme="majorEastAsia"/>
                <w:b/>
                <w:sz w:val="24"/>
                <w:szCs w:val="21"/>
              </w:rPr>
            </w:pPr>
          </w:p>
        </w:tc>
      </w:tr>
      <w:tr w14:paraId="2198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B9CD3E1">
            <w:pPr>
              <w:adjustRightInd w:val="0"/>
              <w:snapToGrid w:val="0"/>
              <w:rPr>
                <w:rFonts w:asciiTheme="majorEastAsia" w:hAnsiTheme="majorEastAsia" w:eastAsiaTheme="majorEastAsia"/>
                <w:b/>
                <w:sz w:val="24"/>
                <w:szCs w:val="21"/>
              </w:rPr>
            </w:pPr>
          </w:p>
        </w:tc>
        <w:tc>
          <w:tcPr>
            <w:tcW w:w="935" w:type="dxa"/>
            <w:vMerge w:val="continue"/>
          </w:tcPr>
          <w:p w14:paraId="709BAA4B">
            <w:pPr>
              <w:adjustRightInd w:val="0"/>
              <w:snapToGrid w:val="0"/>
              <w:rPr>
                <w:rFonts w:asciiTheme="majorEastAsia" w:hAnsiTheme="majorEastAsia" w:eastAsiaTheme="majorEastAsia"/>
                <w:b/>
                <w:sz w:val="24"/>
                <w:szCs w:val="21"/>
              </w:rPr>
            </w:pPr>
          </w:p>
        </w:tc>
        <w:tc>
          <w:tcPr>
            <w:tcW w:w="7564" w:type="dxa"/>
            <w:gridSpan w:val="2"/>
          </w:tcPr>
          <w:p w14:paraId="45A6D539">
            <w:pPr>
              <w:pStyle w:val="16"/>
              <w:numPr>
                <w:ilvl w:val="0"/>
                <w:numId w:val="2"/>
              </w:numPr>
              <w:ind w:firstLineChars="0"/>
              <w:rPr>
                <w:rFonts w:ascii="宋体" w:hAnsi="宋体" w:cs="宋体"/>
                <w:color w:val="000000"/>
                <w:szCs w:val="21"/>
              </w:rPr>
            </w:pPr>
            <w:r>
              <w:rPr>
                <w:rFonts w:asciiTheme="minorEastAsia" w:hAnsiTheme="minorEastAsia"/>
                <w:sz w:val="20"/>
                <w:szCs w:val="20"/>
              </w:rPr>
              <w:t>注射泵具有电动离合，</w:t>
            </w:r>
            <w:r>
              <w:rPr>
                <w:rFonts w:hint="eastAsia" w:asciiTheme="minorEastAsia" w:hAnsiTheme="minorEastAsia"/>
                <w:sz w:val="20"/>
                <w:szCs w:val="20"/>
              </w:rPr>
              <w:t>在</w:t>
            </w:r>
            <w:r>
              <w:rPr>
                <w:rFonts w:asciiTheme="minorEastAsia" w:hAnsiTheme="minorEastAsia"/>
                <w:sz w:val="20"/>
                <w:szCs w:val="20"/>
              </w:rPr>
              <w:t>加载注射器时不松开捏柄推杆也可自动感应制动</w:t>
            </w:r>
          </w:p>
        </w:tc>
        <w:tc>
          <w:tcPr>
            <w:tcW w:w="817" w:type="dxa"/>
          </w:tcPr>
          <w:p w14:paraId="592D7214">
            <w:pPr>
              <w:adjustRightInd w:val="0"/>
              <w:snapToGrid w:val="0"/>
              <w:rPr>
                <w:rFonts w:asciiTheme="majorEastAsia" w:hAnsiTheme="majorEastAsia" w:eastAsiaTheme="majorEastAsia"/>
                <w:b/>
                <w:sz w:val="24"/>
                <w:szCs w:val="21"/>
              </w:rPr>
            </w:pPr>
          </w:p>
        </w:tc>
      </w:tr>
      <w:tr w14:paraId="2781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71D0748">
            <w:pPr>
              <w:adjustRightInd w:val="0"/>
              <w:snapToGrid w:val="0"/>
              <w:rPr>
                <w:rFonts w:asciiTheme="majorEastAsia" w:hAnsiTheme="majorEastAsia" w:eastAsiaTheme="majorEastAsia"/>
                <w:b/>
                <w:sz w:val="24"/>
                <w:szCs w:val="21"/>
              </w:rPr>
            </w:pPr>
          </w:p>
        </w:tc>
        <w:tc>
          <w:tcPr>
            <w:tcW w:w="935" w:type="dxa"/>
            <w:vMerge w:val="continue"/>
          </w:tcPr>
          <w:p w14:paraId="17430DB9">
            <w:pPr>
              <w:adjustRightInd w:val="0"/>
              <w:snapToGrid w:val="0"/>
              <w:rPr>
                <w:rFonts w:asciiTheme="majorEastAsia" w:hAnsiTheme="majorEastAsia" w:eastAsiaTheme="majorEastAsia"/>
                <w:b/>
                <w:sz w:val="24"/>
                <w:szCs w:val="21"/>
              </w:rPr>
            </w:pPr>
          </w:p>
        </w:tc>
        <w:tc>
          <w:tcPr>
            <w:tcW w:w="7564" w:type="dxa"/>
            <w:gridSpan w:val="2"/>
          </w:tcPr>
          <w:p w14:paraId="1F86649B">
            <w:pPr>
              <w:pStyle w:val="16"/>
              <w:numPr>
                <w:ilvl w:val="0"/>
                <w:numId w:val="2"/>
              </w:numPr>
              <w:ind w:firstLineChars="0"/>
              <w:rPr>
                <w:rFonts w:asciiTheme="majorEastAsia" w:hAnsiTheme="majorEastAsia" w:eastAsiaTheme="majorEastAsia"/>
                <w:b/>
                <w:sz w:val="24"/>
                <w:szCs w:val="21"/>
              </w:rPr>
            </w:pPr>
            <w:r>
              <w:rPr>
                <w:rFonts w:hint="eastAsia" w:asciiTheme="minorEastAsia" w:hAnsiTheme="minorEastAsia"/>
                <w:sz w:val="20"/>
                <w:szCs w:val="20"/>
              </w:rPr>
              <w:t>具备不少于</w:t>
            </w:r>
            <w:r>
              <w:rPr>
                <w:rFonts w:asciiTheme="minorEastAsia" w:hAnsiTheme="minorEastAsia"/>
                <w:sz w:val="20"/>
                <w:szCs w:val="20"/>
              </w:rPr>
              <w:t>8种注射模式</w:t>
            </w:r>
            <w:r>
              <w:rPr>
                <w:rFonts w:hint="eastAsia" w:asciiTheme="minorEastAsia" w:hAnsiTheme="minorEastAsia"/>
                <w:sz w:val="20"/>
                <w:szCs w:val="20"/>
              </w:rPr>
              <w:t>，至少包括：</w:t>
            </w:r>
            <w:r>
              <w:rPr>
                <w:rFonts w:asciiTheme="minorEastAsia" w:hAnsiTheme="minorEastAsia"/>
                <w:sz w:val="20"/>
                <w:szCs w:val="20"/>
              </w:rPr>
              <w:t>速度模式、时间模式、体重模式、梯度模式、序列模式、剂量时间模式、间断给药模式、TIVA模式</w:t>
            </w:r>
            <w:r>
              <w:rPr>
                <w:rFonts w:hint="eastAsia" w:asciiTheme="minorEastAsia" w:hAnsiTheme="minorEastAsia"/>
                <w:sz w:val="20"/>
                <w:szCs w:val="20"/>
              </w:rPr>
              <w:t>等</w:t>
            </w:r>
          </w:p>
        </w:tc>
        <w:tc>
          <w:tcPr>
            <w:tcW w:w="817" w:type="dxa"/>
          </w:tcPr>
          <w:p w14:paraId="0CA30303">
            <w:pPr>
              <w:adjustRightInd w:val="0"/>
              <w:snapToGrid w:val="0"/>
              <w:rPr>
                <w:rFonts w:asciiTheme="majorEastAsia" w:hAnsiTheme="majorEastAsia" w:eastAsiaTheme="majorEastAsia"/>
                <w:b/>
                <w:sz w:val="24"/>
                <w:szCs w:val="21"/>
              </w:rPr>
            </w:pPr>
          </w:p>
        </w:tc>
      </w:tr>
      <w:tr w14:paraId="3B4FB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C3EB36D">
            <w:pPr>
              <w:adjustRightInd w:val="0"/>
              <w:snapToGrid w:val="0"/>
              <w:rPr>
                <w:rFonts w:asciiTheme="majorEastAsia" w:hAnsiTheme="majorEastAsia" w:eastAsiaTheme="majorEastAsia"/>
                <w:b/>
                <w:sz w:val="24"/>
                <w:szCs w:val="21"/>
              </w:rPr>
            </w:pPr>
          </w:p>
        </w:tc>
        <w:tc>
          <w:tcPr>
            <w:tcW w:w="935" w:type="dxa"/>
            <w:vMerge w:val="continue"/>
          </w:tcPr>
          <w:p w14:paraId="69F18E9A">
            <w:pPr>
              <w:adjustRightInd w:val="0"/>
              <w:snapToGrid w:val="0"/>
              <w:rPr>
                <w:rFonts w:asciiTheme="majorEastAsia" w:hAnsiTheme="majorEastAsia" w:eastAsiaTheme="majorEastAsia"/>
                <w:b/>
                <w:sz w:val="24"/>
                <w:szCs w:val="21"/>
              </w:rPr>
            </w:pPr>
          </w:p>
        </w:tc>
        <w:tc>
          <w:tcPr>
            <w:tcW w:w="7564" w:type="dxa"/>
            <w:gridSpan w:val="2"/>
          </w:tcPr>
          <w:p w14:paraId="791E279C">
            <w:pPr>
              <w:pStyle w:val="16"/>
              <w:numPr>
                <w:ilvl w:val="0"/>
                <w:numId w:val="2"/>
              </w:numPr>
              <w:ind w:firstLineChars="0"/>
              <w:rPr>
                <w:rFonts w:asciiTheme="majorEastAsia" w:hAnsiTheme="majorEastAsia" w:eastAsiaTheme="majorEastAsia"/>
                <w:b/>
                <w:sz w:val="24"/>
                <w:szCs w:val="21"/>
              </w:rPr>
            </w:pPr>
            <w:r>
              <w:rPr>
                <w:rFonts w:hint="eastAsia" w:asciiTheme="minorEastAsia" w:hAnsiTheme="minorEastAsia"/>
                <w:sz w:val="20"/>
                <w:szCs w:val="20"/>
              </w:rPr>
              <w:t>可用于</w:t>
            </w:r>
            <w:r>
              <w:rPr>
                <w:rFonts w:asciiTheme="minorEastAsia" w:hAnsiTheme="minorEastAsia"/>
                <w:sz w:val="20"/>
                <w:szCs w:val="20"/>
              </w:rPr>
              <w:t>镇痛药、化疗药、胰岛素输注</w:t>
            </w:r>
            <w:r>
              <w:rPr>
                <w:rFonts w:hint="eastAsia" w:asciiTheme="minorEastAsia" w:hAnsiTheme="minorEastAsia"/>
                <w:sz w:val="20"/>
                <w:szCs w:val="20"/>
              </w:rPr>
              <w:t>（需提供产品说明书或注册证作为证明材料）</w:t>
            </w:r>
          </w:p>
        </w:tc>
        <w:tc>
          <w:tcPr>
            <w:tcW w:w="817" w:type="dxa"/>
          </w:tcPr>
          <w:p w14:paraId="559802F5">
            <w:pPr>
              <w:adjustRightInd w:val="0"/>
              <w:snapToGrid w:val="0"/>
              <w:rPr>
                <w:rFonts w:asciiTheme="majorEastAsia" w:hAnsiTheme="majorEastAsia" w:eastAsiaTheme="majorEastAsia"/>
                <w:b/>
                <w:sz w:val="24"/>
                <w:szCs w:val="21"/>
              </w:rPr>
            </w:pPr>
            <w:r>
              <w:rPr>
                <w:rFonts w:hint="eastAsia" w:ascii="宋体" w:hAnsi="宋体" w:cs="宋体"/>
                <w:sz w:val="20"/>
                <w:szCs w:val="20"/>
              </w:rPr>
              <w:t>▲</w:t>
            </w:r>
          </w:p>
        </w:tc>
      </w:tr>
      <w:tr w14:paraId="46FA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2891DE6">
            <w:pPr>
              <w:adjustRightInd w:val="0"/>
              <w:snapToGrid w:val="0"/>
              <w:rPr>
                <w:rFonts w:asciiTheme="majorEastAsia" w:hAnsiTheme="majorEastAsia" w:eastAsiaTheme="majorEastAsia"/>
                <w:b/>
                <w:sz w:val="24"/>
                <w:szCs w:val="21"/>
              </w:rPr>
            </w:pPr>
          </w:p>
        </w:tc>
        <w:tc>
          <w:tcPr>
            <w:tcW w:w="935" w:type="dxa"/>
            <w:vMerge w:val="continue"/>
          </w:tcPr>
          <w:p w14:paraId="1ABB059E">
            <w:pPr>
              <w:adjustRightInd w:val="0"/>
              <w:snapToGrid w:val="0"/>
              <w:rPr>
                <w:rFonts w:asciiTheme="majorEastAsia" w:hAnsiTheme="majorEastAsia" w:eastAsiaTheme="majorEastAsia"/>
                <w:b/>
                <w:sz w:val="24"/>
                <w:szCs w:val="21"/>
              </w:rPr>
            </w:pPr>
          </w:p>
        </w:tc>
        <w:tc>
          <w:tcPr>
            <w:tcW w:w="7564" w:type="dxa"/>
            <w:gridSpan w:val="2"/>
          </w:tcPr>
          <w:p w14:paraId="67568F1B">
            <w:pPr>
              <w:pStyle w:val="16"/>
              <w:numPr>
                <w:ilvl w:val="0"/>
                <w:numId w:val="2"/>
              </w:numPr>
              <w:ind w:firstLineChars="0"/>
              <w:rPr>
                <w:rFonts w:asciiTheme="majorEastAsia" w:hAnsiTheme="majorEastAsia" w:eastAsiaTheme="majorEastAsia"/>
                <w:b/>
                <w:sz w:val="24"/>
                <w:szCs w:val="21"/>
              </w:rPr>
            </w:pPr>
            <w:r>
              <w:rPr>
                <w:rFonts w:asciiTheme="minorEastAsia" w:hAnsiTheme="minorEastAsia"/>
                <w:sz w:val="20"/>
                <w:szCs w:val="20"/>
              </w:rPr>
              <w:t>可选TCI模式，TCI模式</w:t>
            </w:r>
            <w:r>
              <w:rPr>
                <w:rFonts w:hint="eastAsia" w:asciiTheme="minorEastAsia" w:hAnsiTheme="minorEastAsia"/>
                <w:sz w:val="20"/>
                <w:szCs w:val="20"/>
              </w:rPr>
              <w:t>至少</w:t>
            </w:r>
            <w:r>
              <w:rPr>
                <w:rFonts w:asciiTheme="minorEastAsia" w:hAnsiTheme="minorEastAsia"/>
                <w:sz w:val="20"/>
                <w:szCs w:val="20"/>
              </w:rPr>
              <w:t>支持三种药物：丙泊酚，瑞芬太尼，苏芬太尼，</w:t>
            </w:r>
            <w:r>
              <w:rPr>
                <w:rFonts w:hint="eastAsia" w:asciiTheme="minorEastAsia" w:hAnsiTheme="minorEastAsia"/>
                <w:sz w:val="20"/>
                <w:szCs w:val="20"/>
              </w:rPr>
              <w:t>并包含</w:t>
            </w:r>
            <w:r>
              <w:rPr>
                <w:rFonts w:asciiTheme="minorEastAsia" w:hAnsiTheme="minorEastAsia"/>
                <w:sz w:val="20"/>
                <w:szCs w:val="20"/>
              </w:rPr>
              <w:t>丙泊酚小儿药代模型</w:t>
            </w:r>
            <w:r>
              <w:rPr>
                <w:rFonts w:hint="eastAsia" w:asciiTheme="minorEastAsia" w:hAnsiTheme="minorEastAsia"/>
                <w:sz w:val="20"/>
                <w:szCs w:val="20"/>
              </w:rPr>
              <w:t>等</w:t>
            </w:r>
          </w:p>
        </w:tc>
        <w:tc>
          <w:tcPr>
            <w:tcW w:w="817" w:type="dxa"/>
          </w:tcPr>
          <w:p w14:paraId="24FE7152">
            <w:pPr>
              <w:adjustRightInd w:val="0"/>
              <w:snapToGrid w:val="0"/>
              <w:rPr>
                <w:rFonts w:asciiTheme="majorEastAsia" w:hAnsiTheme="majorEastAsia" w:eastAsiaTheme="majorEastAsia"/>
                <w:b/>
                <w:sz w:val="24"/>
                <w:szCs w:val="21"/>
              </w:rPr>
            </w:pPr>
          </w:p>
        </w:tc>
      </w:tr>
      <w:tr w14:paraId="43704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C3E7694">
            <w:pPr>
              <w:adjustRightInd w:val="0"/>
              <w:snapToGrid w:val="0"/>
              <w:rPr>
                <w:rFonts w:asciiTheme="majorEastAsia" w:hAnsiTheme="majorEastAsia" w:eastAsiaTheme="majorEastAsia"/>
                <w:b/>
                <w:sz w:val="24"/>
                <w:szCs w:val="21"/>
              </w:rPr>
            </w:pPr>
          </w:p>
        </w:tc>
        <w:tc>
          <w:tcPr>
            <w:tcW w:w="935" w:type="dxa"/>
            <w:vMerge w:val="continue"/>
          </w:tcPr>
          <w:p w14:paraId="312FB044">
            <w:pPr>
              <w:adjustRightInd w:val="0"/>
              <w:snapToGrid w:val="0"/>
              <w:rPr>
                <w:rFonts w:asciiTheme="majorEastAsia" w:hAnsiTheme="majorEastAsia" w:eastAsiaTheme="majorEastAsia"/>
                <w:b/>
                <w:sz w:val="24"/>
                <w:szCs w:val="21"/>
              </w:rPr>
            </w:pPr>
          </w:p>
        </w:tc>
        <w:tc>
          <w:tcPr>
            <w:tcW w:w="7564" w:type="dxa"/>
            <w:gridSpan w:val="2"/>
          </w:tcPr>
          <w:p w14:paraId="1A6BA0A4">
            <w:pPr>
              <w:pStyle w:val="16"/>
              <w:numPr>
                <w:ilvl w:val="0"/>
                <w:numId w:val="2"/>
              </w:numPr>
              <w:ind w:firstLineChars="0"/>
              <w:rPr>
                <w:rFonts w:asciiTheme="majorEastAsia" w:hAnsiTheme="majorEastAsia" w:eastAsiaTheme="majorEastAsia"/>
                <w:b/>
                <w:sz w:val="24"/>
                <w:szCs w:val="21"/>
              </w:rPr>
            </w:pPr>
            <w:r>
              <w:rPr>
                <w:rFonts w:asciiTheme="minorEastAsia" w:hAnsiTheme="minorEastAsia"/>
                <w:sz w:val="20"/>
                <w:szCs w:val="20"/>
              </w:rPr>
              <w:t>显示屏</w:t>
            </w:r>
            <w:r>
              <w:rPr>
                <w:rFonts w:hint="eastAsia" w:asciiTheme="minorEastAsia" w:hAnsiTheme="minorEastAsia"/>
                <w:sz w:val="20"/>
                <w:szCs w:val="20"/>
              </w:rPr>
              <w:t>：彩色，尺寸</w:t>
            </w:r>
            <w:r>
              <w:rPr>
                <w:rFonts w:asciiTheme="minorEastAsia" w:hAnsiTheme="minorEastAsia"/>
                <w:sz w:val="20"/>
                <w:szCs w:val="20"/>
              </w:rPr>
              <w:t>≥3.5英寸，</w:t>
            </w:r>
            <w:r>
              <w:rPr>
                <w:rFonts w:hint="eastAsia" w:asciiTheme="minorEastAsia" w:hAnsiTheme="minorEastAsia"/>
                <w:sz w:val="20"/>
                <w:szCs w:val="20"/>
              </w:rPr>
              <w:t>采用</w:t>
            </w:r>
            <w:r>
              <w:rPr>
                <w:rFonts w:asciiTheme="minorEastAsia" w:hAnsiTheme="minorEastAsia"/>
                <w:sz w:val="20"/>
                <w:szCs w:val="20"/>
              </w:rPr>
              <w:t>电容触摸屏技术</w:t>
            </w:r>
            <w:r>
              <w:rPr>
                <w:rFonts w:hint="default" w:asciiTheme="minorEastAsia" w:hAnsiTheme="minorEastAsia"/>
                <w:sz w:val="20"/>
                <w:szCs w:val="20"/>
                <w:lang w:eastAsia="zh-CN"/>
              </w:rPr>
              <w:t>（</w:t>
            </w:r>
            <w:r>
              <w:rPr>
                <w:rFonts w:hint="default" w:asciiTheme="minorEastAsia" w:hAnsiTheme="minorEastAsia"/>
                <w:sz w:val="20"/>
                <w:szCs w:val="20"/>
                <w:lang w:val="en-US" w:eastAsia="zh-CN"/>
              </w:rPr>
              <w:t>提供产品彩页</w:t>
            </w:r>
            <w:r>
              <w:rPr>
                <w:rFonts w:hint="default" w:asciiTheme="minorEastAsia" w:hAnsiTheme="minorEastAsia"/>
                <w:sz w:val="20"/>
                <w:szCs w:val="20"/>
                <w:lang w:eastAsia="zh-CN"/>
              </w:rPr>
              <w:t>）</w:t>
            </w:r>
          </w:p>
        </w:tc>
        <w:tc>
          <w:tcPr>
            <w:tcW w:w="817" w:type="dxa"/>
          </w:tcPr>
          <w:p w14:paraId="3351981B">
            <w:pPr>
              <w:adjustRightInd w:val="0"/>
              <w:snapToGrid w:val="0"/>
              <w:rPr>
                <w:rFonts w:asciiTheme="majorEastAsia" w:hAnsiTheme="majorEastAsia" w:eastAsiaTheme="majorEastAsia"/>
                <w:b/>
                <w:sz w:val="24"/>
                <w:szCs w:val="21"/>
              </w:rPr>
            </w:pPr>
          </w:p>
        </w:tc>
      </w:tr>
      <w:tr w14:paraId="32469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58B3D34">
            <w:pPr>
              <w:adjustRightInd w:val="0"/>
              <w:snapToGrid w:val="0"/>
              <w:rPr>
                <w:rFonts w:asciiTheme="majorEastAsia" w:hAnsiTheme="majorEastAsia" w:eastAsiaTheme="majorEastAsia"/>
                <w:b/>
                <w:sz w:val="24"/>
                <w:szCs w:val="21"/>
              </w:rPr>
            </w:pPr>
          </w:p>
        </w:tc>
        <w:tc>
          <w:tcPr>
            <w:tcW w:w="935" w:type="dxa"/>
            <w:vMerge w:val="continue"/>
          </w:tcPr>
          <w:p w14:paraId="5B3A3EE5">
            <w:pPr>
              <w:adjustRightInd w:val="0"/>
              <w:snapToGrid w:val="0"/>
              <w:rPr>
                <w:rFonts w:asciiTheme="majorEastAsia" w:hAnsiTheme="majorEastAsia" w:eastAsiaTheme="majorEastAsia"/>
                <w:b/>
                <w:sz w:val="24"/>
                <w:szCs w:val="21"/>
              </w:rPr>
            </w:pPr>
          </w:p>
        </w:tc>
        <w:tc>
          <w:tcPr>
            <w:tcW w:w="7564" w:type="dxa"/>
            <w:gridSpan w:val="2"/>
          </w:tcPr>
          <w:p w14:paraId="5EF85F0F">
            <w:pPr>
              <w:pStyle w:val="16"/>
              <w:numPr>
                <w:ilvl w:val="0"/>
                <w:numId w:val="2"/>
              </w:numPr>
              <w:ind w:firstLineChars="0"/>
              <w:rPr>
                <w:rFonts w:asciiTheme="majorEastAsia" w:hAnsiTheme="majorEastAsia" w:eastAsiaTheme="majorEastAsia"/>
                <w:b/>
                <w:sz w:val="24"/>
                <w:szCs w:val="21"/>
              </w:rPr>
            </w:pPr>
            <w:r>
              <w:rPr>
                <w:rFonts w:asciiTheme="minorEastAsia" w:hAnsiTheme="minorEastAsia"/>
                <w:sz w:val="20"/>
                <w:szCs w:val="20"/>
              </w:rPr>
              <w:t>支持药物库，可储存</w:t>
            </w:r>
            <w:r>
              <w:rPr>
                <w:rFonts w:hint="eastAsia" w:asciiTheme="minorEastAsia" w:hAnsiTheme="minorEastAsia"/>
                <w:sz w:val="20"/>
                <w:szCs w:val="20"/>
              </w:rPr>
              <w:t>≥</w:t>
            </w:r>
            <w:r>
              <w:rPr>
                <w:rFonts w:asciiTheme="minorEastAsia" w:hAnsiTheme="minorEastAsia"/>
                <w:sz w:val="20"/>
                <w:szCs w:val="20"/>
              </w:rPr>
              <w:t>5000种药物信息</w:t>
            </w:r>
          </w:p>
        </w:tc>
        <w:tc>
          <w:tcPr>
            <w:tcW w:w="817" w:type="dxa"/>
          </w:tcPr>
          <w:p w14:paraId="044FE527">
            <w:pPr>
              <w:adjustRightInd w:val="0"/>
              <w:snapToGrid w:val="0"/>
              <w:rPr>
                <w:rFonts w:asciiTheme="majorEastAsia" w:hAnsiTheme="majorEastAsia" w:eastAsiaTheme="majorEastAsia"/>
                <w:b/>
                <w:sz w:val="24"/>
                <w:szCs w:val="21"/>
              </w:rPr>
            </w:pPr>
          </w:p>
        </w:tc>
      </w:tr>
      <w:tr w14:paraId="1985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A5D634F">
            <w:pPr>
              <w:adjustRightInd w:val="0"/>
              <w:snapToGrid w:val="0"/>
              <w:rPr>
                <w:rFonts w:asciiTheme="majorEastAsia" w:hAnsiTheme="majorEastAsia" w:eastAsiaTheme="majorEastAsia"/>
                <w:b/>
                <w:sz w:val="24"/>
                <w:szCs w:val="21"/>
              </w:rPr>
            </w:pPr>
          </w:p>
        </w:tc>
        <w:tc>
          <w:tcPr>
            <w:tcW w:w="935" w:type="dxa"/>
            <w:vMerge w:val="continue"/>
          </w:tcPr>
          <w:p w14:paraId="147D9788">
            <w:pPr>
              <w:adjustRightInd w:val="0"/>
              <w:snapToGrid w:val="0"/>
              <w:rPr>
                <w:rFonts w:asciiTheme="majorEastAsia" w:hAnsiTheme="majorEastAsia" w:eastAsiaTheme="majorEastAsia"/>
                <w:b/>
                <w:sz w:val="24"/>
                <w:szCs w:val="21"/>
              </w:rPr>
            </w:pPr>
          </w:p>
        </w:tc>
        <w:tc>
          <w:tcPr>
            <w:tcW w:w="7564" w:type="dxa"/>
            <w:gridSpan w:val="2"/>
          </w:tcPr>
          <w:p w14:paraId="5AE9DD09">
            <w:pPr>
              <w:pStyle w:val="16"/>
              <w:numPr>
                <w:ilvl w:val="0"/>
                <w:numId w:val="2"/>
              </w:numPr>
              <w:ind w:firstLineChars="0"/>
              <w:rPr>
                <w:rFonts w:asciiTheme="majorEastAsia" w:hAnsiTheme="majorEastAsia" w:eastAsiaTheme="majorEastAsia"/>
                <w:b/>
                <w:sz w:val="24"/>
                <w:szCs w:val="21"/>
              </w:rPr>
            </w:pPr>
            <w:r>
              <w:rPr>
                <w:rFonts w:hint="eastAsia" w:asciiTheme="minorEastAsia" w:hAnsiTheme="minorEastAsia"/>
                <w:sz w:val="20"/>
                <w:szCs w:val="20"/>
              </w:rPr>
              <w:t>具备</w:t>
            </w:r>
            <w:r>
              <w:rPr>
                <w:rFonts w:asciiTheme="minorEastAsia" w:hAnsiTheme="minorEastAsia"/>
                <w:sz w:val="20"/>
                <w:szCs w:val="20"/>
              </w:rPr>
              <w:t>药物色彩标识，</w:t>
            </w:r>
            <w:r>
              <w:rPr>
                <w:rFonts w:hint="eastAsia" w:asciiTheme="minorEastAsia" w:hAnsiTheme="minorEastAsia"/>
                <w:sz w:val="20"/>
                <w:szCs w:val="20"/>
              </w:rPr>
              <w:t>在</w:t>
            </w:r>
            <w:r>
              <w:rPr>
                <w:rFonts w:asciiTheme="minorEastAsia" w:hAnsiTheme="minorEastAsia"/>
                <w:sz w:val="20"/>
                <w:szCs w:val="20"/>
              </w:rPr>
              <w:t>选择不同类型药物时</w:t>
            </w:r>
            <w:r>
              <w:rPr>
                <w:rFonts w:hint="eastAsia" w:asciiTheme="minorEastAsia" w:hAnsiTheme="minorEastAsia"/>
                <w:sz w:val="20"/>
                <w:szCs w:val="20"/>
              </w:rPr>
              <w:t>，屏幕自动显示</w:t>
            </w:r>
            <w:r>
              <w:rPr>
                <w:rFonts w:asciiTheme="minorEastAsia" w:hAnsiTheme="minorEastAsia"/>
                <w:sz w:val="20"/>
                <w:szCs w:val="20"/>
              </w:rPr>
              <w:t>对应的药物色彩标识，</w:t>
            </w:r>
            <w:r>
              <w:rPr>
                <w:rFonts w:hint="eastAsia" w:asciiTheme="minorEastAsia" w:hAnsiTheme="minorEastAsia"/>
                <w:sz w:val="20"/>
                <w:szCs w:val="20"/>
              </w:rPr>
              <w:t>可供选择的标识色彩不少于</w:t>
            </w:r>
            <w:r>
              <w:rPr>
                <w:rFonts w:asciiTheme="minorEastAsia" w:hAnsiTheme="minorEastAsia"/>
                <w:sz w:val="20"/>
                <w:szCs w:val="20"/>
              </w:rPr>
              <w:t>20种</w:t>
            </w:r>
            <w:r>
              <w:rPr>
                <w:rFonts w:hint="eastAsia" w:asciiTheme="minorEastAsia" w:hAnsiTheme="minorEastAsia"/>
                <w:sz w:val="20"/>
                <w:szCs w:val="20"/>
              </w:rPr>
              <w:t>（需提供产品说明书或彩页作为证明材料）</w:t>
            </w:r>
          </w:p>
        </w:tc>
        <w:tc>
          <w:tcPr>
            <w:tcW w:w="817" w:type="dxa"/>
          </w:tcPr>
          <w:p w14:paraId="3B101478">
            <w:pPr>
              <w:adjustRightInd w:val="0"/>
              <w:snapToGrid w:val="0"/>
              <w:rPr>
                <w:rFonts w:asciiTheme="majorEastAsia" w:hAnsiTheme="majorEastAsia" w:eastAsiaTheme="majorEastAsia"/>
                <w:b/>
                <w:sz w:val="24"/>
                <w:szCs w:val="21"/>
              </w:rPr>
            </w:pPr>
            <w:r>
              <w:rPr>
                <w:rFonts w:hint="eastAsia" w:ascii="宋体" w:hAnsi="宋体" w:cs="宋体"/>
                <w:sz w:val="20"/>
                <w:szCs w:val="20"/>
              </w:rPr>
              <w:t>▲</w:t>
            </w:r>
          </w:p>
        </w:tc>
      </w:tr>
      <w:tr w14:paraId="31DE6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42C5680">
            <w:pPr>
              <w:adjustRightInd w:val="0"/>
              <w:snapToGrid w:val="0"/>
              <w:rPr>
                <w:rFonts w:asciiTheme="majorEastAsia" w:hAnsiTheme="majorEastAsia" w:eastAsiaTheme="majorEastAsia"/>
                <w:b/>
                <w:sz w:val="24"/>
                <w:szCs w:val="21"/>
              </w:rPr>
            </w:pPr>
          </w:p>
        </w:tc>
        <w:tc>
          <w:tcPr>
            <w:tcW w:w="935" w:type="dxa"/>
            <w:vMerge w:val="continue"/>
          </w:tcPr>
          <w:p w14:paraId="7443E0D9">
            <w:pPr>
              <w:adjustRightInd w:val="0"/>
              <w:snapToGrid w:val="0"/>
              <w:rPr>
                <w:rFonts w:asciiTheme="majorEastAsia" w:hAnsiTheme="majorEastAsia" w:eastAsiaTheme="majorEastAsia"/>
                <w:b/>
                <w:sz w:val="24"/>
                <w:szCs w:val="21"/>
              </w:rPr>
            </w:pPr>
          </w:p>
        </w:tc>
        <w:tc>
          <w:tcPr>
            <w:tcW w:w="7564" w:type="dxa"/>
            <w:gridSpan w:val="2"/>
          </w:tcPr>
          <w:p w14:paraId="7E88F8DD">
            <w:pPr>
              <w:pStyle w:val="16"/>
              <w:numPr>
                <w:ilvl w:val="0"/>
                <w:numId w:val="2"/>
              </w:numPr>
              <w:ind w:firstLineChars="0"/>
              <w:rPr>
                <w:rFonts w:asciiTheme="majorEastAsia" w:hAnsiTheme="majorEastAsia" w:eastAsiaTheme="majorEastAsia"/>
                <w:b/>
                <w:sz w:val="24"/>
                <w:szCs w:val="21"/>
              </w:rPr>
            </w:pPr>
            <w:r>
              <w:rPr>
                <w:rFonts w:hint="eastAsia" w:asciiTheme="minorEastAsia" w:hAnsiTheme="minorEastAsia"/>
                <w:sz w:val="20"/>
                <w:szCs w:val="20"/>
              </w:rPr>
              <w:t>具备</w:t>
            </w:r>
            <w:r>
              <w:rPr>
                <w:rFonts w:asciiTheme="minorEastAsia" w:hAnsiTheme="minorEastAsia"/>
                <w:sz w:val="20"/>
                <w:szCs w:val="20"/>
              </w:rPr>
              <w:t>在线动态压力监测</w:t>
            </w:r>
            <w:r>
              <w:rPr>
                <w:rFonts w:hint="eastAsia" w:asciiTheme="minorEastAsia" w:hAnsiTheme="minorEastAsia"/>
                <w:sz w:val="20"/>
                <w:szCs w:val="20"/>
              </w:rPr>
              <w:t>功能</w:t>
            </w:r>
            <w:r>
              <w:rPr>
                <w:rFonts w:asciiTheme="minorEastAsia" w:hAnsiTheme="minorEastAsia"/>
                <w:sz w:val="20"/>
                <w:szCs w:val="20"/>
              </w:rPr>
              <w:t>，可实时显示当前压力数值；</w:t>
            </w:r>
          </w:p>
        </w:tc>
        <w:tc>
          <w:tcPr>
            <w:tcW w:w="817" w:type="dxa"/>
          </w:tcPr>
          <w:p w14:paraId="1D01389C">
            <w:pPr>
              <w:adjustRightInd w:val="0"/>
              <w:snapToGrid w:val="0"/>
              <w:rPr>
                <w:rFonts w:asciiTheme="majorEastAsia" w:hAnsiTheme="majorEastAsia" w:eastAsiaTheme="majorEastAsia"/>
                <w:b/>
                <w:sz w:val="24"/>
                <w:szCs w:val="21"/>
              </w:rPr>
            </w:pPr>
          </w:p>
        </w:tc>
      </w:tr>
      <w:tr w14:paraId="2E62D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C03A1C1">
            <w:pPr>
              <w:adjustRightInd w:val="0"/>
              <w:snapToGrid w:val="0"/>
              <w:rPr>
                <w:rFonts w:asciiTheme="majorEastAsia" w:hAnsiTheme="majorEastAsia" w:eastAsiaTheme="majorEastAsia"/>
                <w:b/>
                <w:sz w:val="24"/>
                <w:szCs w:val="21"/>
              </w:rPr>
            </w:pPr>
          </w:p>
        </w:tc>
        <w:tc>
          <w:tcPr>
            <w:tcW w:w="935" w:type="dxa"/>
            <w:vMerge w:val="continue"/>
          </w:tcPr>
          <w:p w14:paraId="505B8E05">
            <w:pPr>
              <w:adjustRightInd w:val="0"/>
              <w:snapToGrid w:val="0"/>
              <w:rPr>
                <w:rFonts w:asciiTheme="majorEastAsia" w:hAnsiTheme="majorEastAsia" w:eastAsiaTheme="majorEastAsia"/>
                <w:b/>
                <w:sz w:val="24"/>
                <w:szCs w:val="21"/>
              </w:rPr>
            </w:pPr>
          </w:p>
        </w:tc>
        <w:tc>
          <w:tcPr>
            <w:tcW w:w="7564" w:type="dxa"/>
            <w:gridSpan w:val="2"/>
          </w:tcPr>
          <w:p w14:paraId="48CBC4A5">
            <w:pPr>
              <w:pStyle w:val="16"/>
              <w:numPr>
                <w:ilvl w:val="0"/>
                <w:numId w:val="2"/>
              </w:numPr>
              <w:ind w:firstLineChars="0"/>
              <w:rPr>
                <w:rFonts w:asciiTheme="majorEastAsia" w:hAnsiTheme="majorEastAsia" w:eastAsiaTheme="majorEastAsia"/>
                <w:b/>
                <w:sz w:val="24"/>
                <w:szCs w:val="21"/>
              </w:rPr>
            </w:pPr>
            <w:r>
              <w:rPr>
                <w:rFonts w:asciiTheme="minorEastAsia" w:hAnsiTheme="minorEastAsia"/>
                <w:sz w:val="20"/>
                <w:szCs w:val="20"/>
              </w:rPr>
              <w:t>阻塞压力报警档位至少15档，最低档位可设置</w:t>
            </w:r>
            <w:r>
              <w:rPr>
                <w:rFonts w:hint="eastAsia" w:asciiTheme="minorEastAsia" w:hAnsiTheme="minorEastAsia"/>
                <w:sz w:val="20"/>
                <w:szCs w:val="20"/>
              </w:rPr>
              <w:t>≤</w:t>
            </w:r>
            <w:r>
              <w:rPr>
                <w:rFonts w:asciiTheme="minorEastAsia" w:hAnsiTheme="minorEastAsia"/>
                <w:sz w:val="20"/>
                <w:szCs w:val="20"/>
              </w:rPr>
              <w:t>50mmHg</w:t>
            </w:r>
          </w:p>
        </w:tc>
        <w:tc>
          <w:tcPr>
            <w:tcW w:w="817" w:type="dxa"/>
          </w:tcPr>
          <w:p w14:paraId="7E42A998">
            <w:pPr>
              <w:adjustRightInd w:val="0"/>
              <w:snapToGrid w:val="0"/>
              <w:rPr>
                <w:rFonts w:asciiTheme="majorEastAsia" w:hAnsiTheme="majorEastAsia" w:eastAsiaTheme="majorEastAsia"/>
                <w:b/>
                <w:sz w:val="24"/>
                <w:szCs w:val="21"/>
              </w:rPr>
            </w:pPr>
          </w:p>
        </w:tc>
      </w:tr>
      <w:tr w14:paraId="144AB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E4CE031">
            <w:pPr>
              <w:adjustRightInd w:val="0"/>
              <w:snapToGrid w:val="0"/>
              <w:rPr>
                <w:rFonts w:asciiTheme="majorEastAsia" w:hAnsiTheme="majorEastAsia" w:eastAsiaTheme="majorEastAsia"/>
                <w:b/>
                <w:sz w:val="24"/>
                <w:szCs w:val="21"/>
              </w:rPr>
            </w:pPr>
          </w:p>
        </w:tc>
        <w:tc>
          <w:tcPr>
            <w:tcW w:w="935" w:type="dxa"/>
            <w:vMerge w:val="continue"/>
          </w:tcPr>
          <w:p w14:paraId="355E2972">
            <w:pPr>
              <w:adjustRightInd w:val="0"/>
              <w:snapToGrid w:val="0"/>
              <w:rPr>
                <w:rFonts w:asciiTheme="majorEastAsia" w:hAnsiTheme="majorEastAsia" w:eastAsiaTheme="majorEastAsia"/>
                <w:b/>
                <w:sz w:val="24"/>
                <w:szCs w:val="21"/>
              </w:rPr>
            </w:pPr>
          </w:p>
        </w:tc>
        <w:tc>
          <w:tcPr>
            <w:tcW w:w="7564" w:type="dxa"/>
            <w:gridSpan w:val="2"/>
          </w:tcPr>
          <w:p w14:paraId="3C979FF0">
            <w:pPr>
              <w:pStyle w:val="16"/>
              <w:numPr>
                <w:ilvl w:val="0"/>
                <w:numId w:val="2"/>
              </w:numPr>
              <w:ind w:firstLineChars="0"/>
              <w:rPr>
                <w:rFonts w:asciiTheme="majorEastAsia" w:hAnsiTheme="majorEastAsia" w:eastAsiaTheme="majorEastAsia"/>
                <w:b/>
                <w:sz w:val="24"/>
                <w:szCs w:val="21"/>
              </w:rPr>
            </w:pPr>
            <w:r>
              <w:rPr>
                <w:rFonts w:asciiTheme="minorEastAsia" w:hAnsiTheme="minorEastAsia"/>
                <w:sz w:val="20"/>
                <w:szCs w:val="20"/>
              </w:rPr>
              <w:t>具备阻塞前预警提示功能，当管路压力未触发阻塞报警时，泵可自动识别压力上升并在屏幕上进行提示</w:t>
            </w:r>
          </w:p>
        </w:tc>
        <w:tc>
          <w:tcPr>
            <w:tcW w:w="817" w:type="dxa"/>
          </w:tcPr>
          <w:p w14:paraId="0A04A1BD">
            <w:pPr>
              <w:adjustRightInd w:val="0"/>
              <w:snapToGrid w:val="0"/>
              <w:rPr>
                <w:rFonts w:asciiTheme="majorEastAsia" w:hAnsiTheme="majorEastAsia" w:eastAsiaTheme="majorEastAsia"/>
                <w:b/>
                <w:sz w:val="24"/>
                <w:szCs w:val="21"/>
              </w:rPr>
            </w:pPr>
          </w:p>
        </w:tc>
      </w:tr>
      <w:tr w14:paraId="2E255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9810CCB">
            <w:pPr>
              <w:adjustRightInd w:val="0"/>
              <w:snapToGrid w:val="0"/>
              <w:rPr>
                <w:rFonts w:asciiTheme="majorEastAsia" w:hAnsiTheme="majorEastAsia" w:eastAsiaTheme="majorEastAsia"/>
                <w:b/>
                <w:sz w:val="24"/>
                <w:szCs w:val="21"/>
              </w:rPr>
            </w:pPr>
          </w:p>
        </w:tc>
        <w:tc>
          <w:tcPr>
            <w:tcW w:w="935" w:type="dxa"/>
            <w:vMerge w:val="continue"/>
          </w:tcPr>
          <w:p w14:paraId="0693807C">
            <w:pPr>
              <w:adjustRightInd w:val="0"/>
              <w:snapToGrid w:val="0"/>
              <w:rPr>
                <w:rFonts w:asciiTheme="majorEastAsia" w:hAnsiTheme="majorEastAsia" w:eastAsiaTheme="majorEastAsia"/>
                <w:b/>
                <w:sz w:val="24"/>
                <w:szCs w:val="21"/>
              </w:rPr>
            </w:pPr>
          </w:p>
        </w:tc>
        <w:tc>
          <w:tcPr>
            <w:tcW w:w="7564" w:type="dxa"/>
            <w:gridSpan w:val="2"/>
          </w:tcPr>
          <w:p w14:paraId="62B7A9F0">
            <w:pPr>
              <w:pStyle w:val="16"/>
              <w:numPr>
                <w:ilvl w:val="0"/>
                <w:numId w:val="2"/>
              </w:numPr>
              <w:ind w:firstLineChars="0"/>
              <w:rPr>
                <w:rFonts w:asciiTheme="majorEastAsia" w:hAnsiTheme="majorEastAsia" w:eastAsiaTheme="majorEastAsia"/>
                <w:b/>
                <w:sz w:val="24"/>
                <w:szCs w:val="21"/>
              </w:rPr>
            </w:pPr>
            <w:r>
              <w:rPr>
                <w:rFonts w:asciiTheme="minorEastAsia" w:hAnsiTheme="minorEastAsia"/>
                <w:sz w:val="20"/>
                <w:szCs w:val="20"/>
              </w:rPr>
              <w:t>具备阻塞后自动重启输液功能，短暂性阻塞触发报警后，泵检测到阻塞压力缓解时，</w:t>
            </w:r>
            <w:r>
              <w:rPr>
                <w:rFonts w:hint="eastAsia" w:asciiTheme="minorEastAsia" w:hAnsiTheme="minorEastAsia"/>
                <w:sz w:val="20"/>
                <w:szCs w:val="20"/>
              </w:rPr>
              <w:t>可在无</w:t>
            </w:r>
            <w:r>
              <w:rPr>
                <w:rFonts w:asciiTheme="minorEastAsia" w:hAnsiTheme="minorEastAsia"/>
                <w:sz w:val="20"/>
                <w:szCs w:val="20"/>
              </w:rPr>
              <w:t>人为干预</w:t>
            </w:r>
            <w:r>
              <w:rPr>
                <w:rFonts w:hint="eastAsia" w:asciiTheme="minorEastAsia" w:hAnsiTheme="minorEastAsia"/>
                <w:sz w:val="20"/>
                <w:szCs w:val="20"/>
              </w:rPr>
              <w:t>的情况下</w:t>
            </w:r>
            <w:r>
              <w:rPr>
                <w:rFonts w:asciiTheme="minorEastAsia" w:hAnsiTheme="minorEastAsia"/>
                <w:sz w:val="20"/>
                <w:szCs w:val="20"/>
              </w:rPr>
              <w:t>自动重启输液</w:t>
            </w:r>
            <w:r>
              <w:rPr>
                <w:rFonts w:hint="eastAsia" w:asciiTheme="minorEastAsia" w:hAnsiTheme="minorEastAsia"/>
                <w:sz w:val="20"/>
                <w:szCs w:val="20"/>
              </w:rPr>
              <w:t>（需提供产品说明书或彩页作为证明材料）</w:t>
            </w:r>
          </w:p>
        </w:tc>
        <w:tc>
          <w:tcPr>
            <w:tcW w:w="817" w:type="dxa"/>
          </w:tcPr>
          <w:p w14:paraId="5B6F5A46">
            <w:pPr>
              <w:adjustRightInd w:val="0"/>
              <w:snapToGrid w:val="0"/>
              <w:rPr>
                <w:rFonts w:asciiTheme="majorEastAsia" w:hAnsiTheme="majorEastAsia" w:eastAsiaTheme="majorEastAsia"/>
                <w:b/>
                <w:sz w:val="24"/>
                <w:szCs w:val="21"/>
              </w:rPr>
            </w:pPr>
          </w:p>
        </w:tc>
      </w:tr>
      <w:tr w14:paraId="021F7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D21811A">
            <w:pPr>
              <w:adjustRightInd w:val="0"/>
              <w:snapToGrid w:val="0"/>
              <w:rPr>
                <w:rFonts w:asciiTheme="majorEastAsia" w:hAnsiTheme="majorEastAsia" w:eastAsiaTheme="majorEastAsia"/>
                <w:b/>
                <w:sz w:val="24"/>
                <w:szCs w:val="21"/>
              </w:rPr>
            </w:pPr>
          </w:p>
        </w:tc>
        <w:tc>
          <w:tcPr>
            <w:tcW w:w="935" w:type="dxa"/>
            <w:vMerge w:val="continue"/>
          </w:tcPr>
          <w:p w14:paraId="2DB32A22">
            <w:pPr>
              <w:adjustRightInd w:val="0"/>
              <w:snapToGrid w:val="0"/>
              <w:rPr>
                <w:rFonts w:asciiTheme="majorEastAsia" w:hAnsiTheme="majorEastAsia" w:eastAsiaTheme="majorEastAsia"/>
                <w:b/>
                <w:sz w:val="24"/>
                <w:szCs w:val="21"/>
              </w:rPr>
            </w:pPr>
          </w:p>
        </w:tc>
        <w:tc>
          <w:tcPr>
            <w:tcW w:w="7564" w:type="dxa"/>
            <w:gridSpan w:val="2"/>
          </w:tcPr>
          <w:p w14:paraId="7AFBE36C">
            <w:pPr>
              <w:pStyle w:val="16"/>
              <w:numPr>
                <w:ilvl w:val="0"/>
                <w:numId w:val="2"/>
              </w:numPr>
              <w:ind w:firstLineChars="0"/>
              <w:rPr>
                <w:rFonts w:asciiTheme="majorEastAsia" w:hAnsiTheme="majorEastAsia" w:eastAsiaTheme="majorEastAsia"/>
                <w:b/>
                <w:sz w:val="24"/>
                <w:szCs w:val="21"/>
              </w:rPr>
            </w:pPr>
            <w:r>
              <w:rPr>
                <w:rFonts w:asciiTheme="minorEastAsia" w:hAnsiTheme="minorEastAsia"/>
                <w:sz w:val="20"/>
                <w:szCs w:val="20"/>
              </w:rPr>
              <w:t>具有历史记录功能，可存储</w:t>
            </w:r>
            <w:r>
              <w:rPr>
                <w:rFonts w:hint="eastAsia" w:asciiTheme="minorEastAsia" w:hAnsiTheme="minorEastAsia"/>
                <w:sz w:val="20"/>
                <w:szCs w:val="20"/>
              </w:rPr>
              <w:t>≥</w:t>
            </w:r>
            <w:r>
              <w:rPr>
                <w:rFonts w:asciiTheme="minorEastAsia" w:hAnsiTheme="minorEastAsia"/>
                <w:sz w:val="20"/>
                <w:szCs w:val="20"/>
              </w:rPr>
              <w:t>5000条的历史记录</w:t>
            </w:r>
          </w:p>
        </w:tc>
        <w:tc>
          <w:tcPr>
            <w:tcW w:w="817" w:type="dxa"/>
          </w:tcPr>
          <w:p w14:paraId="5825BE92">
            <w:pPr>
              <w:adjustRightInd w:val="0"/>
              <w:snapToGrid w:val="0"/>
              <w:rPr>
                <w:rFonts w:asciiTheme="majorEastAsia" w:hAnsiTheme="majorEastAsia" w:eastAsiaTheme="majorEastAsia"/>
                <w:b/>
                <w:sz w:val="24"/>
                <w:szCs w:val="21"/>
              </w:rPr>
            </w:pPr>
          </w:p>
        </w:tc>
      </w:tr>
      <w:tr w14:paraId="5308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E132CA8">
            <w:pPr>
              <w:adjustRightInd w:val="0"/>
              <w:snapToGrid w:val="0"/>
              <w:rPr>
                <w:rFonts w:asciiTheme="majorEastAsia" w:hAnsiTheme="majorEastAsia" w:eastAsiaTheme="majorEastAsia"/>
                <w:b/>
                <w:sz w:val="24"/>
                <w:szCs w:val="21"/>
              </w:rPr>
            </w:pPr>
          </w:p>
        </w:tc>
        <w:tc>
          <w:tcPr>
            <w:tcW w:w="935" w:type="dxa"/>
            <w:vMerge w:val="continue"/>
          </w:tcPr>
          <w:p w14:paraId="214E7639">
            <w:pPr>
              <w:adjustRightInd w:val="0"/>
              <w:snapToGrid w:val="0"/>
              <w:rPr>
                <w:rFonts w:asciiTheme="majorEastAsia" w:hAnsiTheme="majorEastAsia" w:eastAsiaTheme="majorEastAsia"/>
                <w:b/>
                <w:sz w:val="24"/>
                <w:szCs w:val="21"/>
              </w:rPr>
            </w:pPr>
          </w:p>
        </w:tc>
        <w:tc>
          <w:tcPr>
            <w:tcW w:w="7564" w:type="dxa"/>
            <w:gridSpan w:val="2"/>
          </w:tcPr>
          <w:p w14:paraId="7F0B5D98">
            <w:pPr>
              <w:pStyle w:val="16"/>
              <w:numPr>
                <w:ilvl w:val="0"/>
                <w:numId w:val="2"/>
              </w:numPr>
              <w:ind w:firstLineChars="0"/>
              <w:rPr>
                <w:rFonts w:asciiTheme="majorEastAsia" w:hAnsiTheme="majorEastAsia" w:eastAsiaTheme="majorEastAsia"/>
                <w:b/>
                <w:sz w:val="24"/>
                <w:szCs w:val="21"/>
              </w:rPr>
            </w:pPr>
            <w:r>
              <w:rPr>
                <w:rFonts w:hint="eastAsia" w:asciiTheme="minorEastAsia" w:hAnsiTheme="minorEastAsia"/>
                <w:sz w:val="20"/>
                <w:szCs w:val="20"/>
                <w:highlight w:val="yellow"/>
              </w:rPr>
              <w:t>在以5ml/h速率输注的条件下，电池持续工作时间不应少于6小时。</w:t>
            </w:r>
          </w:p>
        </w:tc>
        <w:tc>
          <w:tcPr>
            <w:tcW w:w="817" w:type="dxa"/>
          </w:tcPr>
          <w:p w14:paraId="0A3F8411">
            <w:pPr>
              <w:adjustRightInd w:val="0"/>
              <w:snapToGrid w:val="0"/>
              <w:rPr>
                <w:rFonts w:asciiTheme="majorEastAsia" w:hAnsiTheme="majorEastAsia" w:eastAsiaTheme="majorEastAsia"/>
                <w:b/>
                <w:sz w:val="24"/>
                <w:szCs w:val="21"/>
              </w:rPr>
            </w:pPr>
          </w:p>
        </w:tc>
      </w:tr>
      <w:tr w14:paraId="69E43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0E2240F">
            <w:pPr>
              <w:adjustRightInd w:val="0"/>
              <w:snapToGrid w:val="0"/>
              <w:rPr>
                <w:rFonts w:asciiTheme="majorEastAsia" w:hAnsiTheme="majorEastAsia" w:eastAsiaTheme="majorEastAsia"/>
                <w:b/>
                <w:sz w:val="24"/>
                <w:szCs w:val="21"/>
              </w:rPr>
            </w:pPr>
          </w:p>
        </w:tc>
        <w:tc>
          <w:tcPr>
            <w:tcW w:w="935" w:type="dxa"/>
            <w:vMerge w:val="continue"/>
          </w:tcPr>
          <w:p w14:paraId="2978AF8C">
            <w:pPr>
              <w:adjustRightInd w:val="0"/>
              <w:snapToGrid w:val="0"/>
              <w:rPr>
                <w:rFonts w:asciiTheme="majorEastAsia" w:hAnsiTheme="majorEastAsia" w:eastAsiaTheme="majorEastAsia"/>
                <w:b/>
                <w:sz w:val="24"/>
                <w:szCs w:val="21"/>
              </w:rPr>
            </w:pPr>
          </w:p>
        </w:tc>
        <w:tc>
          <w:tcPr>
            <w:tcW w:w="7564" w:type="dxa"/>
            <w:gridSpan w:val="2"/>
          </w:tcPr>
          <w:p w14:paraId="70765D8B">
            <w:pPr>
              <w:pStyle w:val="16"/>
              <w:numPr>
                <w:ilvl w:val="0"/>
                <w:numId w:val="2"/>
              </w:numPr>
              <w:ind w:firstLineChars="0"/>
              <w:rPr>
                <w:rFonts w:asciiTheme="majorEastAsia" w:hAnsiTheme="majorEastAsia" w:eastAsiaTheme="majorEastAsia"/>
                <w:b/>
                <w:sz w:val="24"/>
                <w:szCs w:val="21"/>
              </w:rPr>
            </w:pPr>
            <w:r>
              <w:rPr>
                <w:rFonts w:hint="eastAsia" w:asciiTheme="minorEastAsia" w:hAnsiTheme="minorEastAsia"/>
                <w:sz w:val="20"/>
                <w:szCs w:val="20"/>
              </w:rPr>
              <w:t xml:space="preserve"> 整机外壳防异物和液体侵入的防护等级应达到IP44或更高。</w:t>
            </w:r>
          </w:p>
        </w:tc>
        <w:tc>
          <w:tcPr>
            <w:tcW w:w="817" w:type="dxa"/>
          </w:tcPr>
          <w:p w14:paraId="05843A50">
            <w:pPr>
              <w:adjustRightInd w:val="0"/>
              <w:snapToGrid w:val="0"/>
              <w:rPr>
                <w:rFonts w:asciiTheme="majorEastAsia" w:hAnsiTheme="majorEastAsia" w:eastAsiaTheme="majorEastAsia"/>
                <w:b/>
                <w:sz w:val="24"/>
                <w:szCs w:val="21"/>
              </w:rPr>
            </w:pPr>
          </w:p>
        </w:tc>
      </w:tr>
      <w:tr w14:paraId="1C820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0E70CDA">
            <w:pPr>
              <w:adjustRightInd w:val="0"/>
              <w:snapToGrid w:val="0"/>
              <w:rPr>
                <w:rFonts w:asciiTheme="majorEastAsia" w:hAnsiTheme="majorEastAsia" w:eastAsiaTheme="majorEastAsia"/>
                <w:b/>
                <w:sz w:val="24"/>
                <w:szCs w:val="21"/>
              </w:rPr>
            </w:pPr>
          </w:p>
        </w:tc>
        <w:tc>
          <w:tcPr>
            <w:tcW w:w="935" w:type="dxa"/>
            <w:vMerge w:val="continue"/>
          </w:tcPr>
          <w:p w14:paraId="250648AE">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19B6FEB0">
            <w:pPr>
              <w:pStyle w:val="16"/>
              <w:numPr>
                <w:ilvl w:val="0"/>
                <w:numId w:val="2"/>
              </w:numPr>
              <w:ind w:left="420" w:leftChars="0" w:hanging="420" w:firstLineChars="0"/>
              <w:rPr>
                <w:rFonts w:cs="Times New Roman" w:asciiTheme="majorEastAsia" w:hAnsiTheme="majorEastAsia" w:eastAsiaTheme="majorEastAsia"/>
                <w:b/>
                <w:kern w:val="2"/>
                <w:sz w:val="24"/>
                <w:szCs w:val="21"/>
                <w:lang w:val="en-US" w:eastAsia="zh-CN" w:bidi="ar-SA"/>
              </w:rPr>
            </w:pPr>
            <w:r>
              <w:rPr>
                <w:rFonts w:hint="eastAsia" w:asciiTheme="minorEastAsia" w:hAnsiTheme="minorEastAsia"/>
                <w:sz w:val="20"/>
                <w:szCs w:val="20"/>
              </w:rPr>
              <w:t>设备应符合</w:t>
            </w:r>
            <w:r>
              <w:rPr>
                <w:rFonts w:asciiTheme="minorEastAsia" w:hAnsiTheme="minorEastAsia"/>
                <w:sz w:val="20"/>
                <w:szCs w:val="20"/>
              </w:rPr>
              <w:t>EN1789标准，适合在救护车使用</w:t>
            </w:r>
          </w:p>
        </w:tc>
        <w:tc>
          <w:tcPr>
            <w:tcW w:w="817" w:type="dxa"/>
          </w:tcPr>
          <w:p w14:paraId="22108AFE">
            <w:pPr>
              <w:adjustRightInd w:val="0"/>
              <w:snapToGrid w:val="0"/>
              <w:rPr>
                <w:rFonts w:asciiTheme="majorEastAsia" w:hAnsiTheme="majorEastAsia" w:eastAsiaTheme="majorEastAsia"/>
                <w:b/>
                <w:sz w:val="24"/>
                <w:szCs w:val="21"/>
              </w:rPr>
            </w:pPr>
          </w:p>
        </w:tc>
      </w:tr>
      <w:tr w14:paraId="7F4BF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4948A91">
            <w:pPr>
              <w:adjustRightInd w:val="0"/>
              <w:snapToGrid w:val="0"/>
              <w:rPr>
                <w:rFonts w:asciiTheme="majorEastAsia" w:hAnsiTheme="majorEastAsia" w:eastAsiaTheme="majorEastAsia"/>
                <w:b/>
                <w:sz w:val="24"/>
                <w:szCs w:val="21"/>
              </w:rPr>
            </w:pPr>
          </w:p>
        </w:tc>
        <w:tc>
          <w:tcPr>
            <w:tcW w:w="935" w:type="dxa"/>
            <w:vMerge w:val="continue"/>
          </w:tcPr>
          <w:p w14:paraId="363E08DC">
            <w:pPr>
              <w:adjustRightInd w:val="0"/>
              <w:snapToGrid w:val="0"/>
              <w:rPr>
                <w:rFonts w:asciiTheme="majorEastAsia" w:hAnsiTheme="majorEastAsia" w:eastAsiaTheme="majorEastAsia"/>
                <w:b/>
                <w:sz w:val="24"/>
                <w:szCs w:val="21"/>
              </w:rPr>
            </w:pPr>
          </w:p>
        </w:tc>
        <w:tc>
          <w:tcPr>
            <w:tcW w:w="7564" w:type="dxa"/>
            <w:gridSpan w:val="2"/>
            <w:shd w:val="clear" w:color="auto" w:fill="auto"/>
            <w:vAlign w:val="top"/>
          </w:tcPr>
          <w:p w14:paraId="0B2CE428">
            <w:pPr>
              <w:pStyle w:val="16"/>
              <w:numPr>
                <w:ilvl w:val="0"/>
                <w:numId w:val="2"/>
              </w:numPr>
              <w:ind w:left="420" w:leftChars="0" w:hanging="420" w:firstLineChars="0"/>
              <w:rPr>
                <w:rFonts w:cs="Times New Roman" w:asciiTheme="majorEastAsia" w:hAnsiTheme="majorEastAsia" w:eastAsiaTheme="majorEastAsia"/>
                <w:b/>
                <w:kern w:val="2"/>
                <w:sz w:val="24"/>
                <w:szCs w:val="21"/>
                <w:lang w:val="en-US" w:eastAsia="zh-CN" w:bidi="ar-SA"/>
              </w:rPr>
            </w:pPr>
            <w:r>
              <w:rPr>
                <w:rFonts w:asciiTheme="minorEastAsia" w:hAnsiTheme="minorEastAsia"/>
                <w:sz w:val="20"/>
                <w:szCs w:val="20"/>
              </w:rPr>
              <w:t>可升级接入同品牌中央站，实现输注泵和同品牌监护仪、呼吸机信息同屏查看</w:t>
            </w:r>
            <w:r>
              <w:rPr>
                <w:rFonts w:hint="eastAsia" w:asciiTheme="minorEastAsia" w:hAnsiTheme="minorEastAsia"/>
                <w:sz w:val="20"/>
                <w:szCs w:val="20"/>
              </w:rPr>
              <w:t>（需提供实物照片或产品说明书作为证明材料）</w:t>
            </w:r>
          </w:p>
        </w:tc>
        <w:tc>
          <w:tcPr>
            <w:tcW w:w="817" w:type="dxa"/>
          </w:tcPr>
          <w:p w14:paraId="55F28B95">
            <w:pPr>
              <w:adjustRightInd w:val="0"/>
              <w:snapToGrid w:val="0"/>
              <w:rPr>
                <w:rFonts w:asciiTheme="majorEastAsia" w:hAnsiTheme="majorEastAsia" w:eastAsiaTheme="majorEastAsia"/>
                <w:b/>
                <w:sz w:val="24"/>
                <w:szCs w:val="21"/>
              </w:rPr>
            </w:pPr>
          </w:p>
        </w:tc>
      </w:tr>
      <w:tr w14:paraId="732CF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951C85C">
            <w:pPr>
              <w:adjustRightInd w:val="0"/>
              <w:snapToGrid w:val="0"/>
              <w:rPr>
                <w:rFonts w:asciiTheme="majorEastAsia" w:hAnsiTheme="majorEastAsia" w:eastAsiaTheme="majorEastAsia"/>
                <w:b/>
                <w:sz w:val="24"/>
                <w:szCs w:val="21"/>
              </w:rPr>
            </w:pPr>
          </w:p>
        </w:tc>
        <w:tc>
          <w:tcPr>
            <w:tcW w:w="935" w:type="dxa"/>
            <w:vMerge w:val="continue"/>
          </w:tcPr>
          <w:p w14:paraId="633967AC">
            <w:pPr>
              <w:adjustRightInd w:val="0"/>
              <w:snapToGrid w:val="0"/>
              <w:rPr>
                <w:rFonts w:asciiTheme="majorEastAsia" w:hAnsiTheme="majorEastAsia" w:eastAsiaTheme="majorEastAsia"/>
                <w:b/>
                <w:sz w:val="24"/>
                <w:szCs w:val="21"/>
              </w:rPr>
            </w:pPr>
          </w:p>
        </w:tc>
        <w:tc>
          <w:tcPr>
            <w:tcW w:w="7564" w:type="dxa"/>
            <w:gridSpan w:val="2"/>
          </w:tcPr>
          <w:p w14:paraId="27D1AA7C">
            <w:pPr>
              <w:pStyle w:val="16"/>
              <w:numPr>
                <w:ilvl w:val="-1"/>
                <w:numId w:val="0"/>
              </w:numPr>
              <w:ind w:left="0" w:firstLine="0" w:firstLineChars="0"/>
              <w:rPr>
                <w:rFonts w:asciiTheme="majorEastAsia" w:hAnsiTheme="majorEastAsia" w:eastAsiaTheme="majorEastAsia"/>
                <w:b/>
                <w:sz w:val="24"/>
                <w:szCs w:val="21"/>
              </w:rPr>
            </w:pPr>
          </w:p>
        </w:tc>
        <w:tc>
          <w:tcPr>
            <w:tcW w:w="817" w:type="dxa"/>
          </w:tcPr>
          <w:p w14:paraId="0131F2AA">
            <w:pPr>
              <w:adjustRightInd w:val="0"/>
              <w:snapToGrid w:val="0"/>
              <w:rPr>
                <w:rFonts w:asciiTheme="majorEastAsia" w:hAnsiTheme="majorEastAsia" w:eastAsiaTheme="majorEastAsia"/>
                <w:b/>
                <w:sz w:val="24"/>
                <w:szCs w:val="21"/>
              </w:rPr>
            </w:pPr>
          </w:p>
        </w:tc>
      </w:tr>
      <w:tr w14:paraId="0B1C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31DE879">
            <w:pPr>
              <w:adjustRightInd w:val="0"/>
              <w:snapToGrid w:val="0"/>
              <w:rPr>
                <w:rFonts w:asciiTheme="majorEastAsia" w:hAnsiTheme="majorEastAsia" w:eastAsiaTheme="majorEastAsia"/>
                <w:b/>
                <w:sz w:val="24"/>
                <w:szCs w:val="21"/>
              </w:rPr>
            </w:pPr>
          </w:p>
        </w:tc>
        <w:tc>
          <w:tcPr>
            <w:tcW w:w="935" w:type="dxa"/>
            <w:vMerge w:val="continue"/>
          </w:tcPr>
          <w:p w14:paraId="0076B206">
            <w:pPr>
              <w:adjustRightInd w:val="0"/>
              <w:snapToGrid w:val="0"/>
              <w:rPr>
                <w:rFonts w:asciiTheme="majorEastAsia" w:hAnsiTheme="majorEastAsia" w:eastAsiaTheme="majorEastAsia"/>
                <w:b/>
                <w:sz w:val="24"/>
                <w:szCs w:val="21"/>
              </w:rPr>
            </w:pPr>
          </w:p>
        </w:tc>
        <w:tc>
          <w:tcPr>
            <w:tcW w:w="7564" w:type="dxa"/>
            <w:gridSpan w:val="2"/>
          </w:tcPr>
          <w:p w14:paraId="010CD1A2">
            <w:pPr>
              <w:pStyle w:val="16"/>
              <w:numPr>
                <w:ilvl w:val="-1"/>
                <w:numId w:val="0"/>
              </w:numPr>
              <w:ind w:left="0" w:firstLine="0" w:firstLineChars="0"/>
              <w:rPr>
                <w:rFonts w:asciiTheme="majorEastAsia" w:hAnsiTheme="majorEastAsia" w:eastAsiaTheme="majorEastAsia"/>
                <w:b/>
                <w:sz w:val="24"/>
                <w:szCs w:val="21"/>
              </w:rPr>
            </w:pPr>
          </w:p>
        </w:tc>
        <w:tc>
          <w:tcPr>
            <w:tcW w:w="817" w:type="dxa"/>
          </w:tcPr>
          <w:p w14:paraId="0AA50804">
            <w:pPr>
              <w:adjustRightInd w:val="0"/>
              <w:snapToGrid w:val="0"/>
              <w:rPr>
                <w:rFonts w:asciiTheme="majorEastAsia" w:hAnsiTheme="majorEastAsia" w:eastAsiaTheme="majorEastAsia"/>
                <w:b/>
                <w:sz w:val="24"/>
                <w:szCs w:val="21"/>
              </w:rPr>
            </w:pPr>
          </w:p>
        </w:tc>
      </w:tr>
      <w:tr w14:paraId="6F18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5351F3F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5C09D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9F73FC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575E770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合同签订后并接采购人通知_30_日历日内。</w:t>
            </w:r>
          </w:p>
        </w:tc>
      </w:tr>
      <w:tr w14:paraId="362CF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BBF3B3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6025AC37">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2343E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BE58FE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6B447A2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7EA5E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6C5E75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2D48E448">
            <w:pPr>
              <w:adjustRightInd w:val="0"/>
              <w:snapToGrid w:val="0"/>
              <w:ind w:firstLine="0" w:firstLineChars="0"/>
              <w:rPr>
                <w:rFonts w:asciiTheme="minorEastAsia" w:hAnsiTheme="minorEastAsia" w:eastAsiaTheme="minorEastAsia"/>
                <w:b/>
                <w:bCs w:val="0"/>
                <w:sz w:val="21"/>
                <w:szCs w:val="21"/>
              </w:rPr>
            </w:pPr>
            <w:r>
              <w:rPr>
                <w:rFonts w:hint="default" w:asciiTheme="minorEastAsia" w:hAnsiTheme="minorEastAsia" w:eastAsiaTheme="minorEastAsia"/>
                <w:b/>
                <w:bCs w:val="0"/>
                <w:sz w:val="21"/>
                <w:szCs w:val="21"/>
              </w:rPr>
              <w:t>合同总价≥3万付款方式：</w:t>
            </w:r>
          </w:p>
          <w:p w14:paraId="606A615E">
            <w:pPr>
              <w:adjustRightInd w:val="0"/>
              <w:snapToGrid w:val="0"/>
              <w:ind w:firstLine="420" w:firstLineChars="200"/>
              <w:rPr>
                <w:rFonts w:asciiTheme="minorEastAsia" w:hAnsiTheme="minorEastAsia" w:eastAsiaTheme="minorEastAsia"/>
                <w:b w:val="0"/>
                <w:bCs/>
                <w:sz w:val="21"/>
                <w:szCs w:val="21"/>
              </w:rPr>
            </w:pPr>
            <w:r>
              <w:rPr>
                <w:rFonts w:hint="default" w:asciiTheme="minorEastAsia" w:hAnsiTheme="minorEastAsia" w:eastAsiaTheme="minorEastAsia"/>
                <w:b w:val="0"/>
                <w:bCs/>
                <w:sz w:val="21"/>
                <w:szCs w:val="21"/>
              </w:rPr>
              <w:t>合同签订后三个工作日内，中标人将采购合同总价5%的履约保证金汇入采购人指定账户。货到清点、安装调试验收合格正常使用后，出具全额发票，采购人凭中标人提供的完整资料，自发票到达采购人财务之日起10个工作日内，支付100%合同货款到中标人指定账户。</w:t>
            </w:r>
          </w:p>
          <w:p w14:paraId="6C262A5D">
            <w:pPr>
              <w:adjustRightInd w:val="0"/>
              <w:snapToGrid w:val="0"/>
              <w:ind w:firstLine="420" w:firstLineChars="200"/>
              <w:rPr>
                <w:rFonts w:asciiTheme="minorEastAsia" w:hAnsiTheme="minorEastAsia" w:eastAsiaTheme="minorEastAsia"/>
                <w:b w:val="0"/>
                <w:bCs/>
                <w:sz w:val="21"/>
                <w:szCs w:val="21"/>
              </w:rPr>
            </w:pPr>
            <w:r>
              <w:rPr>
                <w:rFonts w:hint="default" w:asciiTheme="minorEastAsia" w:hAnsiTheme="minorEastAsia" w:eastAsiaTheme="minorEastAsia"/>
                <w:b w:val="0"/>
                <w:bCs/>
                <w:sz w:val="21"/>
                <w:szCs w:val="21"/>
              </w:rPr>
              <w:t>中标人向采购人支付合同总价5%的履约保证金，用于补偿采购人因中标人不履行/不妥善履行合同约定义务而蒙受的损失，如中标人不履行/不妥善履行合同约定义务的，采购人有权直接从履约保证金中扣除相应违约金/损失赔偿款项。如果在合同签订后至中标人履行完毕合同约定义务事项期间未发生中标人不履行或不妥善履行合同约定义务的情况，在中标人履行完毕合同约定义务事项后，中标人向采购人提供完整资料到达采购人财务之日起10个工作日内，采购人将履约保证金无息返还给中标人。</w:t>
            </w:r>
          </w:p>
          <w:p w14:paraId="0F341C1D">
            <w:pPr>
              <w:adjustRightInd w:val="0"/>
              <w:snapToGrid w:val="0"/>
              <w:ind w:firstLine="0" w:firstLineChars="0"/>
              <w:rPr>
                <w:rFonts w:asciiTheme="minorEastAsia" w:hAnsiTheme="minorEastAsia" w:eastAsiaTheme="minorEastAsia"/>
                <w:b/>
                <w:bCs w:val="0"/>
                <w:sz w:val="21"/>
                <w:szCs w:val="21"/>
              </w:rPr>
            </w:pPr>
            <w:r>
              <w:rPr>
                <w:rFonts w:hint="default" w:asciiTheme="minorEastAsia" w:hAnsiTheme="minorEastAsia" w:eastAsiaTheme="minorEastAsia"/>
                <w:b/>
                <w:bCs w:val="0"/>
                <w:sz w:val="21"/>
                <w:szCs w:val="21"/>
              </w:rPr>
              <w:t>合同总价＜3万付款方式：</w:t>
            </w:r>
          </w:p>
          <w:p w14:paraId="5192016A">
            <w:pPr>
              <w:adjustRightInd w:val="0"/>
              <w:snapToGrid w:val="0"/>
              <w:ind w:firstLine="420" w:firstLineChars="200"/>
              <w:rPr>
                <w:rFonts w:asciiTheme="majorEastAsia" w:hAnsiTheme="majorEastAsia" w:eastAsiaTheme="majorEastAsia"/>
                <w:b/>
                <w:sz w:val="24"/>
                <w:szCs w:val="21"/>
              </w:rPr>
            </w:pPr>
            <w:r>
              <w:rPr>
                <w:rFonts w:hint="default" w:asciiTheme="minorEastAsia" w:hAnsiTheme="minorEastAsia" w:eastAsiaTheme="minorEastAsia"/>
                <w:b w:val="0"/>
                <w:bCs/>
                <w:sz w:val="21"/>
                <w:szCs w:val="21"/>
              </w:rPr>
              <w:t>货到清点、安装调试验收合格正常使用后，出具全额发票，采购人凭中标人提供的完整资料，自发票到达采购人财务之日起10个工作日内，支付100%合同货款到中标人指定账户。</w:t>
            </w:r>
          </w:p>
        </w:tc>
      </w:tr>
      <w:tr w14:paraId="2F360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138065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7835EEB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21781FD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20E6A9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07BF026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1FFCB5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16767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64FB1C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1DBDAB0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294AD87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1AFEAE8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FE3FBC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5702A1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1DB4197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213AE7E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79A4DD4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质疑时有权要求中标人按照双方认可的第三方检测机构出具的检验方法进行检测及鉴定(检测费用由中标人承担)，检测结果必须证明中标人提供的技术数据是真实的，否则视为不合格</w:t>
            </w:r>
          </w:p>
          <w:p w14:paraId="2019EEE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197CB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EC10A5E">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7EB45068">
            <w:pPr>
              <w:adjustRightInd w:val="0"/>
              <w:snapToGrid w:val="0"/>
              <w:rPr>
                <w:rFonts w:asciiTheme="majorEastAsia" w:hAnsiTheme="majorEastAsia" w:eastAsiaTheme="majorEastAsia"/>
                <w:sz w:val="24"/>
                <w:szCs w:val="21"/>
              </w:rPr>
            </w:pPr>
          </w:p>
        </w:tc>
        <w:tc>
          <w:tcPr>
            <w:tcW w:w="8261" w:type="dxa"/>
            <w:gridSpan w:val="2"/>
          </w:tcPr>
          <w:p w14:paraId="7FFC787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5  </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4B115715">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36F231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3D8F52A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7811F1D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2ACAC09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750A543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0246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C0E5D4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207E683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3413B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937CC0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2545D06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3151E35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62530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0F049D56">
            <w:pPr>
              <w:adjustRightInd w:val="0"/>
              <w:snapToGrid w:val="0"/>
              <w:rPr>
                <w:rFonts w:asciiTheme="majorEastAsia" w:hAnsiTheme="majorEastAsia" w:eastAsiaTheme="majorEastAsia"/>
                <w:b/>
                <w:sz w:val="24"/>
                <w:szCs w:val="21"/>
              </w:rPr>
            </w:pPr>
          </w:p>
        </w:tc>
        <w:tc>
          <w:tcPr>
            <w:tcW w:w="8261" w:type="dxa"/>
            <w:gridSpan w:val="2"/>
            <w:tcBorders>
              <w:bottom w:val="single" w:color="auto" w:sz="4" w:space="0"/>
            </w:tcBorders>
          </w:tcPr>
          <w:p w14:paraId="0A3F2227">
            <w:pPr>
              <w:adjustRightInd w:val="0"/>
              <w:snapToGrid w:val="0"/>
              <w:ind w:firstLine="420" w:firstLineChars="200"/>
              <w:rPr>
                <w:rFonts w:asciiTheme="minorEastAsia" w:hAnsiTheme="minorEastAsia" w:eastAsiaTheme="minorEastAsia"/>
                <w:bCs/>
                <w:szCs w:val="21"/>
              </w:rPr>
            </w:pPr>
          </w:p>
        </w:tc>
      </w:tr>
    </w:tbl>
    <w:p w14:paraId="40DC625B">
      <w:pPr>
        <w:spacing w:line="360" w:lineRule="auto"/>
        <w:ind w:firstLine="0" w:firstLineChars="0"/>
        <w:rPr>
          <w:rFonts w:cs="方正小标宋简体" w:asciiTheme="majorEastAsia" w:hAnsiTheme="majorEastAsia" w:eastAsiaTheme="majorEastAsia"/>
          <w:sz w:val="15"/>
          <w:szCs w:val="15"/>
        </w:rPr>
      </w:pPr>
    </w:p>
    <w:p w14:paraId="2F8FD642">
      <w:pPr>
        <w:spacing w:line="360" w:lineRule="auto"/>
        <w:ind w:left="0"/>
        <w:jc w:val="both"/>
        <w:rPr>
          <w:rFonts w:cs="方正小标宋简体" w:asciiTheme="majorEastAsia" w:hAnsiTheme="majorEastAsia" w:eastAsiaTheme="majorEastAsia"/>
          <w:b/>
          <w:sz w:val="36"/>
          <w:szCs w:val="36"/>
        </w:rPr>
      </w:pPr>
    </w:p>
    <w:p w14:paraId="12AE9D4A">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w:t>
      </w:r>
      <w:r>
        <w:rPr>
          <w:rFonts w:hint="eastAsia" w:cs="方正小标宋简体" w:asciiTheme="majorEastAsia" w:hAnsiTheme="majorEastAsia" w:eastAsiaTheme="majorEastAsia"/>
          <w:b/>
          <w:sz w:val="36"/>
          <w:szCs w:val="36"/>
          <w:lang w:val="en-US" w:eastAsia="zh-CN"/>
        </w:rPr>
        <w:t>三</w:t>
      </w:r>
      <w:r>
        <w:rPr>
          <w:rFonts w:hint="eastAsia" w:cs="方正小标宋简体" w:asciiTheme="majorEastAsia" w:hAnsiTheme="majorEastAsia" w:eastAsiaTheme="majorEastAsia"/>
          <w:b/>
          <w:sz w:val="36"/>
          <w:szCs w:val="36"/>
        </w:rPr>
        <w:t>部分 设备主要维修配件、易损配件</w:t>
      </w:r>
    </w:p>
    <w:tbl>
      <w:tblPr>
        <w:tblStyle w:val="10"/>
        <w:tblW w:w="100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247"/>
        <w:gridCol w:w="2005"/>
        <w:gridCol w:w="1843"/>
        <w:gridCol w:w="1417"/>
        <w:gridCol w:w="1560"/>
      </w:tblGrid>
      <w:tr w14:paraId="05FAA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52091E8B">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1CD9319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46189F8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3ECAAF83">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6A45E54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7FDB691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37B0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5445A3AA">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74CD1A53">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电池</w:t>
            </w:r>
          </w:p>
        </w:tc>
        <w:tc>
          <w:tcPr>
            <w:tcW w:w="2005" w:type="dxa"/>
          </w:tcPr>
          <w:p w14:paraId="06F12511">
            <w:pPr>
              <w:widowControl/>
              <w:adjustRightInd w:val="0"/>
              <w:snapToGrid w:val="0"/>
              <w:rPr>
                <w:rFonts w:cs="方正小标宋简体" w:asciiTheme="majorEastAsia" w:hAnsiTheme="majorEastAsia" w:eastAsiaTheme="majorEastAsia"/>
                <w:sz w:val="24"/>
              </w:rPr>
            </w:pPr>
          </w:p>
        </w:tc>
        <w:tc>
          <w:tcPr>
            <w:tcW w:w="1843" w:type="dxa"/>
          </w:tcPr>
          <w:p w14:paraId="765A2474">
            <w:pPr>
              <w:widowControl/>
              <w:adjustRightInd w:val="0"/>
              <w:snapToGrid w:val="0"/>
              <w:rPr>
                <w:rFonts w:cs="方正小标宋简体" w:asciiTheme="majorEastAsia" w:hAnsiTheme="majorEastAsia" w:eastAsiaTheme="majorEastAsia"/>
                <w:sz w:val="24"/>
              </w:rPr>
            </w:pPr>
          </w:p>
        </w:tc>
        <w:tc>
          <w:tcPr>
            <w:tcW w:w="1417" w:type="dxa"/>
          </w:tcPr>
          <w:p w14:paraId="3D350180">
            <w:pPr>
              <w:widowControl/>
              <w:adjustRightInd w:val="0"/>
              <w:snapToGrid w:val="0"/>
              <w:rPr>
                <w:rFonts w:cs="方正小标宋简体" w:asciiTheme="majorEastAsia" w:hAnsiTheme="majorEastAsia" w:eastAsiaTheme="majorEastAsia"/>
                <w:sz w:val="24"/>
              </w:rPr>
            </w:pPr>
          </w:p>
        </w:tc>
        <w:tc>
          <w:tcPr>
            <w:tcW w:w="1560" w:type="dxa"/>
          </w:tcPr>
          <w:p w14:paraId="72353366">
            <w:pPr>
              <w:widowControl/>
              <w:adjustRightInd w:val="0"/>
              <w:snapToGrid w:val="0"/>
              <w:rPr>
                <w:rFonts w:cs="方正小标宋简体" w:asciiTheme="majorEastAsia" w:hAnsiTheme="majorEastAsia" w:eastAsiaTheme="majorEastAsia"/>
                <w:sz w:val="24"/>
              </w:rPr>
            </w:pPr>
          </w:p>
        </w:tc>
      </w:tr>
      <w:tr w14:paraId="09714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14882F65">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2</w:t>
            </w:r>
          </w:p>
        </w:tc>
        <w:tc>
          <w:tcPr>
            <w:tcW w:w="2247" w:type="dxa"/>
          </w:tcPr>
          <w:p w14:paraId="7180758F">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电源线</w:t>
            </w:r>
          </w:p>
        </w:tc>
        <w:tc>
          <w:tcPr>
            <w:tcW w:w="2005" w:type="dxa"/>
          </w:tcPr>
          <w:p w14:paraId="10F5F667">
            <w:pPr>
              <w:widowControl/>
              <w:adjustRightInd w:val="0"/>
              <w:snapToGrid w:val="0"/>
              <w:rPr>
                <w:rFonts w:cs="方正小标宋简体" w:asciiTheme="majorEastAsia" w:hAnsiTheme="majorEastAsia" w:eastAsiaTheme="majorEastAsia"/>
                <w:sz w:val="24"/>
              </w:rPr>
            </w:pPr>
          </w:p>
        </w:tc>
        <w:tc>
          <w:tcPr>
            <w:tcW w:w="1843" w:type="dxa"/>
          </w:tcPr>
          <w:p w14:paraId="35CE92C5">
            <w:pPr>
              <w:widowControl/>
              <w:adjustRightInd w:val="0"/>
              <w:snapToGrid w:val="0"/>
              <w:rPr>
                <w:rFonts w:cs="方正小标宋简体" w:asciiTheme="majorEastAsia" w:hAnsiTheme="majorEastAsia" w:eastAsiaTheme="majorEastAsia"/>
                <w:sz w:val="24"/>
              </w:rPr>
            </w:pPr>
          </w:p>
        </w:tc>
        <w:tc>
          <w:tcPr>
            <w:tcW w:w="1417" w:type="dxa"/>
          </w:tcPr>
          <w:p w14:paraId="2002CD69">
            <w:pPr>
              <w:widowControl/>
              <w:adjustRightInd w:val="0"/>
              <w:snapToGrid w:val="0"/>
              <w:rPr>
                <w:rFonts w:cs="方正小标宋简体" w:asciiTheme="majorEastAsia" w:hAnsiTheme="majorEastAsia" w:eastAsiaTheme="majorEastAsia"/>
                <w:sz w:val="24"/>
              </w:rPr>
            </w:pPr>
          </w:p>
        </w:tc>
        <w:tc>
          <w:tcPr>
            <w:tcW w:w="1560" w:type="dxa"/>
          </w:tcPr>
          <w:p w14:paraId="3B27F597">
            <w:pPr>
              <w:widowControl/>
              <w:adjustRightInd w:val="0"/>
              <w:snapToGrid w:val="0"/>
              <w:rPr>
                <w:rFonts w:cs="方正小标宋简体" w:asciiTheme="majorEastAsia" w:hAnsiTheme="majorEastAsia" w:eastAsiaTheme="majorEastAsia"/>
                <w:sz w:val="24"/>
              </w:rPr>
            </w:pPr>
          </w:p>
        </w:tc>
      </w:tr>
      <w:tr w14:paraId="2E62A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07A0D3C9">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3</w:t>
            </w:r>
          </w:p>
        </w:tc>
        <w:tc>
          <w:tcPr>
            <w:tcW w:w="2247" w:type="dxa"/>
          </w:tcPr>
          <w:p w14:paraId="48C1584E">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固定夹</w:t>
            </w:r>
          </w:p>
        </w:tc>
        <w:tc>
          <w:tcPr>
            <w:tcW w:w="2005" w:type="dxa"/>
          </w:tcPr>
          <w:p w14:paraId="47391F68">
            <w:pPr>
              <w:widowControl/>
              <w:adjustRightInd w:val="0"/>
              <w:snapToGrid w:val="0"/>
              <w:rPr>
                <w:rFonts w:cs="方正小标宋简体" w:asciiTheme="majorEastAsia" w:hAnsiTheme="majorEastAsia" w:eastAsiaTheme="majorEastAsia"/>
                <w:sz w:val="24"/>
              </w:rPr>
            </w:pPr>
          </w:p>
        </w:tc>
        <w:tc>
          <w:tcPr>
            <w:tcW w:w="1843" w:type="dxa"/>
          </w:tcPr>
          <w:p w14:paraId="0C4F5188">
            <w:pPr>
              <w:widowControl/>
              <w:adjustRightInd w:val="0"/>
              <w:snapToGrid w:val="0"/>
              <w:rPr>
                <w:rFonts w:cs="方正小标宋简体" w:asciiTheme="majorEastAsia" w:hAnsiTheme="majorEastAsia" w:eastAsiaTheme="majorEastAsia"/>
                <w:sz w:val="24"/>
              </w:rPr>
            </w:pPr>
          </w:p>
        </w:tc>
        <w:tc>
          <w:tcPr>
            <w:tcW w:w="1417" w:type="dxa"/>
          </w:tcPr>
          <w:p w14:paraId="1AFC765C">
            <w:pPr>
              <w:widowControl/>
              <w:adjustRightInd w:val="0"/>
              <w:snapToGrid w:val="0"/>
              <w:rPr>
                <w:rFonts w:cs="方正小标宋简体" w:asciiTheme="majorEastAsia" w:hAnsiTheme="majorEastAsia" w:eastAsiaTheme="majorEastAsia"/>
                <w:sz w:val="24"/>
              </w:rPr>
            </w:pPr>
          </w:p>
        </w:tc>
        <w:tc>
          <w:tcPr>
            <w:tcW w:w="1560" w:type="dxa"/>
          </w:tcPr>
          <w:p w14:paraId="6699EC40">
            <w:pPr>
              <w:widowControl/>
              <w:adjustRightInd w:val="0"/>
              <w:snapToGrid w:val="0"/>
              <w:rPr>
                <w:rFonts w:cs="方正小标宋简体" w:asciiTheme="majorEastAsia" w:hAnsiTheme="majorEastAsia" w:eastAsiaTheme="majorEastAsia"/>
                <w:sz w:val="24"/>
              </w:rPr>
            </w:pPr>
          </w:p>
        </w:tc>
      </w:tr>
    </w:tbl>
    <w:p w14:paraId="33182A5F">
      <w:pPr>
        <w:adjustRightInd w:val="0"/>
        <w:snapToGrid w:val="0"/>
        <w:spacing w:line="300" w:lineRule="auto"/>
        <w:jc w:val="center"/>
        <w:rPr>
          <w:rFonts w:asciiTheme="majorEastAsia" w:hAnsiTheme="majorEastAsia" w:eastAsiaTheme="majorEastAsia"/>
          <w:b/>
          <w:sz w:val="24"/>
          <w:szCs w:val="21"/>
        </w:rPr>
      </w:pPr>
    </w:p>
    <w:tbl>
      <w:tblPr>
        <w:tblStyle w:val="10"/>
        <w:tblW w:w="10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109"/>
        <w:gridCol w:w="2605"/>
        <w:gridCol w:w="2605"/>
      </w:tblGrid>
      <w:tr w14:paraId="4EE9B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2D46F5F1">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79E161F7">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69850EC2">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32C996E1">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3CD7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4E6D6600">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088D2A64">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7BBFEA98">
            <w:pPr>
              <w:widowControl/>
              <w:jc w:val="center"/>
              <w:rPr>
                <w:rFonts w:cs="方正小标宋简体" w:asciiTheme="majorEastAsia" w:hAnsiTheme="majorEastAsia" w:eastAsiaTheme="majorEastAsia"/>
                <w:sz w:val="24"/>
              </w:rPr>
            </w:pPr>
          </w:p>
        </w:tc>
        <w:tc>
          <w:tcPr>
            <w:tcW w:w="2605" w:type="dxa"/>
            <w:vAlign w:val="center"/>
          </w:tcPr>
          <w:p w14:paraId="76972561">
            <w:pPr>
              <w:widowControl/>
              <w:jc w:val="center"/>
              <w:rPr>
                <w:rFonts w:cs="方正小标宋简体" w:asciiTheme="majorEastAsia" w:hAnsiTheme="majorEastAsia" w:eastAsiaTheme="majorEastAsia"/>
                <w:sz w:val="24"/>
              </w:rPr>
            </w:pPr>
          </w:p>
        </w:tc>
      </w:tr>
    </w:tbl>
    <w:p w14:paraId="394D1326">
      <w:pPr>
        <w:widowControl/>
        <w:rPr>
          <w:rFonts w:cs="方正小标宋简体" w:asciiTheme="majorEastAsia" w:hAnsiTheme="majorEastAsia" w:eastAsiaTheme="majorEastAsia"/>
          <w:sz w:val="36"/>
          <w:szCs w:val="36"/>
        </w:rPr>
      </w:pPr>
    </w:p>
    <w:p w14:paraId="0DA6FEC3">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4F36203C">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1C4E7221">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abstractNum w:abstractNumId="1">
    <w:nsid w:val="5E3F5CC8"/>
    <w:multiLevelType w:val="multilevel"/>
    <w:tmpl w:val="5E3F5C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0"/>
      <w:numFmt w:val="bullet"/>
      <w:lvlText w:val=""/>
      <w:lvlJc w:val="left"/>
      <w:pPr>
        <w:ind w:left="1680" w:hanging="420"/>
      </w:pPr>
      <w:rPr>
        <w:rFonts w:hint="default" w:ascii="Wingdings" w:hAnsi="Wingdings" w:eastAsiaTheme="minorEastAsia" w:cstheme="minorBidi"/>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4ODVmMDE3N2ZhYWZhYjEyOGNkOTJiYTJmZGFhMzYifQ=="/>
  </w:docVars>
  <w:rsids>
    <w:rsidRoot w:val="00F81403"/>
    <w:rsid w:val="00005907"/>
    <w:rsid w:val="00007F09"/>
    <w:rsid w:val="00014A66"/>
    <w:rsid w:val="000170C1"/>
    <w:rsid w:val="00021B63"/>
    <w:rsid w:val="00022431"/>
    <w:rsid w:val="00024E35"/>
    <w:rsid w:val="00027536"/>
    <w:rsid w:val="00027A10"/>
    <w:rsid w:val="0003257D"/>
    <w:rsid w:val="00047765"/>
    <w:rsid w:val="00056650"/>
    <w:rsid w:val="000852DC"/>
    <w:rsid w:val="000910F0"/>
    <w:rsid w:val="00091320"/>
    <w:rsid w:val="00094BE5"/>
    <w:rsid w:val="000B173B"/>
    <w:rsid w:val="000B3636"/>
    <w:rsid w:val="000C2EB1"/>
    <w:rsid w:val="000D332B"/>
    <w:rsid w:val="000D486B"/>
    <w:rsid w:val="000D528A"/>
    <w:rsid w:val="000E2EEF"/>
    <w:rsid w:val="000E6D84"/>
    <w:rsid w:val="00100E5F"/>
    <w:rsid w:val="00114A9B"/>
    <w:rsid w:val="00117159"/>
    <w:rsid w:val="00117B29"/>
    <w:rsid w:val="00122AB5"/>
    <w:rsid w:val="00141F0D"/>
    <w:rsid w:val="00147AA8"/>
    <w:rsid w:val="00147DE0"/>
    <w:rsid w:val="00162C8C"/>
    <w:rsid w:val="00164210"/>
    <w:rsid w:val="0017347E"/>
    <w:rsid w:val="00173505"/>
    <w:rsid w:val="001755A1"/>
    <w:rsid w:val="001821EA"/>
    <w:rsid w:val="0018628F"/>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39E4"/>
    <w:rsid w:val="002956A8"/>
    <w:rsid w:val="0029701C"/>
    <w:rsid w:val="00297C31"/>
    <w:rsid w:val="002B3785"/>
    <w:rsid w:val="002E30A3"/>
    <w:rsid w:val="002F5D5E"/>
    <w:rsid w:val="00307648"/>
    <w:rsid w:val="003213BB"/>
    <w:rsid w:val="00321F08"/>
    <w:rsid w:val="00322AE6"/>
    <w:rsid w:val="00326BC1"/>
    <w:rsid w:val="00334AA0"/>
    <w:rsid w:val="00352B55"/>
    <w:rsid w:val="00354F4C"/>
    <w:rsid w:val="00376AC2"/>
    <w:rsid w:val="003942D3"/>
    <w:rsid w:val="0039648A"/>
    <w:rsid w:val="003C4429"/>
    <w:rsid w:val="003D442D"/>
    <w:rsid w:val="003D7EF0"/>
    <w:rsid w:val="0040798F"/>
    <w:rsid w:val="004164F9"/>
    <w:rsid w:val="00423853"/>
    <w:rsid w:val="00423C2F"/>
    <w:rsid w:val="00446E5F"/>
    <w:rsid w:val="00455236"/>
    <w:rsid w:val="00456EA0"/>
    <w:rsid w:val="00465CFB"/>
    <w:rsid w:val="00465E46"/>
    <w:rsid w:val="00472034"/>
    <w:rsid w:val="0049154E"/>
    <w:rsid w:val="00497BF4"/>
    <w:rsid w:val="004B1081"/>
    <w:rsid w:val="004B3240"/>
    <w:rsid w:val="004B3CFF"/>
    <w:rsid w:val="004C1160"/>
    <w:rsid w:val="004C74AE"/>
    <w:rsid w:val="004D0A11"/>
    <w:rsid w:val="004E0D21"/>
    <w:rsid w:val="004E447D"/>
    <w:rsid w:val="004F46AD"/>
    <w:rsid w:val="004F6661"/>
    <w:rsid w:val="00503A30"/>
    <w:rsid w:val="00504B0F"/>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5F48DF"/>
    <w:rsid w:val="00603257"/>
    <w:rsid w:val="0060593D"/>
    <w:rsid w:val="006231CE"/>
    <w:rsid w:val="00651D42"/>
    <w:rsid w:val="00654133"/>
    <w:rsid w:val="00662021"/>
    <w:rsid w:val="00662B11"/>
    <w:rsid w:val="006B6628"/>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C39FA"/>
    <w:rsid w:val="008D2C79"/>
    <w:rsid w:val="008D3E82"/>
    <w:rsid w:val="008E56F3"/>
    <w:rsid w:val="0090107D"/>
    <w:rsid w:val="009122AA"/>
    <w:rsid w:val="00914B58"/>
    <w:rsid w:val="00930B23"/>
    <w:rsid w:val="00936CEC"/>
    <w:rsid w:val="009376BC"/>
    <w:rsid w:val="00937D3D"/>
    <w:rsid w:val="00947CF3"/>
    <w:rsid w:val="009535D7"/>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40484"/>
    <w:rsid w:val="00A619BE"/>
    <w:rsid w:val="00A6244D"/>
    <w:rsid w:val="00A903C7"/>
    <w:rsid w:val="00AA4B4A"/>
    <w:rsid w:val="00AA6962"/>
    <w:rsid w:val="00AB2610"/>
    <w:rsid w:val="00AC21F7"/>
    <w:rsid w:val="00AF24C6"/>
    <w:rsid w:val="00AF5FA9"/>
    <w:rsid w:val="00AF7A87"/>
    <w:rsid w:val="00B01564"/>
    <w:rsid w:val="00B06C01"/>
    <w:rsid w:val="00B10AEB"/>
    <w:rsid w:val="00B21F51"/>
    <w:rsid w:val="00B22795"/>
    <w:rsid w:val="00B25EF8"/>
    <w:rsid w:val="00B42708"/>
    <w:rsid w:val="00B63890"/>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3262"/>
    <w:rsid w:val="00C46532"/>
    <w:rsid w:val="00C52EBE"/>
    <w:rsid w:val="00C55020"/>
    <w:rsid w:val="00C619DD"/>
    <w:rsid w:val="00C67D6C"/>
    <w:rsid w:val="00C77FD8"/>
    <w:rsid w:val="00CD1AD0"/>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61AC7"/>
    <w:rsid w:val="00E677C7"/>
    <w:rsid w:val="00E93F8F"/>
    <w:rsid w:val="00ED7224"/>
    <w:rsid w:val="00EF0BF4"/>
    <w:rsid w:val="00F0149B"/>
    <w:rsid w:val="00F07294"/>
    <w:rsid w:val="00F11FC5"/>
    <w:rsid w:val="00F128A9"/>
    <w:rsid w:val="00F1549D"/>
    <w:rsid w:val="00F225D8"/>
    <w:rsid w:val="00F23DB0"/>
    <w:rsid w:val="00F30025"/>
    <w:rsid w:val="00F464BC"/>
    <w:rsid w:val="00F53BF7"/>
    <w:rsid w:val="00F60CB5"/>
    <w:rsid w:val="00F65BCF"/>
    <w:rsid w:val="00F6788A"/>
    <w:rsid w:val="00F81403"/>
    <w:rsid w:val="00F83533"/>
    <w:rsid w:val="00F945B0"/>
    <w:rsid w:val="00FB421E"/>
    <w:rsid w:val="00FC3767"/>
    <w:rsid w:val="00FC40CA"/>
    <w:rsid w:val="00FD0656"/>
    <w:rsid w:val="00FD23ED"/>
    <w:rsid w:val="00FF30DB"/>
    <w:rsid w:val="0611217C"/>
    <w:rsid w:val="07AE3385"/>
    <w:rsid w:val="0B057D70"/>
    <w:rsid w:val="0F8E7447"/>
    <w:rsid w:val="0FD04DF1"/>
    <w:rsid w:val="116E2B13"/>
    <w:rsid w:val="119B6051"/>
    <w:rsid w:val="12A25084"/>
    <w:rsid w:val="142B2292"/>
    <w:rsid w:val="15FB47D0"/>
    <w:rsid w:val="16C65113"/>
    <w:rsid w:val="19A66D0D"/>
    <w:rsid w:val="1A385FE8"/>
    <w:rsid w:val="1B764745"/>
    <w:rsid w:val="1DD041F4"/>
    <w:rsid w:val="1E12700E"/>
    <w:rsid w:val="21971856"/>
    <w:rsid w:val="22E10C1D"/>
    <w:rsid w:val="2B252436"/>
    <w:rsid w:val="2C484235"/>
    <w:rsid w:val="2FDB53C0"/>
    <w:rsid w:val="312979A4"/>
    <w:rsid w:val="33813B89"/>
    <w:rsid w:val="3489363D"/>
    <w:rsid w:val="352A2223"/>
    <w:rsid w:val="359B56E2"/>
    <w:rsid w:val="364E61B5"/>
    <w:rsid w:val="366D6BB6"/>
    <w:rsid w:val="375B3D4F"/>
    <w:rsid w:val="38B247E4"/>
    <w:rsid w:val="3B68091B"/>
    <w:rsid w:val="3C447E49"/>
    <w:rsid w:val="3EB2662C"/>
    <w:rsid w:val="445F60B6"/>
    <w:rsid w:val="4E280CF3"/>
    <w:rsid w:val="530F6FAB"/>
    <w:rsid w:val="54BA47BA"/>
    <w:rsid w:val="566D4594"/>
    <w:rsid w:val="571F7091"/>
    <w:rsid w:val="58242AE0"/>
    <w:rsid w:val="58AB396B"/>
    <w:rsid w:val="5AF947C9"/>
    <w:rsid w:val="5BDE3A84"/>
    <w:rsid w:val="5C483C8E"/>
    <w:rsid w:val="632E15A0"/>
    <w:rsid w:val="663B31C1"/>
    <w:rsid w:val="66AC0259"/>
    <w:rsid w:val="672625AC"/>
    <w:rsid w:val="679563F1"/>
    <w:rsid w:val="694204FC"/>
    <w:rsid w:val="6AFD60D5"/>
    <w:rsid w:val="6F633413"/>
    <w:rsid w:val="6F9E571F"/>
    <w:rsid w:val="72B37235"/>
    <w:rsid w:val="73374A1C"/>
    <w:rsid w:val="738F7392"/>
    <w:rsid w:val="762C283F"/>
    <w:rsid w:val="767D5D1E"/>
    <w:rsid w:val="76E03ABB"/>
    <w:rsid w:val="779F004E"/>
    <w:rsid w:val="7A6F030F"/>
    <w:rsid w:val="7A89169D"/>
    <w:rsid w:val="7F3038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字符"/>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0">
    <w:name w:val="批注文字 字符"/>
    <w:basedOn w:val="11"/>
    <w:link w:val="2"/>
    <w:qFormat/>
    <w:uiPriority w:val="99"/>
    <w:rPr>
      <w:rFonts w:ascii="Times New Roman" w:hAnsi="Times New Roman" w:eastAsia="宋体" w:cs="Times New Roman"/>
      <w:kern w:val="2"/>
      <w:sz w:val="21"/>
      <w:szCs w:val="24"/>
    </w:rPr>
  </w:style>
  <w:style w:type="character" w:customStyle="1" w:styleId="21">
    <w:name w:val="批注主题 字符"/>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字符"/>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5130</Words>
  <Characters>5315</Characters>
  <Lines>44</Lines>
  <Paragraphs>12</Paragraphs>
  <TotalTime>2</TotalTime>
  <ScaleCrop>false</ScaleCrop>
  <LinksUpToDate>false</LinksUpToDate>
  <CharactersWithSpaces>5369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陈蕾</dc:creator>
  <cp:lastModifiedBy>吴静仪</cp:lastModifiedBy>
  <dcterms:modified xsi:type="dcterms:W3CDTF">2025-12-10T03:51:03Z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eyJoZGlkIjoiNDhkOTQyYjdlZmMyMzc0YzJkN2U3MGRiMmVkNjlmZjQiLCJ1c2VySWQiOiI0MDk2MjcxNDUifQ==</vt:lpwstr>
  </property>
  <property fmtid="{D5CDD505-2E9C-101B-9397-08002B2CF9AE}" pid="4" name="ICV">
    <vt:lpwstr>E58374FBF81A45F6ACE5B61459D6BD52_13</vt:lpwstr>
  </property>
</Properties>
</file>