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医用转运车</w:t>
      </w:r>
      <w:r>
        <w:rPr>
          <w:rFonts w:hint="eastAsia" w:asciiTheme="majorEastAsia" w:hAnsiTheme="majorEastAsia" w:eastAsiaTheme="majorEastAsia" w:cstheme="majorEastAsia"/>
          <w:sz w:val="32"/>
          <w:highlight w:val="yellow"/>
          <w:lang w:val="en-US" w:eastAsia="zh-CN"/>
        </w:rPr>
        <w:t>等3个采购项目</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医用转运车等共3</w:t>
      </w:r>
      <w:r>
        <w:rPr>
          <w:rFonts w:hint="eastAsia" w:hAnsi="宋体"/>
          <w:color w:val="000000"/>
          <w:kern w:val="0"/>
          <w:sz w:val="24"/>
          <w:szCs w:val="22"/>
          <w:highlight w:val="yellow"/>
          <w:lang w:val="en-US" w:eastAsia="zh-CN"/>
        </w:rPr>
        <w:t>个项目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61381CB8">
            <w:pPr>
              <w:pStyle w:val="44"/>
              <w:widowControl/>
              <w:numPr>
                <w:ilvl w:val="0"/>
                <w:numId w:val="0"/>
              </w:numPr>
              <w:adjustRightInd w:val="0"/>
              <w:snapToGrid w:val="0"/>
              <w:spacing w:line="360" w:lineRule="auto"/>
              <w:ind w:firstLine="482" w:firstLineChars="200"/>
              <w:rPr>
                <w:rFonts w:hint="eastAsia" w:ascii="Times New Roman" w:hAnsi="宋体"/>
                <w:b w:val="0"/>
                <w:bCs w:val="0"/>
                <w:color w:val="000000"/>
                <w:kern w:val="0"/>
                <w:sz w:val="24"/>
                <w:highlight w:val="yellow"/>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医用转运车等共3</w:t>
            </w:r>
            <w:r>
              <w:rPr>
                <w:rFonts w:hint="eastAsia" w:hAnsi="宋体"/>
                <w:color w:val="000000"/>
                <w:kern w:val="0"/>
                <w:sz w:val="24"/>
                <w:szCs w:val="22"/>
                <w:highlight w:val="yellow"/>
                <w:lang w:val="en-US" w:eastAsia="zh-CN"/>
              </w:rPr>
              <w:t>个项目</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826"/>
              <w:gridCol w:w="1668"/>
              <w:gridCol w:w="1353"/>
              <w:gridCol w:w="879"/>
              <w:gridCol w:w="525"/>
              <w:gridCol w:w="562"/>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393"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794"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44"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18"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67"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01DB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E7C703E">
                  <w:pPr>
                    <w:jc w:val="center"/>
                    <w:rPr>
                      <w:rFonts w:hint="default" w:ascii="宋体" w:hAnsi="宋体" w:eastAsia="宋体" w:cs="宋体"/>
                      <w:sz w:val="24"/>
                      <w:lang w:val="en-US" w:eastAsia="zh-CN"/>
                    </w:rPr>
                  </w:pPr>
                  <w:r>
                    <w:rPr>
                      <w:rFonts w:hint="eastAsia" w:ascii="宋体" w:hAnsi="宋体" w:eastAsia="宋体" w:cs="宋体"/>
                      <w:sz w:val="24"/>
                      <w:lang w:val="en-US" w:eastAsia="zh-CN"/>
                    </w:rPr>
                    <w:t>1</w:t>
                  </w:r>
                </w:p>
              </w:tc>
              <w:tc>
                <w:tcPr>
                  <w:tcW w:w="393" w:type="pct"/>
                  <w:vMerge w:val="restart"/>
                  <w:vAlign w:val="center"/>
                </w:tcPr>
                <w:p w14:paraId="30D09715">
                  <w:pPr>
                    <w:jc w:val="center"/>
                    <w:rPr>
                      <w:rFonts w:hint="default" w:ascii="宋体" w:hAnsi="宋体" w:eastAsia="宋体" w:cs="宋体"/>
                      <w:sz w:val="24"/>
                      <w:lang w:val="en-US" w:eastAsia="zh-CN"/>
                    </w:rPr>
                  </w:pPr>
                  <w:r>
                    <w:rPr>
                      <w:rFonts w:hint="eastAsia" w:ascii="宋体" w:hAnsi="宋体" w:cs="宋体"/>
                      <w:sz w:val="24"/>
                      <w:lang w:val="en-US" w:eastAsia="zh-CN"/>
                    </w:rPr>
                    <w:t>特诊医疗中心</w:t>
                  </w:r>
                </w:p>
              </w:tc>
              <w:tc>
                <w:tcPr>
                  <w:tcW w:w="794" w:type="pct"/>
                  <w:vAlign w:val="center"/>
                </w:tcPr>
                <w:p w14:paraId="5B2396E0">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129</w:t>
                  </w:r>
                </w:p>
              </w:tc>
              <w:tc>
                <w:tcPr>
                  <w:tcW w:w="644" w:type="pct"/>
                  <w:vAlign w:val="center"/>
                </w:tcPr>
                <w:p w14:paraId="3B69055E">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医用转运车</w:t>
                  </w:r>
                </w:p>
              </w:tc>
              <w:tc>
                <w:tcPr>
                  <w:tcW w:w="418" w:type="pct"/>
                  <w:shd w:val="clear" w:color="auto" w:fill="auto"/>
                  <w:vAlign w:val="center"/>
                </w:tcPr>
                <w:p w14:paraId="07929444">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国产</w:t>
                  </w:r>
                </w:p>
              </w:tc>
              <w:tc>
                <w:tcPr>
                  <w:tcW w:w="249" w:type="pct"/>
                  <w:shd w:val="clear" w:color="auto" w:fill="auto"/>
                  <w:vAlign w:val="center"/>
                </w:tcPr>
                <w:p w14:paraId="7CBA8B9E">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1</w:t>
                  </w:r>
                </w:p>
              </w:tc>
              <w:tc>
                <w:tcPr>
                  <w:tcW w:w="267" w:type="pct"/>
                  <w:shd w:val="clear" w:color="auto" w:fill="auto"/>
                  <w:vAlign w:val="center"/>
                </w:tcPr>
                <w:p w14:paraId="7328A3CC">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台</w:t>
                  </w:r>
                </w:p>
              </w:tc>
              <w:tc>
                <w:tcPr>
                  <w:tcW w:w="451" w:type="pct"/>
                  <w:shd w:val="clear" w:color="auto" w:fill="auto"/>
                  <w:vAlign w:val="center"/>
                </w:tcPr>
                <w:p w14:paraId="1C291152">
                  <w:pPr>
                    <w:jc w:val="center"/>
                    <w:rPr>
                      <w:rFonts w:hint="default" w:ascii="宋体" w:hAnsi="宋体" w:eastAsia="宋体" w:cs="宋体"/>
                      <w:sz w:val="24"/>
                      <w:lang w:val="en-US" w:eastAsia="zh-CN"/>
                    </w:rPr>
                  </w:pPr>
                  <w:r>
                    <w:rPr>
                      <w:rFonts w:hint="eastAsia" w:ascii="宋体" w:hAnsi="宋体" w:cs="宋体"/>
                      <w:sz w:val="24"/>
                      <w:lang w:val="en-US" w:eastAsia="zh-CN"/>
                    </w:rPr>
                    <w:t>2.4</w:t>
                  </w:r>
                </w:p>
              </w:tc>
              <w:tc>
                <w:tcPr>
                  <w:tcW w:w="451" w:type="pct"/>
                  <w:shd w:val="clear" w:color="auto" w:fill="auto"/>
                  <w:vAlign w:val="center"/>
                </w:tcPr>
                <w:p w14:paraId="13C3C52C">
                  <w:pPr>
                    <w:jc w:val="center"/>
                    <w:rPr>
                      <w:rFonts w:hint="default" w:ascii="宋体" w:hAnsi="宋体" w:eastAsia="宋体" w:cs="宋体"/>
                      <w:sz w:val="24"/>
                      <w:lang w:val="en-US" w:eastAsia="zh-CN"/>
                    </w:rPr>
                  </w:pPr>
                  <w:r>
                    <w:rPr>
                      <w:rFonts w:hint="eastAsia" w:ascii="宋体" w:hAnsi="宋体" w:cs="宋体"/>
                      <w:sz w:val="24"/>
                      <w:lang w:val="en-US" w:eastAsia="zh-CN"/>
                    </w:rPr>
                    <w:t>2.4</w:t>
                  </w:r>
                </w:p>
              </w:tc>
              <w:tc>
                <w:tcPr>
                  <w:tcW w:w="541" w:type="pct"/>
                  <w:vAlign w:val="center"/>
                </w:tcPr>
                <w:p w14:paraId="331DD37E">
                  <w:pPr>
                    <w:jc w:val="center"/>
                    <w:rPr>
                      <w:rFonts w:hint="default" w:ascii="宋体" w:hAnsi="宋体" w:eastAsia="宋体" w:cs="宋体"/>
                      <w:sz w:val="24"/>
                      <w:lang w:val="en-US" w:eastAsia="zh-CN"/>
                    </w:rPr>
                  </w:pPr>
                  <w:r>
                    <w:rPr>
                      <w:rFonts w:hint="eastAsia" w:ascii="宋体" w:hAnsi="宋体" w:eastAsia="宋体" w:cs="宋体"/>
                      <w:sz w:val="24"/>
                    </w:rPr>
                    <w:t>是</w:t>
                  </w:r>
                </w:p>
              </w:tc>
              <w:tc>
                <w:tcPr>
                  <w:tcW w:w="557" w:type="pct"/>
                  <w:vAlign w:val="center"/>
                </w:tcPr>
                <w:p w14:paraId="2CAE4965">
                  <w:pPr>
                    <w:jc w:val="center"/>
                    <w:rPr>
                      <w:rFonts w:hint="default" w:ascii="宋体" w:hAnsi="宋体" w:eastAsia="宋体" w:cs="宋体"/>
                      <w:sz w:val="24"/>
                      <w:lang w:val="en-US" w:eastAsia="zh-CN"/>
                    </w:rPr>
                  </w:pPr>
                  <w:r>
                    <w:rPr>
                      <w:rFonts w:hint="eastAsia" w:ascii="宋体" w:hAnsi="宋体" w:cs="宋体"/>
                      <w:sz w:val="24"/>
                      <w:lang w:val="en-US" w:eastAsia="zh-CN"/>
                    </w:rPr>
                    <w:t>否</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eastAsia="宋体" w:cs="宋体"/>
                      <w:sz w:val="24"/>
                      <w:lang w:val="en-US" w:eastAsia="zh-CN"/>
                    </w:rPr>
                    <w:t>2</w:t>
                  </w:r>
                </w:p>
              </w:tc>
              <w:tc>
                <w:tcPr>
                  <w:tcW w:w="393" w:type="pct"/>
                  <w:vMerge w:val="continue"/>
                  <w:vAlign w:val="center"/>
                </w:tcPr>
                <w:p w14:paraId="397E346E">
                  <w:pPr>
                    <w:jc w:val="center"/>
                    <w:rPr>
                      <w:rFonts w:hint="eastAsia" w:ascii="宋体" w:hAnsi="宋体" w:eastAsia="宋体" w:cs="宋体"/>
                      <w:sz w:val="24"/>
                      <w:lang w:val="en-US" w:eastAsia="zh-CN"/>
                    </w:rPr>
                  </w:pPr>
                </w:p>
              </w:tc>
              <w:tc>
                <w:tcPr>
                  <w:tcW w:w="794"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130</w:t>
                  </w:r>
                </w:p>
              </w:tc>
              <w:tc>
                <w:tcPr>
                  <w:tcW w:w="1353" w:type="dxa"/>
                  <w:vAlign w:val="center"/>
                </w:tcPr>
                <w:p w14:paraId="335F4F38">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数字式十八导心电图</w:t>
                  </w:r>
                </w:p>
              </w:tc>
              <w:tc>
                <w:tcPr>
                  <w:tcW w:w="879" w:type="dxa"/>
                  <w:shd w:val="clear" w:color="auto" w:fill="auto"/>
                  <w:vAlign w:val="center"/>
                </w:tcPr>
                <w:p w14:paraId="560AE508">
                  <w:pPr>
                    <w:jc w:val="center"/>
                    <w:rPr>
                      <w:rFonts w:hint="eastAsia" w:ascii="宋体" w:hAnsi="宋体" w:eastAsia="宋体" w:cs="宋体"/>
                      <w:sz w:val="24"/>
                    </w:rPr>
                  </w:pPr>
                  <w:r>
                    <w:rPr>
                      <w:rFonts w:hint="eastAsia" w:asciiTheme="majorEastAsia" w:hAnsiTheme="majorEastAsia" w:eastAsiaTheme="majorEastAsia"/>
                      <w:sz w:val="24"/>
                      <w:szCs w:val="21"/>
                      <w:lang w:val="en-US" w:eastAsia="zh-CN"/>
                    </w:rPr>
                    <w:t>国产</w:t>
                  </w:r>
                </w:p>
              </w:tc>
              <w:tc>
                <w:tcPr>
                  <w:tcW w:w="525" w:type="dxa"/>
                  <w:shd w:val="clear" w:color="auto" w:fill="auto"/>
                  <w:vAlign w:val="center"/>
                </w:tcPr>
                <w:p w14:paraId="0ABFF6C2">
                  <w:pPr>
                    <w:jc w:val="center"/>
                    <w:rPr>
                      <w:rFonts w:hint="eastAsia" w:ascii="宋体" w:hAnsi="宋体" w:eastAsia="宋体" w:cs="宋体"/>
                      <w:sz w:val="24"/>
                      <w:lang w:eastAsia="zh-CN"/>
                    </w:rPr>
                  </w:pPr>
                  <w:r>
                    <w:rPr>
                      <w:rFonts w:hint="eastAsia" w:asciiTheme="majorEastAsia" w:hAnsiTheme="majorEastAsia" w:eastAsiaTheme="majorEastAsia"/>
                      <w:sz w:val="24"/>
                      <w:szCs w:val="21"/>
                      <w:lang w:val="en-US" w:eastAsia="zh-CN"/>
                    </w:rPr>
                    <w:t>1</w:t>
                  </w:r>
                </w:p>
              </w:tc>
              <w:tc>
                <w:tcPr>
                  <w:tcW w:w="562" w:type="dxa"/>
                  <w:shd w:val="clear" w:color="auto" w:fill="auto"/>
                  <w:vAlign w:val="center"/>
                </w:tcPr>
                <w:p w14:paraId="438EBE57">
                  <w:pPr>
                    <w:jc w:val="center"/>
                    <w:rPr>
                      <w:rFonts w:hint="eastAsia" w:ascii="宋体" w:hAnsi="宋体" w:eastAsia="宋体" w:cs="宋体"/>
                      <w:sz w:val="24"/>
                    </w:rPr>
                  </w:pPr>
                  <w:r>
                    <w:rPr>
                      <w:rFonts w:hint="eastAsia" w:asciiTheme="majorEastAsia" w:hAnsiTheme="majorEastAsia" w:eastAsiaTheme="majorEastAsia"/>
                      <w:sz w:val="24"/>
                      <w:szCs w:val="21"/>
                      <w:lang w:val="en-US" w:eastAsia="zh-CN"/>
                    </w:rPr>
                    <w:t>台</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9.98</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9.98</w:t>
                  </w:r>
                </w:p>
              </w:tc>
              <w:tc>
                <w:tcPr>
                  <w:tcW w:w="541" w:type="pct"/>
                  <w:vAlign w:val="center"/>
                </w:tcPr>
                <w:p w14:paraId="369344EE">
                  <w:pPr>
                    <w:jc w:val="center"/>
                    <w:rPr>
                      <w:rFonts w:hint="default" w:ascii="宋体" w:hAnsi="宋体" w:eastAsia="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否</w:t>
                  </w:r>
                </w:p>
              </w:tc>
            </w:tr>
            <w:tr w14:paraId="3809BD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142159D4">
                  <w:pPr>
                    <w:jc w:val="center"/>
                    <w:rPr>
                      <w:rFonts w:hint="default" w:ascii="宋体" w:hAnsi="宋体" w:eastAsia="宋体" w:cs="宋体"/>
                      <w:sz w:val="24"/>
                      <w:lang w:val="en-US" w:eastAsia="zh-CN"/>
                    </w:rPr>
                  </w:pPr>
                  <w:r>
                    <w:rPr>
                      <w:rFonts w:hint="eastAsia" w:ascii="宋体" w:hAnsi="宋体" w:cs="宋体"/>
                      <w:sz w:val="24"/>
                      <w:lang w:val="en-US" w:eastAsia="zh-CN"/>
                    </w:rPr>
                    <w:t>3</w:t>
                  </w:r>
                </w:p>
              </w:tc>
              <w:tc>
                <w:tcPr>
                  <w:tcW w:w="393" w:type="pct"/>
                  <w:vMerge w:val="continue"/>
                  <w:vAlign w:val="center"/>
                </w:tcPr>
                <w:p w14:paraId="66F43500">
                  <w:pPr>
                    <w:jc w:val="center"/>
                    <w:rPr>
                      <w:rFonts w:hint="eastAsia" w:ascii="宋体" w:hAnsi="宋体" w:eastAsia="宋体" w:cs="宋体"/>
                      <w:sz w:val="24"/>
                      <w:lang w:val="en-US" w:eastAsia="zh-CN"/>
                    </w:rPr>
                  </w:pPr>
                </w:p>
              </w:tc>
              <w:tc>
                <w:tcPr>
                  <w:tcW w:w="794" w:type="pct"/>
                  <w:vAlign w:val="center"/>
                </w:tcPr>
                <w:p w14:paraId="2407682F">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131</w:t>
                  </w:r>
                </w:p>
              </w:tc>
              <w:tc>
                <w:tcPr>
                  <w:tcW w:w="1353" w:type="dxa"/>
                  <w:vAlign w:val="center"/>
                </w:tcPr>
                <w:p w14:paraId="1A9DE490">
                  <w:pPr>
                    <w:keepNext w:val="0"/>
                    <w:keepLines w:val="0"/>
                    <w:suppressLineNumbers w:val="0"/>
                    <w:spacing w:before="0" w:beforeAutospacing="0" w:after="0" w:afterAutospacing="0"/>
                    <w:ind w:left="0" w:leftChars="0" w:right="0" w:rightChars="0"/>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转运床</w:t>
                  </w:r>
                </w:p>
              </w:tc>
              <w:tc>
                <w:tcPr>
                  <w:tcW w:w="879" w:type="dxa"/>
                  <w:shd w:val="clear" w:color="auto" w:fill="auto"/>
                  <w:vAlign w:val="center"/>
                </w:tcPr>
                <w:p w14:paraId="05EB7CBD">
                  <w:pPr>
                    <w:keepNext w:val="0"/>
                    <w:keepLines w:val="0"/>
                    <w:suppressLineNumbers w:val="0"/>
                    <w:spacing w:before="0" w:beforeAutospacing="0" w:after="0" w:afterAutospacing="0"/>
                    <w:ind w:left="0" w:leftChars="0" w:right="0" w:rightChars="0"/>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525" w:type="dxa"/>
                  <w:shd w:val="clear" w:color="auto" w:fill="auto"/>
                  <w:vAlign w:val="center"/>
                </w:tcPr>
                <w:p w14:paraId="15E3564A">
                  <w:pPr>
                    <w:keepNext w:val="0"/>
                    <w:keepLines w:val="0"/>
                    <w:suppressLineNumbers w:val="0"/>
                    <w:spacing w:before="0" w:beforeAutospacing="0" w:after="0" w:afterAutospacing="0"/>
                    <w:ind w:left="0" w:leftChars="0" w:right="0" w:rightChars="0"/>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lang w:val="en-US" w:eastAsia="zh-CN"/>
                    </w:rPr>
                    <w:t>1</w:t>
                  </w:r>
                </w:p>
              </w:tc>
              <w:tc>
                <w:tcPr>
                  <w:tcW w:w="562" w:type="dxa"/>
                  <w:shd w:val="clear" w:color="auto" w:fill="auto"/>
                  <w:vAlign w:val="center"/>
                </w:tcPr>
                <w:p w14:paraId="1D53729B">
                  <w:pPr>
                    <w:keepNext w:val="0"/>
                    <w:keepLines w:val="0"/>
                    <w:suppressLineNumbers w:val="0"/>
                    <w:spacing w:before="0" w:beforeAutospacing="0" w:after="0" w:afterAutospacing="0"/>
                    <w:ind w:left="0" w:leftChars="0" w:right="0" w:rightChars="0"/>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lang w:val="en-US" w:eastAsia="zh-CN"/>
                    </w:rPr>
                    <w:t>台</w:t>
                  </w:r>
                </w:p>
              </w:tc>
              <w:tc>
                <w:tcPr>
                  <w:tcW w:w="451" w:type="pct"/>
                  <w:shd w:val="clear" w:color="auto" w:fill="auto"/>
                  <w:vAlign w:val="center"/>
                </w:tcPr>
                <w:p w14:paraId="6E17BAEE">
                  <w:pPr>
                    <w:jc w:val="center"/>
                    <w:rPr>
                      <w:rFonts w:hint="default" w:ascii="宋体" w:hAnsi="宋体" w:cs="宋体"/>
                      <w:sz w:val="24"/>
                      <w:lang w:val="en-US" w:eastAsia="zh-CN"/>
                    </w:rPr>
                  </w:pPr>
                  <w:r>
                    <w:rPr>
                      <w:rFonts w:hint="eastAsia" w:ascii="宋体" w:hAnsi="宋体" w:cs="宋体"/>
                      <w:sz w:val="24"/>
                      <w:lang w:val="en-US" w:eastAsia="zh-CN"/>
                    </w:rPr>
                    <w:t>0.8</w:t>
                  </w:r>
                </w:p>
              </w:tc>
              <w:tc>
                <w:tcPr>
                  <w:tcW w:w="451" w:type="pct"/>
                  <w:shd w:val="clear" w:color="auto" w:fill="auto"/>
                  <w:vAlign w:val="center"/>
                </w:tcPr>
                <w:p w14:paraId="0C9EEC60">
                  <w:pPr>
                    <w:jc w:val="center"/>
                    <w:rPr>
                      <w:rFonts w:hint="default" w:ascii="宋体" w:hAnsi="宋体" w:cs="宋体"/>
                      <w:sz w:val="24"/>
                      <w:lang w:val="en-US" w:eastAsia="zh-CN"/>
                    </w:rPr>
                  </w:pPr>
                  <w:r>
                    <w:rPr>
                      <w:rFonts w:hint="eastAsia" w:ascii="宋体" w:hAnsi="宋体" w:cs="宋体"/>
                      <w:sz w:val="24"/>
                      <w:lang w:val="en-US" w:eastAsia="zh-CN"/>
                    </w:rPr>
                    <w:t>0.8</w:t>
                  </w:r>
                </w:p>
              </w:tc>
              <w:tc>
                <w:tcPr>
                  <w:tcW w:w="541" w:type="pct"/>
                  <w:vAlign w:val="center"/>
                </w:tcPr>
                <w:p w14:paraId="230B2ED7">
                  <w:pPr>
                    <w:jc w:val="center"/>
                    <w:rPr>
                      <w:rFonts w:hint="eastAsia" w:ascii="宋体" w:hAnsi="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6C401CA2">
                  <w:pPr>
                    <w:jc w:val="center"/>
                    <w:rPr>
                      <w:rFonts w:hint="eastAsia" w:ascii="宋体" w:hAnsi="宋体" w:cs="宋体"/>
                      <w:sz w:val="24"/>
                      <w:lang w:val="en-US" w:eastAsia="zh-CN"/>
                    </w:rPr>
                  </w:pPr>
                  <w:r>
                    <w:rPr>
                      <w:rFonts w:hint="eastAsia" w:ascii="宋体" w:hAnsi="宋体" w:cs="宋体"/>
                      <w:sz w:val="24"/>
                      <w:lang w:val="en-US" w:eastAsia="zh-CN"/>
                    </w:rPr>
                    <w:t>否</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hint="default" w:ascii="Times New Roman" w:hAnsi="Times New Roman" w:eastAsia="宋体"/>
                <w:color w:val="000000"/>
                <w:kern w:val="0"/>
                <w:sz w:val="24"/>
                <w:lang w:val="en-US" w:eastAsia="zh-CN"/>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14</w:t>
            </w:r>
            <w:bookmarkStart w:id="24" w:name="_GoBack"/>
            <w:bookmarkEnd w:id="24"/>
          </w:p>
          <w:p w14:paraId="3F922C3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 xml:space="preserve">余老师 </w:t>
            </w:r>
            <w:r>
              <w:rPr>
                <w:rFonts w:hint="eastAsia" w:ascii="Times New Roman" w:hAnsi="宋体"/>
                <w:color w:val="000000"/>
                <w:kern w:val="0"/>
                <w:sz w:val="24"/>
              </w:rPr>
              <w:t>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见附件1：医用转运车项目采购需求</w:t>
      </w:r>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数字式十八导心电图</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4CAC9355">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见附件3：转运床项目采购需求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57128621"/>
      <w:bookmarkStart w:id="2" w:name="_Toc15209"/>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hint="eastAsia" w:ascii="Calibri Light" w:hAnsi="Calibri Light"/>
          <w:b/>
          <w:bCs/>
        </w:rPr>
      </w:pPr>
    </w:p>
    <w:p w14:paraId="2B9ECE92">
      <w:pPr>
        <w:adjustRightInd w:val="0"/>
        <w:spacing w:line="480" w:lineRule="atLeast"/>
        <w:textAlignment w:val="baseline"/>
        <w:rPr>
          <w:rFonts w:hint="eastAsia" w:ascii="Calibri Light" w:hAnsi="Calibri Light"/>
          <w:b/>
          <w:bCs/>
        </w:rPr>
      </w:pPr>
      <w:r>
        <w:rPr>
          <w:rFonts w:hint="eastAsia" w:ascii="Calibri Light" w:hAnsi="Calibri Light"/>
          <w:b/>
          <w:bCs/>
        </w:rPr>
        <w:t>二、响应文件的编写</w:t>
      </w:r>
    </w:p>
    <w:p w14:paraId="0170E0E6">
      <w:pPr>
        <w:adjustRightInd w:val="0"/>
        <w:spacing w:line="480" w:lineRule="atLeast"/>
        <w:textAlignment w:val="baseline"/>
        <w:rPr>
          <w:rFonts w:hint="eastAsia" w:ascii="Calibri Light" w:hAnsi="Calibri Light"/>
          <w:b/>
          <w:bCs/>
        </w:rPr>
      </w:pPr>
      <w:r>
        <w:rPr>
          <w:rFonts w:hint="eastAsia" w:ascii="Calibri Light" w:hAnsi="Calibri Light"/>
          <w:b/>
          <w:bCs/>
        </w:rPr>
        <w:t>1、 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hint="eastAsia" w:ascii="Calibri Light" w:hAnsi="Calibri Light"/>
          <w:b w:val="0"/>
          <w:bCs w:val="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w:t>
      </w:r>
      <w:r>
        <w:rPr>
          <w:rFonts w:hint="eastAsia" w:ascii="Calibri Light" w:hAnsi="Calibri Light"/>
          <w:b w:val="0"/>
          <w:bCs w:val="0"/>
        </w:rPr>
        <w:t>本价的内容，评审小组有权不接受该报价，视为报价无效。</w:t>
      </w:r>
    </w:p>
    <w:p w14:paraId="155DEEF5">
      <w:pPr>
        <w:adjustRightInd w:val="0"/>
        <w:spacing w:line="480" w:lineRule="atLeast"/>
        <w:textAlignment w:val="baseline"/>
        <w:rPr>
          <w:rFonts w:hint="eastAsia" w:ascii="Calibri Light" w:hAnsi="Calibri Light"/>
          <w:b/>
          <w:bCs/>
        </w:rPr>
      </w:pPr>
      <w:r>
        <w:rPr>
          <w:rFonts w:hint="eastAsia" w:ascii="Calibri Light" w:hAnsi="Calibri Light"/>
          <w:b/>
          <w:bCs/>
        </w:rPr>
        <w:t>5、响应报价有效期：至项目完成所有履约义务之日。</w:t>
      </w:r>
    </w:p>
    <w:p w14:paraId="469DB8A8">
      <w:pPr>
        <w:adjustRightInd w:val="0"/>
        <w:spacing w:line="480" w:lineRule="atLeast"/>
        <w:textAlignment w:val="baseline"/>
        <w:rPr>
          <w:rFonts w:hint="eastAsia" w:ascii="Calibri Light" w:hAnsi="Calibri Light"/>
          <w:b/>
          <w:bCs/>
        </w:rPr>
      </w:pPr>
      <w:r>
        <w:rPr>
          <w:rFonts w:hint="eastAsia" w:ascii="Calibri Light" w:hAnsi="Calibri Light"/>
          <w:b/>
          <w:bCs/>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adjustRightInd w:val="0"/>
        <w:spacing w:line="480" w:lineRule="atLeast"/>
        <w:textAlignment w:val="baseline"/>
        <w:rPr>
          <w:rFonts w:hint="eastAsia" w:ascii="Calibri Light" w:hAnsi="Calibri Light"/>
          <w:b/>
          <w:bCs/>
        </w:rPr>
      </w:pPr>
      <w:r>
        <w:rPr>
          <w:rFonts w:hint="eastAsia" w:ascii="Calibri Light" w:hAnsi="Calibri Light"/>
          <w:b/>
          <w:bCs/>
        </w:rPr>
        <w:t>三、响应文件的递交</w:t>
      </w:r>
    </w:p>
    <w:p w14:paraId="1E2CE34F">
      <w:pPr>
        <w:adjustRightInd w:val="0"/>
        <w:spacing w:line="480" w:lineRule="atLeast"/>
        <w:textAlignment w:val="baseline"/>
        <w:rPr>
          <w:rFonts w:hint="eastAsia" w:ascii="Calibri Light" w:hAnsi="Calibri Light"/>
          <w:b/>
          <w:bCs/>
        </w:rPr>
      </w:pPr>
      <w:r>
        <w:rPr>
          <w:rFonts w:hint="eastAsia" w:ascii="Calibri Light" w:hAnsi="Calibri Light"/>
          <w:b/>
          <w:bCs/>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435115056"/>
      <w:bookmarkStart w:id="4" w:name="_Toc22206"/>
      <w:bookmarkStart w:id="5" w:name="_Toc57128626"/>
      <w:bookmarkStart w:id="6" w:name="_Toc9128_WPSOffice_Level1"/>
      <w:bookmarkStart w:id="7" w:name="_Toc24338"/>
      <w:bookmarkStart w:id="8" w:name="_Toc435514851"/>
      <w:bookmarkStart w:id="9" w:name="_Toc8307306"/>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8080"/>
      <w:bookmarkStart w:id="11" w:name="_Toc435515292"/>
      <w:bookmarkStart w:id="12" w:name="_Toc57128627"/>
      <w:bookmarkStart w:id="13" w:name="_Toc435514852"/>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57128632"/>
      <w:bookmarkStart w:id="17" w:name="_Toc435514855"/>
      <w:bookmarkStart w:id="18" w:name="_Toc275865606"/>
      <w:bookmarkStart w:id="19" w:name="_Toc435515295"/>
      <w:bookmarkStart w:id="20" w:name="_Toc24650"/>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7311A"/>
    <w:rsid w:val="02290C40"/>
    <w:rsid w:val="022C6982"/>
    <w:rsid w:val="024C0DD3"/>
    <w:rsid w:val="02557C87"/>
    <w:rsid w:val="02B349AE"/>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42194D"/>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01464"/>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041ADC"/>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01008"/>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E3199"/>
    <w:rsid w:val="1CE43C8A"/>
    <w:rsid w:val="1CED60A0"/>
    <w:rsid w:val="1D04257E"/>
    <w:rsid w:val="1D087C8C"/>
    <w:rsid w:val="1D1902C6"/>
    <w:rsid w:val="1D28389F"/>
    <w:rsid w:val="1D537603"/>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832D34"/>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690493"/>
    <w:rsid w:val="2E725599"/>
    <w:rsid w:val="2E876B6B"/>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9E7B7E"/>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0E4046"/>
    <w:rsid w:val="391A56D5"/>
    <w:rsid w:val="39213C0B"/>
    <w:rsid w:val="392534B4"/>
    <w:rsid w:val="392F4087"/>
    <w:rsid w:val="394C2E8B"/>
    <w:rsid w:val="395239A1"/>
    <w:rsid w:val="39602492"/>
    <w:rsid w:val="396F5C57"/>
    <w:rsid w:val="39B12CEE"/>
    <w:rsid w:val="39C53258"/>
    <w:rsid w:val="39D013C6"/>
    <w:rsid w:val="39D33309"/>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2EF6D61"/>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821631"/>
    <w:rsid w:val="49935F6C"/>
    <w:rsid w:val="49B04D70"/>
    <w:rsid w:val="49BA174B"/>
    <w:rsid w:val="49BE748D"/>
    <w:rsid w:val="4A2E2E00"/>
    <w:rsid w:val="4A3E05CE"/>
    <w:rsid w:val="4A58343D"/>
    <w:rsid w:val="4A716A7E"/>
    <w:rsid w:val="4A7851F3"/>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D3B99"/>
    <w:rsid w:val="4B3F1BE3"/>
    <w:rsid w:val="4BB01057"/>
    <w:rsid w:val="4BD05255"/>
    <w:rsid w:val="4BD74836"/>
    <w:rsid w:val="4BFB49C8"/>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156CE"/>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776C26"/>
    <w:rsid w:val="658A499D"/>
    <w:rsid w:val="658E3D60"/>
    <w:rsid w:val="65A05841"/>
    <w:rsid w:val="65E9368C"/>
    <w:rsid w:val="65EC0A86"/>
    <w:rsid w:val="65F41D31"/>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691651"/>
    <w:rsid w:val="709D579F"/>
    <w:rsid w:val="70AC7790"/>
    <w:rsid w:val="70CE3BAA"/>
    <w:rsid w:val="70CE6D6A"/>
    <w:rsid w:val="71123A97"/>
    <w:rsid w:val="714F6A99"/>
    <w:rsid w:val="715111B7"/>
    <w:rsid w:val="715A3DCC"/>
    <w:rsid w:val="715C3B04"/>
    <w:rsid w:val="71844269"/>
    <w:rsid w:val="71A5490B"/>
    <w:rsid w:val="71C37997"/>
    <w:rsid w:val="71D47071"/>
    <w:rsid w:val="71DE2E6B"/>
    <w:rsid w:val="72005FE5"/>
    <w:rsid w:val="72111FA0"/>
    <w:rsid w:val="72192C03"/>
    <w:rsid w:val="72323CC5"/>
    <w:rsid w:val="72343EE1"/>
    <w:rsid w:val="724F2AC9"/>
    <w:rsid w:val="72694ED7"/>
    <w:rsid w:val="72842772"/>
    <w:rsid w:val="729624A5"/>
    <w:rsid w:val="72C0525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16D8C"/>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3794</Words>
  <Characters>4094</Characters>
  <Lines>355</Lines>
  <Paragraphs>100</Paragraphs>
  <TotalTime>1</TotalTime>
  <ScaleCrop>false</ScaleCrop>
  <LinksUpToDate>false</LinksUpToDate>
  <CharactersWithSpaces>4211</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2025-12-16T03:39:55Z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