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D1395">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5E8D0931">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4AD3277A">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47A21A60">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377EEB38">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1BD354F9">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申请科室：</w:t>
      </w:r>
      <w:r>
        <w:rPr>
          <w:rFonts w:hint="eastAsia" w:ascii="宋体" w:hAnsi="宋体" w:cs="宋体"/>
          <w:b/>
          <w:color w:val="000000"/>
          <w:szCs w:val="21"/>
        </w:rPr>
        <w:t xml:space="preserve"> 中医科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338"/>
        <w:gridCol w:w="850"/>
        <w:gridCol w:w="371"/>
        <w:gridCol w:w="338"/>
        <w:gridCol w:w="709"/>
        <w:gridCol w:w="87"/>
        <w:gridCol w:w="1133"/>
        <w:gridCol w:w="55"/>
        <w:gridCol w:w="1276"/>
        <w:gridCol w:w="86"/>
        <w:gridCol w:w="753"/>
        <w:gridCol w:w="760"/>
      </w:tblGrid>
      <w:tr w14:paraId="46F89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270" w:type="dxa"/>
            <w:gridSpan w:val="3"/>
          </w:tcPr>
          <w:p w14:paraId="1BE23352">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334116CC">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68FEDAE2">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1133" w:type="dxa"/>
          </w:tcPr>
          <w:p w14:paraId="6A511329">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417" w:type="dxa"/>
            <w:gridSpan w:val="3"/>
          </w:tcPr>
          <w:p w14:paraId="1E810201">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513" w:type="dxa"/>
            <w:gridSpan w:val="2"/>
          </w:tcPr>
          <w:p w14:paraId="1A36511A">
            <w:pPr>
              <w:spacing w:line="276" w:lineRule="auto"/>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5A0E9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270" w:type="dxa"/>
            <w:gridSpan w:val="3"/>
            <w:vAlign w:val="center"/>
          </w:tcPr>
          <w:p w14:paraId="06817718">
            <w:pPr>
              <w:jc w:val="center"/>
              <w:rPr>
                <w:rFonts w:asciiTheme="majorEastAsia" w:hAnsiTheme="majorEastAsia" w:eastAsiaTheme="majorEastAsia"/>
                <w:sz w:val="24"/>
                <w:szCs w:val="21"/>
              </w:rPr>
            </w:pPr>
            <w:r>
              <w:rPr>
                <w:rFonts w:ascii="宋体" w:hAnsi="宋体"/>
                <w:b/>
                <w:sz w:val="24"/>
                <w:szCs w:val="21"/>
              </w:rPr>
              <w:t>电脑熏蒸治疗</w:t>
            </w:r>
            <w:r>
              <w:rPr>
                <w:rFonts w:hint="eastAsia" w:ascii="宋体" w:hAnsi="宋体"/>
                <w:b/>
                <w:sz w:val="24"/>
                <w:szCs w:val="21"/>
              </w:rPr>
              <w:t>仪</w:t>
            </w:r>
          </w:p>
        </w:tc>
        <w:tc>
          <w:tcPr>
            <w:tcW w:w="1559" w:type="dxa"/>
            <w:gridSpan w:val="3"/>
            <w:vAlign w:val="center"/>
          </w:tcPr>
          <w:p w14:paraId="16C7CB3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46EE196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1133" w:type="dxa"/>
            <w:vAlign w:val="center"/>
          </w:tcPr>
          <w:p w14:paraId="001C151A">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417" w:type="dxa"/>
            <w:gridSpan w:val="3"/>
            <w:vAlign w:val="center"/>
          </w:tcPr>
          <w:p w14:paraId="6D3E3C3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1513" w:type="dxa"/>
            <w:gridSpan w:val="2"/>
            <w:vAlign w:val="center"/>
          </w:tcPr>
          <w:p w14:paraId="2058598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r>
      <w:tr w14:paraId="2E2CB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6" w:hRule="atLeast"/>
          <w:jc w:val="center"/>
        </w:trPr>
        <w:tc>
          <w:tcPr>
            <w:tcW w:w="1853" w:type="dxa"/>
            <w:gridSpan w:val="2"/>
            <w:vAlign w:val="center"/>
          </w:tcPr>
          <w:p w14:paraId="3D465DF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8173" w:type="dxa"/>
            <w:gridSpan w:val="13"/>
            <w:vAlign w:val="center"/>
          </w:tcPr>
          <w:p w14:paraId="6CDAF6AD">
            <w:pPr>
              <w:widowControl/>
              <w:adjustRightInd w:val="0"/>
              <w:snapToGrid w:val="0"/>
              <w:spacing w:after="200" w:line="276"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color w:val="000000"/>
                <w:kern w:val="0"/>
                <w:szCs w:val="21"/>
              </w:rPr>
              <w:t>熏蒸治疗床具有显著、强大、持久的生理、药理效应。产生这两个效应是熏蒸的热能与对症使用的药物,医师可根据患者的情况对症下药,直接有效。目前熏蒸治疗床普遍采用通过数字智能化电脑控制恒温，使中药药液产生中药蒸汽。患者在薰蒸治疗时，能通过蒸汽热敷使全身毛孔张开、毛细血管网开放。在蒸汽环境内，肌体内邪外出，药物离子通过对患病部位和经络病变区进行有效渗透，药力直达病灶。对改善微循环、松弛骨骼、镇痛及活络关节有良好效果。熏蒸治疗床集中了中药医疗、热疗、汽疗、中药离子渗透治疗等多种功能，集热度、药度、湿度于一体，使之具有很高的临床推广应用价值。</w:t>
            </w:r>
            <w:r>
              <w:rPr>
                <w:rFonts w:hint="eastAsia" w:asciiTheme="minorEastAsia" w:hAnsiTheme="minorEastAsia" w:eastAsiaTheme="minorEastAsia" w:cstheme="minorBidi"/>
                <w:kern w:val="0"/>
                <w:szCs w:val="21"/>
              </w:rPr>
              <w:t>我科现有熏蒸床年久老化故障频发</w:t>
            </w:r>
            <w:r>
              <w:rPr>
                <w:rFonts w:hint="eastAsia" w:cs="宋体" w:asciiTheme="minorEastAsia" w:hAnsiTheme="minorEastAsia" w:eastAsiaTheme="minorEastAsia"/>
                <w:kern w:val="0"/>
                <w:szCs w:val="21"/>
              </w:rPr>
              <w:t>患者</w:t>
            </w:r>
            <w:r>
              <w:rPr>
                <w:rFonts w:hint="eastAsia" w:asciiTheme="minorEastAsia" w:hAnsiTheme="minorEastAsia" w:eastAsiaTheme="minorEastAsia" w:cstheme="minorBidi"/>
                <w:kern w:val="0"/>
                <w:szCs w:val="21"/>
              </w:rPr>
              <w:t>长时间排队做治疗，因此迫切需增加</w:t>
            </w:r>
            <w:r>
              <w:rPr>
                <w:rFonts w:asciiTheme="minorEastAsia" w:hAnsiTheme="minorEastAsia" w:eastAsiaTheme="minorEastAsia" w:cstheme="minorBidi"/>
                <w:kern w:val="0"/>
                <w:szCs w:val="21"/>
              </w:rPr>
              <w:t>1</w:t>
            </w:r>
            <w:r>
              <w:rPr>
                <w:rFonts w:hint="eastAsia" w:asciiTheme="minorEastAsia" w:hAnsiTheme="minorEastAsia" w:eastAsiaTheme="minorEastAsia" w:cstheme="minorBidi"/>
                <w:kern w:val="0"/>
                <w:szCs w:val="21"/>
              </w:rPr>
              <w:t>台满足临床科室的发展。</w:t>
            </w:r>
          </w:p>
        </w:tc>
      </w:tr>
      <w:tr w14:paraId="4B465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0026" w:type="dxa"/>
            <w:gridSpan w:val="15"/>
            <w:vAlign w:val="center"/>
          </w:tcPr>
          <w:p w14:paraId="4CA07991">
            <w:pPr>
              <w:rPr>
                <w:rFonts w:cs="宋体" w:asciiTheme="majorEastAsia" w:hAnsiTheme="majorEastAsia" w:eastAsiaTheme="majorEastAsia"/>
                <w:b/>
                <w:bCs/>
                <w:color w:val="000000"/>
                <w:sz w:val="32"/>
                <w:szCs w:val="21"/>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023D3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31" w:type="dxa"/>
            <w:vAlign w:val="center"/>
          </w:tcPr>
          <w:p w14:paraId="3BA07D3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977" w:type="dxa"/>
            <w:gridSpan w:val="3"/>
            <w:vAlign w:val="center"/>
          </w:tcPr>
          <w:p w14:paraId="2496A0D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0180E77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709" w:type="dxa"/>
            <w:gridSpan w:val="2"/>
            <w:vAlign w:val="center"/>
          </w:tcPr>
          <w:p w14:paraId="5F16D1C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709" w:type="dxa"/>
            <w:vAlign w:val="center"/>
          </w:tcPr>
          <w:p w14:paraId="4EF6A7B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275" w:type="dxa"/>
            <w:gridSpan w:val="3"/>
            <w:vAlign w:val="center"/>
          </w:tcPr>
          <w:p w14:paraId="1D13010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276" w:type="dxa"/>
            <w:vAlign w:val="center"/>
          </w:tcPr>
          <w:p w14:paraId="7AE4C1A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839" w:type="dxa"/>
            <w:gridSpan w:val="2"/>
            <w:vAlign w:val="center"/>
          </w:tcPr>
          <w:p w14:paraId="0AA3445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760" w:type="dxa"/>
            <w:vAlign w:val="center"/>
          </w:tcPr>
          <w:p w14:paraId="3C28C5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r>
      <w:tr w14:paraId="153E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31" w:type="dxa"/>
            <w:vAlign w:val="center"/>
          </w:tcPr>
          <w:p w14:paraId="3527141C">
            <w:pPr>
              <w:jc w:val="center"/>
              <w:rPr>
                <w:rFonts w:ascii="宋体" w:hAnsi="宋体" w:cs="宋体"/>
                <w:bCs/>
                <w:sz w:val="24"/>
                <w:szCs w:val="21"/>
              </w:rPr>
            </w:pPr>
          </w:p>
        </w:tc>
        <w:tc>
          <w:tcPr>
            <w:tcW w:w="2977" w:type="dxa"/>
            <w:gridSpan w:val="3"/>
            <w:vAlign w:val="center"/>
          </w:tcPr>
          <w:p w14:paraId="1B1F13D9">
            <w:pPr>
              <w:jc w:val="center"/>
              <w:rPr>
                <w:rFonts w:ascii="宋体" w:hAnsi="宋体" w:cs="宋体"/>
                <w:bCs/>
                <w:sz w:val="24"/>
                <w:szCs w:val="21"/>
              </w:rPr>
            </w:pPr>
            <w:r>
              <w:rPr>
                <w:rFonts w:hint="eastAsia" w:ascii="宋体" w:hAnsi="宋体" w:cs="宋体"/>
                <w:bCs/>
                <w:sz w:val="24"/>
                <w:szCs w:val="21"/>
              </w:rPr>
              <w:t>电脑熏蒸治疗仪</w:t>
            </w:r>
          </w:p>
        </w:tc>
        <w:tc>
          <w:tcPr>
            <w:tcW w:w="850" w:type="dxa"/>
            <w:vAlign w:val="center"/>
          </w:tcPr>
          <w:p w14:paraId="71802708">
            <w:pPr>
              <w:jc w:val="center"/>
              <w:rPr>
                <w:rFonts w:ascii="宋体" w:hAnsi="宋体" w:cs="宋体"/>
                <w:bCs/>
                <w:sz w:val="24"/>
                <w:szCs w:val="21"/>
              </w:rPr>
            </w:pPr>
            <w:r>
              <w:rPr>
                <w:rFonts w:hint="eastAsia" w:ascii="宋体" w:hAnsi="宋体" w:cs="宋体"/>
                <w:bCs/>
                <w:sz w:val="24"/>
                <w:szCs w:val="21"/>
              </w:rPr>
              <w:t>国产</w:t>
            </w:r>
          </w:p>
        </w:tc>
        <w:tc>
          <w:tcPr>
            <w:tcW w:w="709" w:type="dxa"/>
            <w:gridSpan w:val="2"/>
            <w:vAlign w:val="center"/>
          </w:tcPr>
          <w:p w14:paraId="14B603AF">
            <w:pPr>
              <w:jc w:val="center"/>
              <w:rPr>
                <w:rFonts w:ascii="宋体" w:hAnsi="宋体" w:cs="宋体"/>
                <w:bCs/>
                <w:sz w:val="24"/>
                <w:szCs w:val="21"/>
              </w:rPr>
            </w:pPr>
            <w:r>
              <w:rPr>
                <w:rFonts w:hint="eastAsia" w:ascii="宋体" w:hAnsi="宋体" w:cs="宋体"/>
                <w:bCs/>
                <w:sz w:val="24"/>
                <w:szCs w:val="21"/>
              </w:rPr>
              <w:t>1</w:t>
            </w:r>
          </w:p>
        </w:tc>
        <w:tc>
          <w:tcPr>
            <w:tcW w:w="709" w:type="dxa"/>
            <w:vAlign w:val="center"/>
          </w:tcPr>
          <w:p w14:paraId="23E4B923">
            <w:pPr>
              <w:jc w:val="center"/>
              <w:rPr>
                <w:rFonts w:ascii="宋体" w:hAnsi="宋体" w:cs="宋体"/>
                <w:bCs/>
                <w:sz w:val="24"/>
                <w:szCs w:val="21"/>
              </w:rPr>
            </w:pPr>
            <w:r>
              <w:rPr>
                <w:rFonts w:hint="eastAsia" w:ascii="宋体" w:hAnsi="宋体" w:cs="宋体"/>
                <w:bCs/>
                <w:color w:val="000000"/>
                <w:sz w:val="24"/>
              </w:rPr>
              <w:t>台</w:t>
            </w:r>
          </w:p>
        </w:tc>
        <w:tc>
          <w:tcPr>
            <w:tcW w:w="1275" w:type="dxa"/>
            <w:gridSpan w:val="3"/>
            <w:vAlign w:val="center"/>
          </w:tcPr>
          <w:p w14:paraId="42D75E0B">
            <w:pPr>
              <w:jc w:val="center"/>
              <w:rPr>
                <w:rFonts w:ascii="宋体" w:hAnsi="宋体" w:cs="宋体"/>
                <w:bCs/>
                <w:sz w:val="24"/>
                <w:szCs w:val="21"/>
              </w:rPr>
            </w:pPr>
            <w:r>
              <w:rPr>
                <w:rFonts w:hint="eastAsia" w:ascii="宋体" w:hAnsi="宋体" w:cs="宋体"/>
                <w:bCs/>
                <w:sz w:val="24"/>
                <w:szCs w:val="21"/>
              </w:rPr>
              <w:t>2</w:t>
            </w:r>
          </w:p>
        </w:tc>
        <w:tc>
          <w:tcPr>
            <w:tcW w:w="1276" w:type="dxa"/>
            <w:vAlign w:val="center"/>
          </w:tcPr>
          <w:p w14:paraId="31D2EDC8">
            <w:pPr>
              <w:jc w:val="center"/>
              <w:rPr>
                <w:rFonts w:ascii="宋体" w:hAnsi="宋体" w:cs="宋体"/>
                <w:bCs/>
                <w:sz w:val="24"/>
                <w:szCs w:val="21"/>
              </w:rPr>
            </w:pPr>
            <w:r>
              <w:rPr>
                <w:rFonts w:hint="eastAsia" w:ascii="宋体" w:hAnsi="宋体" w:cs="宋体"/>
                <w:bCs/>
                <w:sz w:val="24"/>
                <w:szCs w:val="21"/>
              </w:rPr>
              <w:t>2</w:t>
            </w:r>
          </w:p>
        </w:tc>
        <w:tc>
          <w:tcPr>
            <w:tcW w:w="839" w:type="dxa"/>
            <w:gridSpan w:val="2"/>
            <w:vAlign w:val="center"/>
          </w:tcPr>
          <w:p w14:paraId="7E27D519">
            <w:pPr>
              <w:jc w:val="center"/>
              <w:rPr>
                <w:rFonts w:ascii="宋体" w:hAnsi="宋体" w:cs="宋体"/>
                <w:bCs/>
                <w:sz w:val="24"/>
                <w:szCs w:val="21"/>
              </w:rPr>
            </w:pPr>
            <w:r>
              <w:rPr>
                <w:rFonts w:hint="eastAsia" w:ascii="宋体" w:hAnsi="宋体" w:cs="宋体"/>
                <w:bCs/>
                <w:sz w:val="24"/>
                <w:szCs w:val="21"/>
              </w:rPr>
              <w:t>是</w:t>
            </w:r>
          </w:p>
        </w:tc>
        <w:tc>
          <w:tcPr>
            <w:tcW w:w="760" w:type="dxa"/>
            <w:vAlign w:val="center"/>
          </w:tcPr>
          <w:p w14:paraId="0DE7AE69">
            <w:pPr>
              <w:jc w:val="center"/>
              <w:rPr>
                <w:rFonts w:ascii="宋体" w:hAnsi="宋体" w:cs="宋体"/>
                <w:bCs/>
                <w:sz w:val="24"/>
                <w:szCs w:val="21"/>
              </w:rPr>
            </w:pPr>
            <w:r>
              <w:rPr>
                <w:rFonts w:hint="eastAsia" w:ascii="宋体" w:hAnsi="宋体" w:cs="宋体"/>
                <w:bCs/>
                <w:sz w:val="24"/>
                <w:szCs w:val="21"/>
              </w:rPr>
              <w:t>否</w:t>
            </w:r>
          </w:p>
        </w:tc>
      </w:tr>
      <w:tr w14:paraId="547E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31" w:type="dxa"/>
            <w:vAlign w:val="center"/>
          </w:tcPr>
          <w:p w14:paraId="04D2A9E4">
            <w:pPr>
              <w:jc w:val="center"/>
              <w:rPr>
                <w:rFonts w:ascii="宋体" w:hAnsi="宋体" w:cs="宋体"/>
                <w:bCs/>
                <w:sz w:val="24"/>
                <w:szCs w:val="21"/>
              </w:rPr>
            </w:pPr>
            <w:r>
              <w:rPr>
                <w:rFonts w:hint="eastAsia" w:ascii="宋体" w:hAnsi="宋体" w:cs="宋体"/>
                <w:bCs/>
                <w:sz w:val="24"/>
                <w:szCs w:val="21"/>
              </w:rPr>
              <w:t>1</w:t>
            </w:r>
          </w:p>
        </w:tc>
        <w:tc>
          <w:tcPr>
            <w:tcW w:w="2977" w:type="dxa"/>
            <w:gridSpan w:val="3"/>
            <w:vAlign w:val="center"/>
          </w:tcPr>
          <w:p w14:paraId="258AA273">
            <w:pPr>
              <w:shd w:val="clear" w:color="auto" w:fill="FFFFFF"/>
              <w:spacing w:line="330" w:lineRule="atLeast"/>
              <w:jc w:val="center"/>
              <w:rPr>
                <w:rFonts w:ascii="宋体" w:hAnsi="宋体" w:cs="宋体"/>
                <w:bCs/>
                <w:sz w:val="24"/>
                <w:szCs w:val="21"/>
              </w:rPr>
            </w:pPr>
            <w:r>
              <w:rPr>
                <w:rFonts w:hint="eastAsia" w:ascii="宋体" w:hAnsi="宋体" w:cs="宋体"/>
                <w:bCs/>
                <w:sz w:val="24"/>
              </w:rPr>
              <w:t>电脑熏蒸仪主机</w:t>
            </w:r>
          </w:p>
        </w:tc>
        <w:tc>
          <w:tcPr>
            <w:tcW w:w="850" w:type="dxa"/>
            <w:vAlign w:val="center"/>
          </w:tcPr>
          <w:p w14:paraId="1EB91BF9">
            <w:pPr>
              <w:spacing w:line="276" w:lineRule="auto"/>
              <w:jc w:val="center"/>
              <w:rPr>
                <w:rFonts w:ascii="宋体" w:hAnsi="宋体" w:cs="宋体"/>
                <w:bCs/>
                <w:sz w:val="24"/>
                <w:szCs w:val="21"/>
              </w:rPr>
            </w:pPr>
            <w:r>
              <w:rPr>
                <w:rFonts w:hint="eastAsia" w:ascii="宋体" w:hAnsi="宋体" w:cs="宋体"/>
                <w:bCs/>
                <w:sz w:val="24"/>
                <w:szCs w:val="21"/>
              </w:rPr>
              <w:t>国产</w:t>
            </w:r>
          </w:p>
        </w:tc>
        <w:tc>
          <w:tcPr>
            <w:tcW w:w="709" w:type="dxa"/>
            <w:gridSpan w:val="2"/>
            <w:vAlign w:val="center"/>
          </w:tcPr>
          <w:p w14:paraId="05D6A137">
            <w:pPr>
              <w:spacing w:line="276" w:lineRule="auto"/>
              <w:jc w:val="center"/>
              <w:rPr>
                <w:rFonts w:ascii="宋体" w:hAnsi="宋体" w:cs="宋体"/>
                <w:bCs/>
                <w:sz w:val="24"/>
                <w:szCs w:val="21"/>
              </w:rPr>
            </w:pPr>
            <w:r>
              <w:rPr>
                <w:rFonts w:hint="eastAsia" w:ascii="宋体" w:hAnsi="宋体" w:cs="宋体"/>
                <w:bCs/>
                <w:sz w:val="24"/>
                <w:szCs w:val="21"/>
              </w:rPr>
              <w:t>1</w:t>
            </w:r>
          </w:p>
        </w:tc>
        <w:tc>
          <w:tcPr>
            <w:tcW w:w="709" w:type="dxa"/>
            <w:vAlign w:val="center"/>
          </w:tcPr>
          <w:p w14:paraId="2052AB23">
            <w:pPr>
              <w:shd w:val="clear" w:color="auto" w:fill="FFFFFF"/>
              <w:spacing w:line="330" w:lineRule="atLeast"/>
              <w:jc w:val="center"/>
              <w:rPr>
                <w:rFonts w:ascii="宋体" w:hAnsi="宋体" w:cs="宋体"/>
                <w:bCs/>
                <w:sz w:val="24"/>
                <w:szCs w:val="21"/>
              </w:rPr>
            </w:pPr>
            <w:r>
              <w:rPr>
                <w:rFonts w:hint="eastAsia" w:ascii="宋体" w:hAnsi="宋体" w:cs="宋体"/>
                <w:bCs/>
                <w:color w:val="000000"/>
                <w:sz w:val="24"/>
              </w:rPr>
              <w:t>台</w:t>
            </w:r>
          </w:p>
        </w:tc>
        <w:tc>
          <w:tcPr>
            <w:tcW w:w="1275" w:type="dxa"/>
            <w:gridSpan w:val="3"/>
            <w:vAlign w:val="center"/>
          </w:tcPr>
          <w:p w14:paraId="43296780">
            <w:pPr>
              <w:jc w:val="center"/>
              <w:rPr>
                <w:rFonts w:ascii="宋体" w:hAnsi="宋体" w:cs="宋体"/>
                <w:bCs/>
                <w:sz w:val="24"/>
                <w:szCs w:val="21"/>
              </w:rPr>
            </w:pPr>
            <w:r>
              <w:rPr>
                <w:rFonts w:hint="eastAsia" w:ascii="宋体" w:hAnsi="宋体" w:cs="宋体"/>
                <w:bCs/>
                <w:sz w:val="24"/>
                <w:szCs w:val="21"/>
              </w:rPr>
              <w:t>/</w:t>
            </w:r>
          </w:p>
        </w:tc>
        <w:tc>
          <w:tcPr>
            <w:tcW w:w="1276" w:type="dxa"/>
            <w:vAlign w:val="center"/>
          </w:tcPr>
          <w:p w14:paraId="17C8B60B">
            <w:pPr>
              <w:jc w:val="center"/>
              <w:rPr>
                <w:rFonts w:ascii="宋体" w:hAnsi="宋体" w:cs="宋体"/>
                <w:bCs/>
                <w:sz w:val="24"/>
                <w:szCs w:val="21"/>
              </w:rPr>
            </w:pPr>
            <w:r>
              <w:rPr>
                <w:rFonts w:hint="eastAsia" w:ascii="宋体" w:hAnsi="宋体" w:cs="宋体"/>
                <w:bCs/>
                <w:sz w:val="24"/>
                <w:szCs w:val="21"/>
              </w:rPr>
              <w:t>/</w:t>
            </w:r>
          </w:p>
        </w:tc>
        <w:tc>
          <w:tcPr>
            <w:tcW w:w="839" w:type="dxa"/>
            <w:gridSpan w:val="2"/>
            <w:vAlign w:val="center"/>
          </w:tcPr>
          <w:p w14:paraId="1B3F25DB">
            <w:pPr>
              <w:jc w:val="center"/>
              <w:rPr>
                <w:rFonts w:ascii="宋体" w:hAnsi="宋体" w:cs="宋体"/>
                <w:bCs/>
                <w:sz w:val="24"/>
                <w:szCs w:val="21"/>
              </w:rPr>
            </w:pPr>
            <w:r>
              <w:rPr>
                <w:rFonts w:hint="eastAsia" w:ascii="宋体" w:hAnsi="宋体" w:cs="宋体"/>
                <w:bCs/>
                <w:sz w:val="24"/>
                <w:szCs w:val="21"/>
              </w:rPr>
              <w:t>/</w:t>
            </w:r>
          </w:p>
        </w:tc>
        <w:tc>
          <w:tcPr>
            <w:tcW w:w="760" w:type="dxa"/>
            <w:vAlign w:val="center"/>
          </w:tcPr>
          <w:p w14:paraId="2074A3FC">
            <w:pPr>
              <w:jc w:val="center"/>
              <w:rPr>
                <w:rFonts w:ascii="宋体" w:hAnsi="宋体" w:cs="宋体"/>
                <w:bCs/>
                <w:sz w:val="24"/>
                <w:szCs w:val="21"/>
              </w:rPr>
            </w:pPr>
            <w:r>
              <w:rPr>
                <w:rFonts w:hint="eastAsia" w:ascii="宋体" w:hAnsi="宋体" w:cs="宋体"/>
                <w:bCs/>
                <w:sz w:val="24"/>
                <w:szCs w:val="21"/>
              </w:rPr>
              <w:t>/</w:t>
            </w:r>
          </w:p>
        </w:tc>
      </w:tr>
      <w:tr w14:paraId="64D3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31" w:type="dxa"/>
            <w:vAlign w:val="center"/>
          </w:tcPr>
          <w:p w14:paraId="77605378">
            <w:pPr>
              <w:jc w:val="center"/>
              <w:rPr>
                <w:rFonts w:ascii="宋体" w:hAnsi="宋体" w:cs="宋体"/>
                <w:bCs/>
                <w:sz w:val="24"/>
                <w:szCs w:val="21"/>
              </w:rPr>
            </w:pPr>
            <w:r>
              <w:rPr>
                <w:rFonts w:hint="eastAsia" w:ascii="宋体" w:hAnsi="宋体" w:cs="宋体"/>
                <w:bCs/>
                <w:sz w:val="24"/>
                <w:szCs w:val="21"/>
              </w:rPr>
              <w:t>2</w:t>
            </w:r>
          </w:p>
        </w:tc>
        <w:tc>
          <w:tcPr>
            <w:tcW w:w="2977" w:type="dxa"/>
            <w:gridSpan w:val="3"/>
            <w:vAlign w:val="center"/>
          </w:tcPr>
          <w:p w14:paraId="606955BE">
            <w:pPr>
              <w:shd w:val="clear" w:color="auto" w:fill="FFFFFF"/>
              <w:spacing w:line="330" w:lineRule="atLeast"/>
              <w:jc w:val="center"/>
              <w:rPr>
                <w:rFonts w:ascii="宋体" w:hAnsi="宋体" w:cs="宋体"/>
                <w:bCs/>
                <w:sz w:val="24"/>
                <w:szCs w:val="21"/>
              </w:rPr>
            </w:pPr>
            <w:r>
              <w:rPr>
                <w:rFonts w:hint="eastAsia" w:ascii="宋体" w:hAnsi="宋体" w:cs="宋体"/>
                <w:bCs/>
                <w:sz w:val="24"/>
              </w:rPr>
              <w:t>电脑熏蒸仪控制台</w:t>
            </w:r>
          </w:p>
        </w:tc>
        <w:tc>
          <w:tcPr>
            <w:tcW w:w="850" w:type="dxa"/>
            <w:vAlign w:val="center"/>
          </w:tcPr>
          <w:p w14:paraId="36126015">
            <w:pPr>
              <w:spacing w:line="276" w:lineRule="auto"/>
              <w:jc w:val="center"/>
              <w:rPr>
                <w:rFonts w:ascii="宋体" w:hAnsi="宋体" w:cs="宋体"/>
                <w:bCs/>
                <w:sz w:val="24"/>
                <w:szCs w:val="21"/>
              </w:rPr>
            </w:pPr>
            <w:r>
              <w:rPr>
                <w:rFonts w:hint="eastAsia" w:ascii="宋体" w:hAnsi="宋体" w:cs="宋体"/>
                <w:bCs/>
                <w:sz w:val="24"/>
                <w:szCs w:val="21"/>
              </w:rPr>
              <w:t>国产</w:t>
            </w:r>
          </w:p>
        </w:tc>
        <w:tc>
          <w:tcPr>
            <w:tcW w:w="709" w:type="dxa"/>
            <w:gridSpan w:val="2"/>
            <w:vAlign w:val="center"/>
          </w:tcPr>
          <w:p w14:paraId="69C178F7">
            <w:pPr>
              <w:spacing w:line="276" w:lineRule="auto"/>
              <w:jc w:val="center"/>
              <w:rPr>
                <w:rFonts w:ascii="宋体" w:hAnsi="宋体" w:cs="宋体"/>
                <w:bCs/>
                <w:sz w:val="24"/>
                <w:szCs w:val="21"/>
              </w:rPr>
            </w:pPr>
            <w:r>
              <w:rPr>
                <w:rFonts w:hint="eastAsia" w:ascii="宋体" w:hAnsi="宋体" w:cs="宋体"/>
                <w:bCs/>
                <w:sz w:val="24"/>
                <w:szCs w:val="21"/>
              </w:rPr>
              <w:t>1</w:t>
            </w:r>
          </w:p>
        </w:tc>
        <w:tc>
          <w:tcPr>
            <w:tcW w:w="709" w:type="dxa"/>
            <w:vAlign w:val="center"/>
          </w:tcPr>
          <w:p w14:paraId="4D6E9F8D">
            <w:pPr>
              <w:shd w:val="clear" w:color="auto" w:fill="FFFFFF"/>
              <w:spacing w:line="330" w:lineRule="atLeast"/>
              <w:jc w:val="center"/>
              <w:rPr>
                <w:rFonts w:ascii="宋体" w:hAnsi="宋体" w:cs="宋体"/>
                <w:bCs/>
                <w:sz w:val="24"/>
                <w:szCs w:val="21"/>
              </w:rPr>
            </w:pPr>
            <w:r>
              <w:rPr>
                <w:rFonts w:hint="eastAsia" w:ascii="宋体" w:hAnsi="宋体" w:cs="宋体"/>
                <w:bCs/>
                <w:sz w:val="24"/>
                <w:szCs w:val="21"/>
              </w:rPr>
              <w:t>个</w:t>
            </w:r>
          </w:p>
        </w:tc>
        <w:tc>
          <w:tcPr>
            <w:tcW w:w="1275" w:type="dxa"/>
            <w:gridSpan w:val="3"/>
            <w:vAlign w:val="center"/>
          </w:tcPr>
          <w:p w14:paraId="641F41D9">
            <w:pPr>
              <w:jc w:val="center"/>
              <w:rPr>
                <w:rFonts w:ascii="宋体" w:hAnsi="宋体" w:cs="宋体"/>
                <w:bCs/>
                <w:sz w:val="24"/>
                <w:szCs w:val="21"/>
              </w:rPr>
            </w:pPr>
            <w:r>
              <w:rPr>
                <w:rFonts w:hint="eastAsia" w:ascii="宋体" w:hAnsi="宋体" w:cs="宋体"/>
                <w:bCs/>
                <w:sz w:val="24"/>
              </w:rPr>
              <w:t>/</w:t>
            </w:r>
          </w:p>
        </w:tc>
        <w:tc>
          <w:tcPr>
            <w:tcW w:w="1276" w:type="dxa"/>
            <w:vAlign w:val="center"/>
          </w:tcPr>
          <w:p w14:paraId="446DC56B">
            <w:pPr>
              <w:jc w:val="center"/>
              <w:rPr>
                <w:rFonts w:ascii="宋体" w:hAnsi="宋体" w:cs="宋体"/>
                <w:bCs/>
                <w:sz w:val="24"/>
                <w:szCs w:val="21"/>
              </w:rPr>
            </w:pPr>
            <w:r>
              <w:rPr>
                <w:rFonts w:hint="eastAsia" w:ascii="宋体" w:hAnsi="宋体" w:cs="宋体"/>
                <w:bCs/>
                <w:sz w:val="24"/>
              </w:rPr>
              <w:t>/</w:t>
            </w:r>
          </w:p>
        </w:tc>
        <w:tc>
          <w:tcPr>
            <w:tcW w:w="839" w:type="dxa"/>
            <w:gridSpan w:val="2"/>
            <w:vAlign w:val="center"/>
          </w:tcPr>
          <w:p w14:paraId="4E13F814">
            <w:pPr>
              <w:jc w:val="center"/>
              <w:rPr>
                <w:rFonts w:ascii="宋体" w:hAnsi="宋体" w:cs="宋体"/>
                <w:bCs/>
                <w:sz w:val="24"/>
                <w:szCs w:val="21"/>
              </w:rPr>
            </w:pPr>
            <w:r>
              <w:rPr>
                <w:rFonts w:hint="eastAsia" w:ascii="宋体" w:hAnsi="宋体" w:cs="宋体"/>
                <w:bCs/>
                <w:sz w:val="24"/>
                <w:szCs w:val="21"/>
              </w:rPr>
              <w:t>/</w:t>
            </w:r>
          </w:p>
        </w:tc>
        <w:tc>
          <w:tcPr>
            <w:tcW w:w="760" w:type="dxa"/>
            <w:vAlign w:val="center"/>
          </w:tcPr>
          <w:p w14:paraId="284BCCAA">
            <w:pPr>
              <w:jc w:val="center"/>
              <w:rPr>
                <w:rFonts w:ascii="宋体" w:hAnsi="宋体" w:cs="宋体"/>
                <w:bCs/>
                <w:sz w:val="24"/>
                <w:szCs w:val="21"/>
              </w:rPr>
            </w:pPr>
            <w:r>
              <w:rPr>
                <w:rFonts w:hint="eastAsia" w:ascii="宋体" w:hAnsi="宋体" w:cs="宋体"/>
                <w:bCs/>
                <w:sz w:val="24"/>
                <w:szCs w:val="21"/>
              </w:rPr>
              <w:t>/</w:t>
            </w:r>
          </w:p>
        </w:tc>
      </w:tr>
      <w:tr w14:paraId="7C8D7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31" w:type="dxa"/>
            <w:vAlign w:val="center"/>
          </w:tcPr>
          <w:p w14:paraId="5A72E5CC">
            <w:pPr>
              <w:jc w:val="center"/>
              <w:rPr>
                <w:rFonts w:ascii="宋体" w:hAnsi="宋体" w:cs="宋体"/>
                <w:bCs/>
                <w:sz w:val="24"/>
                <w:szCs w:val="21"/>
              </w:rPr>
            </w:pPr>
            <w:r>
              <w:rPr>
                <w:rFonts w:hint="eastAsia" w:ascii="宋体" w:hAnsi="宋体" w:cs="宋体"/>
                <w:bCs/>
                <w:sz w:val="24"/>
                <w:szCs w:val="21"/>
              </w:rPr>
              <w:t>3</w:t>
            </w:r>
          </w:p>
        </w:tc>
        <w:tc>
          <w:tcPr>
            <w:tcW w:w="2977" w:type="dxa"/>
            <w:gridSpan w:val="3"/>
            <w:vAlign w:val="center"/>
          </w:tcPr>
          <w:p w14:paraId="33E94CDD">
            <w:pPr>
              <w:shd w:val="clear" w:color="auto" w:fill="FFFFFF"/>
              <w:spacing w:line="330" w:lineRule="atLeast"/>
              <w:jc w:val="center"/>
              <w:rPr>
                <w:rFonts w:ascii="宋体" w:hAnsi="宋体" w:cs="宋体"/>
                <w:bCs/>
                <w:sz w:val="24"/>
                <w:szCs w:val="21"/>
              </w:rPr>
            </w:pPr>
            <w:r>
              <w:rPr>
                <w:rFonts w:hint="eastAsia" w:ascii="宋体" w:hAnsi="宋体" w:cs="宋体"/>
                <w:bCs/>
                <w:sz w:val="24"/>
              </w:rPr>
              <w:t>主设备与控制台连接线</w:t>
            </w:r>
          </w:p>
        </w:tc>
        <w:tc>
          <w:tcPr>
            <w:tcW w:w="850" w:type="dxa"/>
            <w:vAlign w:val="center"/>
          </w:tcPr>
          <w:p w14:paraId="267CD4B4">
            <w:pPr>
              <w:spacing w:line="276" w:lineRule="auto"/>
              <w:jc w:val="center"/>
              <w:rPr>
                <w:rFonts w:ascii="宋体" w:hAnsi="宋体" w:cs="宋体"/>
                <w:bCs/>
                <w:sz w:val="24"/>
                <w:szCs w:val="21"/>
              </w:rPr>
            </w:pPr>
            <w:r>
              <w:rPr>
                <w:rFonts w:hint="eastAsia" w:ascii="宋体" w:hAnsi="宋体" w:cs="宋体"/>
                <w:bCs/>
                <w:sz w:val="24"/>
                <w:szCs w:val="21"/>
              </w:rPr>
              <w:t>国产</w:t>
            </w:r>
          </w:p>
        </w:tc>
        <w:tc>
          <w:tcPr>
            <w:tcW w:w="709" w:type="dxa"/>
            <w:gridSpan w:val="2"/>
            <w:vAlign w:val="center"/>
          </w:tcPr>
          <w:p w14:paraId="6B11B50B">
            <w:pPr>
              <w:spacing w:line="276" w:lineRule="auto"/>
              <w:jc w:val="center"/>
              <w:rPr>
                <w:rFonts w:ascii="宋体" w:hAnsi="宋体" w:cs="宋体"/>
                <w:bCs/>
                <w:sz w:val="24"/>
                <w:szCs w:val="21"/>
              </w:rPr>
            </w:pPr>
            <w:r>
              <w:rPr>
                <w:rFonts w:hint="eastAsia" w:ascii="宋体" w:hAnsi="宋体" w:cs="宋体"/>
                <w:bCs/>
                <w:sz w:val="24"/>
                <w:szCs w:val="21"/>
              </w:rPr>
              <w:t>3</w:t>
            </w:r>
          </w:p>
        </w:tc>
        <w:tc>
          <w:tcPr>
            <w:tcW w:w="709" w:type="dxa"/>
            <w:vAlign w:val="center"/>
          </w:tcPr>
          <w:p w14:paraId="1975852A">
            <w:pPr>
              <w:shd w:val="clear" w:color="auto" w:fill="FFFFFF"/>
              <w:spacing w:line="330" w:lineRule="atLeast"/>
              <w:jc w:val="center"/>
              <w:rPr>
                <w:rFonts w:ascii="宋体" w:hAnsi="宋体" w:cs="宋体"/>
                <w:bCs/>
                <w:sz w:val="24"/>
                <w:szCs w:val="21"/>
              </w:rPr>
            </w:pPr>
            <w:r>
              <w:rPr>
                <w:rFonts w:hint="eastAsia" w:ascii="宋体" w:hAnsi="宋体" w:cs="宋体"/>
                <w:bCs/>
                <w:color w:val="000000"/>
                <w:sz w:val="24"/>
              </w:rPr>
              <w:t>条</w:t>
            </w:r>
          </w:p>
        </w:tc>
        <w:tc>
          <w:tcPr>
            <w:tcW w:w="1275" w:type="dxa"/>
            <w:gridSpan w:val="3"/>
            <w:vAlign w:val="center"/>
          </w:tcPr>
          <w:p w14:paraId="79F3BF53">
            <w:pPr>
              <w:jc w:val="center"/>
              <w:rPr>
                <w:rFonts w:ascii="宋体" w:hAnsi="宋体" w:cs="宋体"/>
                <w:bCs/>
                <w:sz w:val="24"/>
                <w:szCs w:val="21"/>
              </w:rPr>
            </w:pPr>
            <w:r>
              <w:rPr>
                <w:rFonts w:hint="eastAsia" w:ascii="宋体" w:hAnsi="宋体" w:cs="宋体"/>
                <w:bCs/>
                <w:sz w:val="24"/>
              </w:rPr>
              <w:t>/</w:t>
            </w:r>
          </w:p>
        </w:tc>
        <w:tc>
          <w:tcPr>
            <w:tcW w:w="1276" w:type="dxa"/>
            <w:vAlign w:val="center"/>
          </w:tcPr>
          <w:p w14:paraId="7A757447">
            <w:pPr>
              <w:spacing w:line="276" w:lineRule="auto"/>
              <w:jc w:val="center"/>
              <w:rPr>
                <w:rFonts w:ascii="宋体" w:hAnsi="宋体" w:cs="宋体"/>
                <w:bCs/>
                <w:sz w:val="24"/>
                <w:szCs w:val="21"/>
              </w:rPr>
            </w:pPr>
            <w:r>
              <w:rPr>
                <w:rFonts w:hint="eastAsia" w:ascii="宋体" w:hAnsi="宋体" w:cs="宋体"/>
                <w:bCs/>
                <w:sz w:val="24"/>
              </w:rPr>
              <w:t>/</w:t>
            </w:r>
          </w:p>
        </w:tc>
        <w:tc>
          <w:tcPr>
            <w:tcW w:w="839" w:type="dxa"/>
            <w:gridSpan w:val="2"/>
            <w:vAlign w:val="center"/>
          </w:tcPr>
          <w:p w14:paraId="15406CB1">
            <w:pPr>
              <w:jc w:val="center"/>
              <w:rPr>
                <w:rFonts w:ascii="宋体" w:hAnsi="宋体" w:cs="宋体"/>
                <w:bCs/>
                <w:sz w:val="24"/>
                <w:szCs w:val="21"/>
              </w:rPr>
            </w:pPr>
            <w:r>
              <w:rPr>
                <w:rFonts w:hint="eastAsia" w:ascii="宋体" w:hAnsi="宋体" w:cs="宋体"/>
                <w:bCs/>
                <w:sz w:val="24"/>
                <w:szCs w:val="21"/>
              </w:rPr>
              <w:t>/</w:t>
            </w:r>
          </w:p>
        </w:tc>
        <w:tc>
          <w:tcPr>
            <w:tcW w:w="760" w:type="dxa"/>
            <w:vAlign w:val="center"/>
          </w:tcPr>
          <w:p w14:paraId="5C2BF397">
            <w:pPr>
              <w:jc w:val="center"/>
              <w:rPr>
                <w:rFonts w:ascii="宋体" w:hAnsi="宋体" w:cs="宋体"/>
                <w:bCs/>
                <w:sz w:val="24"/>
                <w:szCs w:val="21"/>
              </w:rPr>
            </w:pPr>
            <w:r>
              <w:rPr>
                <w:rFonts w:hint="eastAsia" w:ascii="宋体" w:hAnsi="宋体" w:cs="宋体"/>
                <w:bCs/>
                <w:sz w:val="24"/>
                <w:szCs w:val="21"/>
              </w:rPr>
              <w:t>/</w:t>
            </w:r>
          </w:p>
        </w:tc>
      </w:tr>
    </w:tbl>
    <w:p w14:paraId="3CE7899D">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C0750A0">
      <w:pPr>
        <w:pStyle w:val="17"/>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50B66FCB">
      <w:pPr>
        <w:pStyle w:val="17"/>
        <w:adjustRightInd w:val="0"/>
        <w:snapToGrid w:val="0"/>
        <w:spacing w:line="520" w:lineRule="atLeast"/>
        <w:ind w:firstLine="480"/>
        <w:rPr>
          <w:rFonts w:cs="宋体" w:asciiTheme="majorEastAsia" w:hAnsiTheme="majorEastAsia" w:eastAsiaTheme="majorEastAsia"/>
          <w:sz w:val="24"/>
        </w:rPr>
      </w:pPr>
    </w:p>
    <w:p w14:paraId="758F5560">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41773151">
      <w:pPr>
        <w:spacing w:before="240"/>
        <w:ind w:firstLine="241" w:firstLineChars="100"/>
        <w:rPr>
          <w:rFonts w:cs="方正小标宋简体" w:asciiTheme="majorEastAsia" w:hAnsiTheme="majorEastAsia" w:eastAsiaTheme="majorEastAsia"/>
          <w:sz w:val="24"/>
          <w:szCs w:val="36"/>
          <w:highlight w:val="none"/>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highlight w:val="none"/>
        </w:rPr>
        <w:t>（核心技术要求（以</w:t>
      </w:r>
      <w:r>
        <w:rPr>
          <w:rFonts w:hint="eastAsia" w:cs="宋体" w:asciiTheme="majorEastAsia" w:hAnsiTheme="majorEastAsia" w:eastAsiaTheme="majorEastAsia"/>
          <w:sz w:val="20"/>
          <w:szCs w:val="20"/>
          <w:highlight w:val="none"/>
        </w:rPr>
        <w:t>★</w:t>
      </w:r>
      <w:r>
        <w:rPr>
          <w:rFonts w:hint="eastAsia" w:cs="宋体" w:asciiTheme="majorEastAsia" w:hAnsiTheme="majorEastAsia" w:eastAsiaTheme="majorEastAsia"/>
          <w:sz w:val="20"/>
          <w:highlight w:val="none"/>
        </w:rPr>
        <w:t>号标注）为技术条款实质性要求不允许负偏离;否则将被否决。其数量≤5条，且必须有不少于3个品牌满足，并在第四部分作出承诺。）</w:t>
      </w:r>
    </w:p>
    <w:p w14:paraId="40826999">
      <w:pPr>
        <w:ind w:firstLine="360" w:firstLineChars="100"/>
        <w:rPr>
          <w:rFonts w:cs="方正小标宋简体" w:asciiTheme="majorEastAsia" w:hAnsiTheme="majorEastAsia" w:eastAsiaTheme="majorEastAsia"/>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6A5CE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23BA7810">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3EB92C4A">
            <w:pPr>
              <w:adjustRightInd w:val="0"/>
              <w:snapToGrid w:val="0"/>
              <w:jc w:val="center"/>
              <w:rPr>
                <w:rFonts w:asciiTheme="majorEastAsia" w:hAnsiTheme="majorEastAsia" w:eastAsiaTheme="majorEastAsia"/>
                <w:b/>
                <w:sz w:val="24"/>
                <w:szCs w:val="21"/>
              </w:rPr>
            </w:pPr>
          </w:p>
        </w:tc>
      </w:tr>
      <w:tr w14:paraId="1905F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43C3DDC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12E7DD1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4245C96E">
            <w:pPr>
              <w:jc w:val="center"/>
              <w:rPr>
                <w:rFonts w:hint="eastAsia" w:asciiTheme="majorEastAsia" w:hAnsiTheme="majorEastAsia" w:eastAsiaTheme="majorEastAsia"/>
                <w:b/>
                <w:sz w:val="24"/>
                <w:szCs w:val="21"/>
                <w:lang w:eastAsia="zh-CN"/>
              </w:rPr>
            </w:pPr>
            <w:r>
              <w:rPr>
                <w:rFonts w:hint="eastAsia" w:asciiTheme="majorEastAsia" w:hAnsiTheme="majorEastAsia" w:eastAsiaTheme="majorEastAsia"/>
                <w:b/>
                <w:sz w:val="24"/>
                <w:szCs w:val="21"/>
              </w:rPr>
              <w:t>技术要求</w:t>
            </w:r>
          </w:p>
        </w:tc>
        <w:tc>
          <w:tcPr>
            <w:tcW w:w="817" w:type="dxa"/>
            <w:vAlign w:val="center"/>
          </w:tcPr>
          <w:p w14:paraId="219DC53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1AB1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6F009FB0">
            <w:pPr>
              <w:adjustRightInd w:val="0"/>
              <w:snapToGrid w:val="0"/>
              <w:rPr>
                <w:rFonts w:asciiTheme="majorEastAsia" w:hAnsiTheme="majorEastAsia" w:eastAsiaTheme="majorEastAsia"/>
                <w:b/>
                <w:sz w:val="24"/>
                <w:szCs w:val="21"/>
              </w:rPr>
            </w:pPr>
            <w:bookmarkStart w:id="0" w:name="_GoBack" w:colFirst="1" w:colLast="1"/>
            <w:r>
              <w:rPr>
                <w:rFonts w:hint="eastAsia" w:asciiTheme="majorEastAsia" w:hAnsiTheme="majorEastAsia" w:eastAsiaTheme="majorEastAsia"/>
                <w:b/>
                <w:sz w:val="24"/>
                <w:szCs w:val="21"/>
              </w:rPr>
              <w:t>1</w:t>
            </w:r>
          </w:p>
        </w:tc>
        <w:tc>
          <w:tcPr>
            <w:tcW w:w="935" w:type="dxa"/>
            <w:vMerge w:val="restart"/>
          </w:tcPr>
          <w:p w14:paraId="1FEC3B23">
            <w:pPr>
              <w:adjustRightInd w:val="0"/>
              <w:snapToGrid w:val="0"/>
              <w:jc w:val="center"/>
              <w:rPr>
                <w:rFonts w:asciiTheme="majorEastAsia" w:hAnsiTheme="majorEastAsia" w:eastAsiaTheme="majorEastAsia"/>
                <w:b/>
                <w:sz w:val="24"/>
                <w:szCs w:val="21"/>
              </w:rPr>
            </w:pPr>
            <w:r>
              <w:rPr>
                <w:rFonts w:hint="eastAsia" w:ascii="宋体" w:hAnsi="宋体" w:cs="宋体"/>
                <w:bCs/>
                <w:sz w:val="24"/>
                <w:szCs w:val="21"/>
              </w:rPr>
              <w:t>电脑熏蒸治疗仪</w:t>
            </w:r>
          </w:p>
        </w:tc>
        <w:tc>
          <w:tcPr>
            <w:tcW w:w="7564" w:type="dxa"/>
            <w:gridSpan w:val="2"/>
          </w:tcPr>
          <w:p w14:paraId="68F8628F">
            <w:pPr>
              <w:rPr>
                <w:rFonts w:asciiTheme="majorEastAsia" w:hAnsiTheme="majorEastAsia" w:eastAsiaTheme="majorEastAsia"/>
                <w:bCs/>
                <w:sz w:val="22"/>
                <w:szCs w:val="22"/>
              </w:rPr>
            </w:pPr>
            <w:r>
              <w:rPr>
                <w:rFonts w:hint="eastAsia" w:ascii="宋体" w:hAnsi="宋体"/>
                <w:sz w:val="22"/>
                <w:szCs w:val="22"/>
              </w:rPr>
              <w:t>1、床体材质为双层保温材质，并配有回凝水排流收集装置，防止污物和回凝水回流至药液中，防止交叉感染；</w:t>
            </w:r>
            <w:r>
              <w:rPr>
                <w:rFonts w:ascii="宋体" w:hAnsi="宋体"/>
                <w:b/>
                <w:sz w:val="22"/>
                <w:szCs w:val="22"/>
              </w:rPr>
              <w:t xml:space="preserve"> </w:t>
            </w:r>
          </w:p>
        </w:tc>
        <w:tc>
          <w:tcPr>
            <w:tcW w:w="817" w:type="dxa"/>
          </w:tcPr>
          <w:p w14:paraId="27179EB1">
            <w:pPr>
              <w:adjustRightInd w:val="0"/>
              <w:snapToGrid w:val="0"/>
              <w:rPr>
                <w:rFonts w:asciiTheme="majorEastAsia" w:hAnsiTheme="majorEastAsia" w:eastAsiaTheme="majorEastAsia"/>
                <w:b/>
                <w:sz w:val="24"/>
                <w:szCs w:val="21"/>
              </w:rPr>
            </w:pPr>
          </w:p>
        </w:tc>
      </w:tr>
      <w:bookmarkEnd w:id="0"/>
      <w:tr w14:paraId="6F73B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7D883C00">
            <w:pPr>
              <w:adjustRightInd w:val="0"/>
              <w:snapToGrid w:val="0"/>
              <w:rPr>
                <w:rFonts w:asciiTheme="majorEastAsia" w:hAnsiTheme="majorEastAsia" w:eastAsiaTheme="majorEastAsia"/>
                <w:b/>
                <w:sz w:val="24"/>
                <w:szCs w:val="21"/>
              </w:rPr>
            </w:pPr>
          </w:p>
        </w:tc>
        <w:tc>
          <w:tcPr>
            <w:tcW w:w="935" w:type="dxa"/>
            <w:vMerge w:val="continue"/>
            <w:tcBorders/>
          </w:tcPr>
          <w:p w14:paraId="697846C5">
            <w:pPr>
              <w:adjustRightInd w:val="0"/>
              <w:snapToGrid w:val="0"/>
              <w:rPr>
                <w:rFonts w:asciiTheme="majorEastAsia" w:hAnsiTheme="majorEastAsia" w:eastAsiaTheme="majorEastAsia"/>
                <w:b/>
                <w:sz w:val="24"/>
                <w:szCs w:val="21"/>
              </w:rPr>
            </w:pPr>
          </w:p>
        </w:tc>
        <w:tc>
          <w:tcPr>
            <w:tcW w:w="7564" w:type="dxa"/>
            <w:gridSpan w:val="2"/>
          </w:tcPr>
          <w:p w14:paraId="4510778C">
            <w:pPr>
              <w:spacing w:line="360" w:lineRule="auto"/>
              <w:rPr>
                <w:rFonts w:ascii="宋体" w:hAnsi="宋体" w:cs="宋体"/>
                <w:bCs/>
                <w:color w:val="000000" w:themeColor="text1"/>
                <w:sz w:val="22"/>
                <w:szCs w:val="22"/>
              </w:rPr>
            </w:pPr>
            <w:r>
              <w:rPr>
                <w:rFonts w:hint="eastAsia" w:ascii="宋体" w:hAnsi="宋体"/>
                <w:sz w:val="22"/>
                <w:szCs w:val="22"/>
              </w:rPr>
              <w:t>2、配有漏电、过电流自动保护空气开关；</w:t>
            </w:r>
          </w:p>
        </w:tc>
        <w:tc>
          <w:tcPr>
            <w:tcW w:w="817" w:type="dxa"/>
          </w:tcPr>
          <w:p w14:paraId="3857E043">
            <w:pPr>
              <w:spacing w:line="276" w:lineRule="auto"/>
              <w:rPr>
                <w:rFonts w:asciiTheme="majorEastAsia" w:hAnsiTheme="majorEastAsia" w:eastAsiaTheme="majorEastAsia"/>
                <w:b/>
                <w:sz w:val="24"/>
                <w:szCs w:val="21"/>
              </w:rPr>
            </w:pPr>
          </w:p>
        </w:tc>
      </w:tr>
      <w:tr w14:paraId="60EA0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50CEE5A9">
            <w:pPr>
              <w:adjustRightInd w:val="0"/>
              <w:snapToGrid w:val="0"/>
              <w:rPr>
                <w:rFonts w:asciiTheme="majorEastAsia" w:hAnsiTheme="majorEastAsia" w:eastAsiaTheme="majorEastAsia"/>
                <w:b/>
                <w:sz w:val="24"/>
                <w:szCs w:val="21"/>
              </w:rPr>
            </w:pPr>
          </w:p>
        </w:tc>
        <w:tc>
          <w:tcPr>
            <w:tcW w:w="935" w:type="dxa"/>
            <w:vMerge w:val="continue"/>
            <w:tcBorders/>
          </w:tcPr>
          <w:p w14:paraId="427557CD">
            <w:pPr>
              <w:adjustRightInd w:val="0"/>
              <w:snapToGrid w:val="0"/>
              <w:rPr>
                <w:rFonts w:asciiTheme="majorEastAsia" w:hAnsiTheme="majorEastAsia" w:eastAsiaTheme="majorEastAsia"/>
                <w:b/>
                <w:sz w:val="24"/>
                <w:szCs w:val="21"/>
              </w:rPr>
            </w:pPr>
          </w:p>
        </w:tc>
        <w:tc>
          <w:tcPr>
            <w:tcW w:w="7564" w:type="dxa"/>
            <w:gridSpan w:val="2"/>
          </w:tcPr>
          <w:p w14:paraId="4D627422">
            <w:pPr>
              <w:spacing w:line="360" w:lineRule="auto"/>
              <w:rPr>
                <w:rFonts w:ascii="宋体" w:hAnsi="宋体" w:cs="宋体"/>
                <w:bCs/>
                <w:color w:val="000000" w:themeColor="text1"/>
                <w:sz w:val="22"/>
                <w:szCs w:val="22"/>
              </w:rPr>
            </w:pPr>
            <w:r>
              <w:rPr>
                <w:rFonts w:hint="eastAsia" w:ascii="宋体" w:hAnsi="宋体"/>
                <w:color w:val="000000"/>
                <w:sz w:val="22"/>
                <w:szCs w:val="22"/>
              </w:rPr>
              <w:t>3、配有超温报警、干锅报警、传感器故障报警保护功能，并智能显示；</w:t>
            </w:r>
          </w:p>
        </w:tc>
        <w:tc>
          <w:tcPr>
            <w:tcW w:w="817" w:type="dxa"/>
          </w:tcPr>
          <w:p w14:paraId="1582BBBC">
            <w:pPr>
              <w:spacing w:line="276" w:lineRule="auto"/>
              <w:rPr>
                <w:rFonts w:asciiTheme="majorEastAsia" w:hAnsiTheme="majorEastAsia" w:eastAsiaTheme="majorEastAsia"/>
                <w:b/>
                <w:sz w:val="24"/>
                <w:szCs w:val="21"/>
              </w:rPr>
            </w:pPr>
          </w:p>
        </w:tc>
      </w:tr>
      <w:tr w14:paraId="26258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46FF3E3C">
            <w:pPr>
              <w:adjustRightInd w:val="0"/>
              <w:snapToGrid w:val="0"/>
              <w:rPr>
                <w:rFonts w:asciiTheme="majorEastAsia" w:hAnsiTheme="majorEastAsia" w:eastAsiaTheme="majorEastAsia"/>
                <w:b/>
                <w:sz w:val="24"/>
                <w:szCs w:val="21"/>
              </w:rPr>
            </w:pPr>
          </w:p>
        </w:tc>
        <w:tc>
          <w:tcPr>
            <w:tcW w:w="935" w:type="dxa"/>
            <w:vMerge w:val="continue"/>
            <w:tcBorders/>
          </w:tcPr>
          <w:p w14:paraId="5BEACCBA">
            <w:pPr>
              <w:adjustRightInd w:val="0"/>
              <w:snapToGrid w:val="0"/>
              <w:rPr>
                <w:rFonts w:asciiTheme="majorEastAsia" w:hAnsiTheme="majorEastAsia" w:eastAsiaTheme="majorEastAsia"/>
                <w:b/>
                <w:sz w:val="24"/>
                <w:szCs w:val="21"/>
              </w:rPr>
            </w:pPr>
          </w:p>
        </w:tc>
        <w:tc>
          <w:tcPr>
            <w:tcW w:w="7564" w:type="dxa"/>
            <w:gridSpan w:val="2"/>
          </w:tcPr>
          <w:p w14:paraId="09D0D479">
            <w:pPr>
              <w:spacing w:line="360" w:lineRule="auto"/>
              <w:rPr>
                <w:rFonts w:ascii="宋体" w:hAnsi="宋体" w:cs="宋体"/>
                <w:bCs/>
                <w:color w:val="000000" w:themeColor="text1"/>
                <w:sz w:val="22"/>
                <w:szCs w:val="22"/>
                <w:highlight w:val="none"/>
              </w:rPr>
            </w:pPr>
            <w:r>
              <w:rPr>
                <w:rFonts w:hint="eastAsia" w:ascii="宋体" w:hAnsi="宋体"/>
                <w:kern w:val="0"/>
                <w:sz w:val="22"/>
                <w:szCs w:val="22"/>
                <w:highlight w:val="none"/>
              </w:rPr>
              <w:t>4、采用机电分离式全电脑控制；</w:t>
            </w:r>
          </w:p>
        </w:tc>
        <w:tc>
          <w:tcPr>
            <w:tcW w:w="817" w:type="dxa"/>
          </w:tcPr>
          <w:p w14:paraId="3FA62919">
            <w:pPr>
              <w:spacing w:line="276" w:lineRule="auto"/>
              <w:rPr>
                <w:rFonts w:asciiTheme="majorEastAsia" w:hAnsiTheme="majorEastAsia" w:eastAsiaTheme="majorEastAsia"/>
                <w:b/>
                <w:sz w:val="24"/>
                <w:szCs w:val="21"/>
              </w:rPr>
            </w:pPr>
          </w:p>
        </w:tc>
      </w:tr>
      <w:tr w14:paraId="32FE0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26CE67EE">
            <w:pPr>
              <w:adjustRightInd w:val="0"/>
              <w:snapToGrid w:val="0"/>
              <w:rPr>
                <w:rFonts w:asciiTheme="majorEastAsia" w:hAnsiTheme="majorEastAsia" w:eastAsiaTheme="majorEastAsia"/>
                <w:b/>
                <w:sz w:val="24"/>
                <w:szCs w:val="21"/>
              </w:rPr>
            </w:pPr>
          </w:p>
        </w:tc>
        <w:tc>
          <w:tcPr>
            <w:tcW w:w="935" w:type="dxa"/>
            <w:vMerge w:val="continue"/>
            <w:tcBorders/>
          </w:tcPr>
          <w:p w14:paraId="08A86623">
            <w:pPr>
              <w:adjustRightInd w:val="0"/>
              <w:snapToGrid w:val="0"/>
              <w:rPr>
                <w:rFonts w:asciiTheme="majorEastAsia" w:hAnsiTheme="majorEastAsia" w:eastAsiaTheme="majorEastAsia"/>
                <w:b/>
                <w:sz w:val="24"/>
                <w:szCs w:val="21"/>
              </w:rPr>
            </w:pPr>
          </w:p>
        </w:tc>
        <w:tc>
          <w:tcPr>
            <w:tcW w:w="7564" w:type="dxa"/>
            <w:gridSpan w:val="2"/>
          </w:tcPr>
          <w:p w14:paraId="712614F1">
            <w:pPr>
              <w:rPr>
                <w:rFonts w:ascii="宋体" w:hAnsi="宋体" w:cs="宋体"/>
                <w:bCs/>
                <w:color w:val="000000"/>
                <w:sz w:val="22"/>
                <w:szCs w:val="22"/>
                <w:highlight w:val="none"/>
              </w:rPr>
            </w:pPr>
            <w:r>
              <w:rPr>
                <w:rFonts w:hint="eastAsia" w:ascii="宋体" w:hAnsi="宋体"/>
                <w:sz w:val="22"/>
                <w:szCs w:val="22"/>
                <w:highlight w:val="none"/>
              </w:rPr>
              <w:t>5、腔体</w:t>
            </w:r>
            <w:r>
              <w:rPr>
                <w:rFonts w:hint="eastAsia" w:ascii="宋体" w:hAnsi="宋体"/>
                <w:sz w:val="22"/>
                <w:szCs w:val="22"/>
                <w:highlight w:val="none"/>
                <w:lang w:val="en-US" w:eastAsia="zh-CN"/>
              </w:rPr>
              <w:t>供</w:t>
            </w:r>
            <w:r>
              <w:rPr>
                <w:rFonts w:hint="eastAsia" w:ascii="宋体" w:hAnsi="宋体"/>
                <w:sz w:val="22"/>
                <w:szCs w:val="22"/>
                <w:highlight w:val="none"/>
              </w:rPr>
              <w:t>汽，“汽”、“电”隔离；</w:t>
            </w:r>
          </w:p>
        </w:tc>
        <w:tc>
          <w:tcPr>
            <w:tcW w:w="817" w:type="dxa"/>
          </w:tcPr>
          <w:p w14:paraId="26DD320D">
            <w:pPr>
              <w:spacing w:line="276" w:lineRule="auto"/>
              <w:rPr>
                <w:rFonts w:asciiTheme="majorEastAsia" w:hAnsiTheme="majorEastAsia" w:eastAsiaTheme="majorEastAsia"/>
                <w:b/>
                <w:sz w:val="24"/>
                <w:szCs w:val="21"/>
                <w:highlight w:val="cyan"/>
              </w:rPr>
            </w:pPr>
          </w:p>
        </w:tc>
      </w:tr>
      <w:tr w14:paraId="61CBA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626F230F">
            <w:pPr>
              <w:adjustRightInd w:val="0"/>
              <w:snapToGrid w:val="0"/>
              <w:rPr>
                <w:rFonts w:asciiTheme="majorEastAsia" w:hAnsiTheme="majorEastAsia" w:eastAsiaTheme="majorEastAsia"/>
                <w:b/>
                <w:sz w:val="24"/>
                <w:szCs w:val="21"/>
              </w:rPr>
            </w:pPr>
          </w:p>
        </w:tc>
        <w:tc>
          <w:tcPr>
            <w:tcW w:w="935" w:type="dxa"/>
            <w:vMerge w:val="continue"/>
            <w:tcBorders/>
          </w:tcPr>
          <w:p w14:paraId="0E097D18">
            <w:pPr>
              <w:adjustRightInd w:val="0"/>
              <w:snapToGrid w:val="0"/>
              <w:rPr>
                <w:rFonts w:asciiTheme="majorEastAsia" w:hAnsiTheme="majorEastAsia" w:eastAsiaTheme="majorEastAsia"/>
                <w:b/>
                <w:sz w:val="24"/>
                <w:szCs w:val="21"/>
              </w:rPr>
            </w:pPr>
          </w:p>
        </w:tc>
        <w:tc>
          <w:tcPr>
            <w:tcW w:w="7564" w:type="dxa"/>
            <w:gridSpan w:val="2"/>
          </w:tcPr>
          <w:p w14:paraId="0D720212">
            <w:pPr>
              <w:spacing w:line="360" w:lineRule="auto"/>
              <w:rPr>
                <w:rFonts w:ascii="宋体" w:hAnsi="宋体" w:cs="宋体"/>
                <w:bCs/>
                <w:color w:val="000000"/>
                <w:sz w:val="22"/>
                <w:szCs w:val="22"/>
              </w:rPr>
            </w:pPr>
            <w:r>
              <w:rPr>
                <w:rFonts w:hint="eastAsia" w:ascii="宋体" w:hAnsi="宋体"/>
                <w:sz w:val="22"/>
                <w:szCs w:val="22"/>
              </w:rPr>
              <w:t>6、控制系统全电脑恒温控制有九种工作模式，并具有记忆功能；</w:t>
            </w:r>
          </w:p>
        </w:tc>
        <w:tc>
          <w:tcPr>
            <w:tcW w:w="817" w:type="dxa"/>
          </w:tcPr>
          <w:p w14:paraId="0FB0C460">
            <w:pPr>
              <w:spacing w:line="276" w:lineRule="auto"/>
              <w:rPr>
                <w:rFonts w:asciiTheme="majorEastAsia" w:hAnsiTheme="majorEastAsia" w:eastAsiaTheme="majorEastAsia"/>
                <w:b/>
                <w:sz w:val="24"/>
                <w:szCs w:val="21"/>
                <w:highlight w:val="cyan"/>
              </w:rPr>
            </w:pPr>
          </w:p>
        </w:tc>
      </w:tr>
      <w:tr w14:paraId="4E98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4D97179D">
            <w:pPr>
              <w:adjustRightInd w:val="0"/>
              <w:snapToGrid w:val="0"/>
              <w:rPr>
                <w:rFonts w:asciiTheme="majorEastAsia" w:hAnsiTheme="majorEastAsia" w:eastAsiaTheme="majorEastAsia"/>
                <w:b/>
                <w:sz w:val="24"/>
                <w:szCs w:val="21"/>
              </w:rPr>
            </w:pPr>
          </w:p>
        </w:tc>
        <w:tc>
          <w:tcPr>
            <w:tcW w:w="935" w:type="dxa"/>
            <w:vMerge w:val="continue"/>
            <w:tcBorders/>
          </w:tcPr>
          <w:p w14:paraId="0D7830AA">
            <w:pPr>
              <w:adjustRightInd w:val="0"/>
              <w:snapToGrid w:val="0"/>
              <w:rPr>
                <w:rFonts w:asciiTheme="majorEastAsia" w:hAnsiTheme="majorEastAsia" w:eastAsiaTheme="majorEastAsia"/>
                <w:b/>
                <w:sz w:val="24"/>
                <w:szCs w:val="21"/>
              </w:rPr>
            </w:pPr>
          </w:p>
        </w:tc>
        <w:tc>
          <w:tcPr>
            <w:tcW w:w="7564" w:type="dxa"/>
            <w:gridSpan w:val="2"/>
          </w:tcPr>
          <w:p w14:paraId="3BA29057">
            <w:pPr>
              <w:spacing w:line="360" w:lineRule="auto"/>
              <w:rPr>
                <w:rFonts w:ascii="宋体" w:hAnsi="宋体" w:cs="宋体"/>
                <w:bCs/>
                <w:color w:val="000000"/>
                <w:sz w:val="22"/>
                <w:szCs w:val="22"/>
              </w:rPr>
            </w:pPr>
            <w:r>
              <w:rPr>
                <w:rFonts w:hint="eastAsia" w:ascii="宋体" w:hAnsi="宋体"/>
                <w:sz w:val="22"/>
                <w:szCs w:val="22"/>
              </w:rPr>
              <w:t>7、加热器采用复合式电加热盘；</w:t>
            </w:r>
          </w:p>
        </w:tc>
        <w:tc>
          <w:tcPr>
            <w:tcW w:w="817" w:type="dxa"/>
          </w:tcPr>
          <w:p w14:paraId="608ACAD2">
            <w:pPr>
              <w:spacing w:line="276" w:lineRule="auto"/>
              <w:rPr>
                <w:rFonts w:asciiTheme="majorEastAsia" w:hAnsiTheme="majorEastAsia" w:eastAsiaTheme="majorEastAsia"/>
                <w:b/>
                <w:sz w:val="24"/>
                <w:szCs w:val="21"/>
              </w:rPr>
            </w:pPr>
            <w:r>
              <w:rPr>
                <w:rFonts w:hint="eastAsia" w:ascii="宋体" w:hAnsi="宋体" w:cs="宋体"/>
                <w:b/>
                <w:sz w:val="24"/>
              </w:rPr>
              <w:t>▲</w:t>
            </w:r>
          </w:p>
        </w:tc>
      </w:tr>
      <w:tr w14:paraId="62EDD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2C3A9890">
            <w:pPr>
              <w:adjustRightInd w:val="0"/>
              <w:snapToGrid w:val="0"/>
              <w:rPr>
                <w:rFonts w:asciiTheme="majorEastAsia" w:hAnsiTheme="majorEastAsia" w:eastAsiaTheme="majorEastAsia"/>
                <w:b/>
                <w:sz w:val="24"/>
                <w:szCs w:val="21"/>
              </w:rPr>
            </w:pPr>
          </w:p>
        </w:tc>
        <w:tc>
          <w:tcPr>
            <w:tcW w:w="935" w:type="dxa"/>
            <w:vMerge w:val="continue"/>
            <w:tcBorders/>
          </w:tcPr>
          <w:p w14:paraId="6BC9C28A">
            <w:pPr>
              <w:adjustRightInd w:val="0"/>
              <w:snapToGrid w:val="0"/>
              <w:rPr>
                <w:rFonts w:asciiTheme="majorEastAsia" w:hAnsiTheme="majorEastAsia" w:eastAsiaTheme="majorEastAsia"/>
                <w:b/>
                <w:sz w:val="24"/>
                <w:szCs w:val="21"/>
              </w:rPr>
            </w:pPr>
          </w:p>
        </w:tc>
        <w:tc>
          <w:tcPr>
            <w:tcW w:w="7564" w:type="dxa"/>
            <w:gridSpan w:val="2"/>
          </w:tcPr>
          <w:p w14:paraId="7DDF575C">
            <w:pPr>
              <w:pStyle w:val="2"/>
              <w:rPr>
                <w:rFonts w:asciiTheme="majorEastAsia" w:hAnsiTheme="majorEastAsia" w:eastAsiaTheme="majorEastAsia"/>
                <w:bCs/>
                <w:sz w:val="22"/>
                <w:szCs w:val="22"/>
              </w:rPr>
            </w:pPr>
            <w:r>
              <w:rPr>
                <w:rFonts w:hint="eastAsia" w:ascii="宋体" w:hAnsi="宋体"/>
                <w:sz w:val="22"/>
                <w:szCs w:val="22"/>
              </w:rPr>
              <w:t>8</w:t>
            </w:r>
            <w:r>
              <w:rPr>
                <w:rFonts w:hint="eastAsia" w:ascii="宋体" w:hAnsi="宋体"/>
                <w:color w:val="000000"/>
                <w:sz w:val="22"/>
                <w:szCs w:val="22"/>
                <w:highlight w:val="none"/>
              </w:rPr>
              <w:t>、</w:t>
            </w:r>
            <w:r>
              <w:rPr>
                <w:rFonts w:hint="eastAsia" w:ascii="宋体" w:hAnsi="宋体"/>
                <w:color w:val="000000"/>
                <w:sz w:val="22"/>
                <w:szCs w:val="22"/>
                <w:highlight w:val="none"/>
                <w:lang w:eastAsia="zh-CN"/>
              </w:rPr>
              <w:t>抽屉式换药装置，内胆为不锈钢或更优材质，容量</w:t>
            </w:r>
            <w:r>
              <w:rPr>
                <w:rFonts w:hint="eastAsia" w:ascii="宋体" w:hAnsi="宋体"/>
                <w:color w:val="000000"/>
                <w:sz w:val="22"/>
                <w:szCs w:val="22"/>
                <w:highlight w:val="none"/>
              </w:rPr>
              <w:t>≥4000ml；</w:t>
            </w:r>
          </w:p>
        </w:tc>
        <w:tc>
          <w:tcPr>
            <w:tcW w:w="817" w:type="dxa"/>
          </w:tcPr>
          <w:p w14:paraId="283E1937">
            <w:pPr>
              <w:spacing w:line="276" w:lineRule="auto"/>
              <w:rPr>
                <w:rFonts w:asciiTheme="majorEastAsia" w:hAnsiTheme="majorEastAsia" w:eastAsiaTheme="majorEastAsia"/>
                <w:b/>
                <w:sz w:val="24"/>
                <w:szCs w:val="21"/>
              </w:rPr>
            </w:pPr>
            <w:r>
              <w:rPr>
                <w:rFonts w:hint="eastAsia" w:ascii="宋体" w:hAnsi="宋体" w:cs="宋体"/>
                <w:b/>
                <w:sz w:val="24"/>
              </w:rPr>
              <w:t>▲</w:t>
            </w:r>
          </w:p>
        </w:tc>
      </w:tr>
      <w:tr w14:paraId="35373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113C9AD9">
            <w:pPr>
              <w:adjustRightInd w:val="0"/>
              <w:snapToGrid w:val="0"/>
              <w:rPr>
                <w:rFonts w:asciiTheme="majorEastAsia" w:hAnsiTheme="majorEastAsia" w:eastAsiaTheme="majorEastAsia"/>
                <w:b/>
                <w:sz w:val="24"/>
                <w:szCs w:val="21"/>
              </w:rPr>
            </w:pPr>
          </w:p>
        </w:tc>
        <w:tc>
          <w:tcPr>
            <w:tcW w:w="935" w:type="dxa"/>
            <w:vMerge w:val="continue"/>
            <w:tcBorders/>
          </w:tcPr>
          <w:p w14:paraId="556EB732">
            <w:pPr>
              <w:adjustRightInd w:val="0"/>
              <w:snapToGrid w:val="0"/>
              <w:rPr>
                <w:rFonts w:asciiTheme="majorEastAsia" w:hAnsiTheme="majorEastAsia" w:eastAsiaTheme="majorEastAsia"/>
                <w:b/>
                <w:sz w:val="24"/>
                <w:szCs w:val="21"/>
              </w:rPr>
            </w:pPr>
          </w:p>
        </w:tc>
        <w:tc>
          <w:tcPr>
            <w:tcW w:w="7564" w:type="dxa"/>
            <w:gridSpan w:val="2"/>
          </w:tcPr>
          <w:p w14:paraId="3E550C7C">
            <w:pPr>
              <w:spacing w:line="360" w:lineRule="auto"/>
              <w:rPr>
                <w:rFonts w:asciiTheme="majorEastAsia" w:hAnsiTheme="majorEastAsia" w:eastAsiaTheme="majorEastAsia"/>
                <w:bCs/>
                <w:sz w:val="22"/>
                <w:szCs w:val="22"/>
                <w:highlight w:val="none"/>
              </w:rPr>
            </w:pPr>
            <w:r>
              <w:rPr>
                <w:rFonts w:hint="eastAsia" w:ascii="宋体" w:hAnsi="宋体"/>
                <w:color w:val="000000"/>
                <w:sz w:val="22"/>
                <w:szCs w:val="22"/>
                <w:highlight w:val="none"/>
              </w:rPr>
              <w:t>9、加热器外壳</w:t>
            </w:r>
            <w:r>
              <w:rPr>
                <w:rFonts w:hint="eastAsia" w:ascii="宋体" w:hAnsi="宋体"/>
                <w:color w:val="000000"/>
                <w:sz w:val="22"/>
                <w:szCs w:val="22"/>
                <w:highlight w:val="none"/>
                <w:lang w:eastAsia="zh-CN"/>
              </w:rPr>
              <w:t>、</w:t>
            </w:r>
            <w:r>
              <w:rPr>
                <w:rFonts w:hint="eastAsia" w:ascii="宋体" w:hAnsi="宋体"/>
                <w:color w:val="000000"/>
                <w:sz w:val="22"/>
                <w:szCs w:val="22"/>
                <w:highlight w:val="none"/>
              </w:rPr>
              <w:t>内胆及抽屉支架</w:t>
            </w:r>
            <w:r>
              <w:rPr>
                <w:rFonts w:hint="eastAsia" w:ascii="宋体" w:hAnsi="宋体"/>
                <w:color w:val="000000"/>
                <w:sz w:val="22"/>
                <w:szCs w:val="22"/>
                <w:highlight w:val="none"/>
                <w:lang w:val="en-US" w:eastAsia="zh-CN"/>
              </w:rPr>
              <w:t>材质</w:t>
            </w:r>
            <w:r>
              <w:rPr>
                <w:rFonts w:hint="eastAsia" w:ascii="宋体" w:hAnsi="宋体"/>
                <w:color w:val="000000"/>
                <w:sz w:val="22"/>
                <w:szCs w:val="22"/>
                <w:highlight w:val="none"/>
              </w:rPr>
              <w:t>均</w:t>
            </w:r>
            <w:r>
              <w:rPr>
                <w:rFonts w:hint="eastAsia" w:ascii="宋体" w:hAnsi="宋体"/>
                <w:color w:val="000000"/>
                <w:sz w:val="22"/>
                <w:szCs w:val="22"/>
                <w:highlight w:val="none"/>
                <w:lang w:val="en-US" w:eastAsia="zh-CN"/>
              </w:rPr>
              <w:t>为</w:t>
            </w:r>
            <w:r>
              <w:rPr>
                <w:rFonts w:hint="eastAsia" w:ascii="宋体" w:hAnsi="宋体"/>
                <w:color w:val="000000"/>
                <w:sz w:val="22"/>
                <w:szCs w:val="22"/>
                <w:highlight w:val="none"/>
              </w:rPr>
              <w:t>不锈钢材质</w:t>
            </w:r>
            <w:r>
              <w:rPr>
                <w:rFonts w:hint="eastAsia" w:ascii="宋体" w:hAnsi="宋体"/>
                <w:color w:val="000000"/>
                <w:sz w:val="22"/>
                <w:szCs w:val="22"/>
                <w:highlight w:val="none"/>
                <w:lang w:val="en-US" w:eastAsia="zh-CN"/>
              </w:rPr>
              <w:t>或更优材质</w:t>
            </w:r>
            <w:r>
              <w:rPr>
                <w:rFonts w:hint="eastAsia" w:ascii="宋体" w:hAnsi="宋体"/>
                <w:color w:val="000000"/>
                <w:sz w:val="22"/>
                <w:szCs w:val="22"/>
                <w:highlight w:val="none"/>
              </w:rPr>
              <w:t>；</w:t>
            </w:r>
          </w:p>
        </w:tc>
        <w:tc>
          <w:tcPr>
            <w:tcW w:w="817" w:type="dxa"/>
          </w:tcPr>
          <w:p w14:paraId="351EEBFE">
            <w:pPr>
              <w:spacing w:line="276" w:lineRule="auto"/>
              <w:rPr>
                <w:rFonts w:asciiTheme="majorEastAsia" w:hAnsiTheme="majorEastAsia" w:eastAsiaTheme="majorEastAsia"/>
                <w:b/>
                <w:sz w:val="24"/>
                <w:szCs w:val="21"/>
                <w:highlight w:val="cyan"/>
              </w:rPr>
            </w:pPr>
          </w:p>
        </w:tc>
      </w:tr>
      <w:tr w14:paraId="60B1D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4B7B43C0">
            <w:pPr>
              <w:adjustRightInd w:val="0"/>
              <w:snapToGrid w:val="0"/>
              <w:rPr>
                <w:rFonts w:asciiTheme="majorEastAsia" w:hAnsiTheme="majorEastAsia" w:eastAsiaTheme="majorEastAsia"/>
                <w:b/>
                <w:sz w:val="24"/>
                <w:szCs w:val="21"/>
              </w:rPr>
            </w:pPr>
          </w:p>
        </w:tc>
        <w:tc>
          <w:tcPr>
            <w:tcW w:w="935" w:type="dxa"/>
            <w:vMerge w:val="continue"/>
            <w:tcBorders/>
          </w:tcPr>
          <w:p w14:paraId="60C237A1">
            <w:pPr>
              <w:adjustRightInd w:val="0"/>
              <w:snapToGrid w:val="0"/>
              <w:rPr>
                <w:rFonts w:asciiTheme="majorEastAsia" w:hAnsiTheme="majorEastAsia" w:eastAsiaTheme="majorEastAsia"/>
                <w:b/>
                <w:sz w:val="24"/>
                <w:szCs w:val="21"/>
              </w:rPr>
            </w:pPr>
          </w:p>
        </w:tc>
        <w:tc>
          <w:tcPr>
            <w:tcW w:w="7564" w:type="dxa"/>
            <w:gridSpan w:val="2"/>
          </w:tcPr>
          <w:p w14:paraId="62551F8B">
            <w:pPr>
              <w:spacing w:line="360" w:lineRule="auto"/>
              <w:rPr>
                <w:rFonts w:asciiTheme="majorEastAsia" w:hAnsiTheme="majorEastAsia" w:eastAsiaTheme="majorEastAsia"/>
                <w:bCs/>
                <w:sz w:val="22"/>
                <w:szCs w:val="22"/>
                <w:highlight w:val="none"/>
              </w:rPr>
            </w:pPr>
            <w:r>
              <w:rPr>
                <w:rFonts w:hint="eastAsia" w:ascii="宋体" w:hAnsi="宋体"/>
                <w:color w:val="000000"/>
                <w:sz w:val="22"/>
                <w:szCs w:val="22"/>
                <w:highlight w:val="none"/>
              </w:rPr>
              <w:t>10、温度传感</w:t>
            </w:r>
            <w:r>
              <w:rPr>
                <w:rFonts w:hint="eastAsia" w:ascii="宋体" w:hAnsi="宋体"/>
                <w:color w:val="000000"/>
                <w:sz w:val="22"/>
                <w:szCs w:val="22"/>
                <w:highlight w:val="none"/>
                <w:lang w:val="en-US" w:eastAsia="zh-CN"/>
              </w:rPr>
              <w:t>器需</w:t>
            </w:r>
            <w:r>
              <w:rPr>
                <w:rFonts w:hint="eastAsia" w:ascii="宋体" w:hAnsi="宋体"/>
                <w:color w:val="000000"/>
                <w:sz w:val="22"/>
                <w:szCs w:val="22"/>
                <w:highlight w:val="none"/>
              </w:rPr>
              <w:t>精准测量并实时显示接近皮表的汽态温度；</w:t>
            </w:r>
          </w:p>
        </w:tc>
        <w:tc>
          <w:tcPr>
            <w:tcW w:w="817" w:type="dxa"/>
          </w:tcPr>
          <w:p w14:paraId="25AB6E45">
            <w:pPr>
              <w:spacing w:line="276" w:lineRule="auto"/>
              <w:rPr>
                <w:rFonts w:asciiTheme="majorEastAsia" w:hAnsiTheme="majorEastAsia" w:eastAsiaTheme="majorEastAsia"/>
                <w:b/>
                <w:sz w:val="24"/>
                <w:szCs w:val="21"/>
                <w:highlight w:val="cyan"/>
              </w:rPr>
            </w:pPr>
          </w:p>
        </w:tc>
      </w:tr>
      <w:tr w14:paraId="10E23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5B68C89C">
            <w:pPr>
              <w:adjustRightInd w:val="0"/>
              <w:snapToGrid w:val="0"/>
              <w:rPr>
                <w:rFonts w:asciiTheme="majorEastAsia" w:hAnsiTheme="majorEastAsia" w:eastAsiaTheme="majorEastAsia"/>
                <w:b/>
                <w:sz w:val="24"/>
                <w:szCs w:val="21"/>
              </w:rPr>
            </w:pPr>
          </w:p>
        </w:tc>
        <w:tc>
          <w:tcPr>
            <w:tcW w:w="935" w:type="dxa"/>
            <w:vMerge w:val="continue"/>
            <w:tcBorders/>
          </w:tcPr>
          <w:p w14:paraId="5841D541">
            <w:pPr>
              <w:adjustRightInd w:val="0"/>
              <w:snapToGrid w:val="0"/>
              <w:rPr>
                <w:rFonts w:asciiTheme="majorEastAsia" w:hAnsiTheme="majorEastAsia" w:eastAsiaTheme="majorEastAsia"/>
                <w:b/>
                <w:sz w:val="24"/>
                <w:szCs w:val="21"/>
              </w:rPr>
            </w:pPr>
          </w:p>
        </w:tc>
        <w:tc>
          <w:tcPr>
            <w:tcW w:w="7564" w:type="dxa"/>
            <w:gridSpan w:val="2"/>
          </w:tcPr>
          <w:p w14:paraId="24A8A466">
            <w:pPr>
              <w:rPr>
                <w:rFonts w:asciiTheme="majorEastAsia" w:hAnsiTheme="majorEastAsia" w:eastAsiaTheme="majorEastAsia"/>
                <w:bCs/>
                <w:sz w:val="22"/>
                <w:szCs w:val="22"/>
                <w:highlight w:val="none"/>
              </w:rPr>
            </w:pPr>
            <w:r>
              <w:rPr>
                <w:rFonts w:hint="eastAsia" w:ascii="宋体" w:hAnsi="宋体"/>
                <w:sz w:val="22"/>
                <w:szCs w:val="22"/>
                <w:highlight w:val="none"/>
              </w:rPr>
              <w:t>11、熏蒸配备（主要功能）：颈、肩、胸、背、腰、腹、骶部</w:t>
            </w:r>
            <w:r>
              <w:rPr>
                <w:rFonts w:hint="eastAsia" w:ascii="宋体" w:hAnsi="宋体"/>
                <w:sz w:val="22"/>
                <w:szCs w:val="22"/>
                <w:highlight w:val="none"/>
                <w:lang w:eastAsia="zh-CN"/>
              </w:rPr>
              <w:t>，</w:t>
            </w:r>
            <w:r>
              <w:rPr>
                <w:rFonts w:hint="eastAsia" w:ascii="宋体" w:hAnsi="宋体"/>
                <w:sz w:val="22"/>
                <w:szCs w:val="22"/>
                <w:highlight w:val="none"/>
              </w:rPr>
              <w:t>双膝等</w:t>
            </w:r>
            <w:r>
              <w:rPr>
                <w:rFonts w:hint="eastAsia" w:ascii="宋体" w:hAnsi="宋体"/>
                <w:sz w:val="22"/>
                <w:szCs w:val="22"/>
                <w:highlight w:val="none"/>
                <w:lang w:val="en-US" w:eastAsia="zh-CN"/>
              </w:rPr>
              <w:t>局</w:t>
            </w:r>
            <w:r>
              <w:rPr>
                <w:rFonts w:hint="eastAsia" w:ascii="宋体" w:hAnsi="宋体"/>
                <w:sz w:val="22"/>
                <w:szCs w:val="22"/>
                <w:highlight w:val="none"/>
              </w:rPr>
              <w:t>部及</w:t>
            </w:r>
            <w:r>
              <w:rPr>
                <w:rFonts w:hint="eastAsia" w:ascii="宋体" w:hAnsi="宋体"/>
                <w:sz w:val="22"/>
                <w:szCs w:val="22"/>
                <w:highlight w:val="none"/>
                <w:lang w:val="en-US" w:eastAsia="zh-CN"/>
              </w:rPr>
              <w:t>多部位同时熏蒸治疗</w:t>
            </w:r>
            <w:r>
              <w:rPr>
                <w:rFonts w:hint="eastAsia" w:ascii="宋体" w:hAnsi="宋体"/>
                <w:sz w:val="22"/>
                <w:szCs w:val="22"/>
                <w:highlight w:val="none"/>
              </w:rPr>
              <w:t>；</w:t>
            </w:r>
          </w:p>
        </w:tc>
        <w:tc>
          <w:tcPr>
            <w:tcW w:w="817" w:type="dxa"/>
          </w:tcPr>
          <w:p w14:paraId="0B38F173">
            <w:pPr>
              <w:spacing w:line="276" w:lineRule="auto"/>
              <w:rPr>
                <w:rFonts w:asciiTheme="majorEastAsia" w:hAnsiTheme="majorEastAsia" w:eastAsiaTheme="majorEastAsia"/>
                <w:b/>
                <w:sz w:val="24"/>
                <w:szCs w:val="21"/>
                <w:highlight w:val="cyan"/>
              </w:rPr>
            </w:pPr>
          </w:p>
        </w:tc>
      </w:tr>
      <w:tr w14:paraId="3F7F2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10A01A9F">
            <w:pPr>
              <w:adjustRightInd w:val="0"/>
              <w:snapToGrid w:val="0"/>
              <w:rPr>
                <w:rFonts w:asciiTheme="majorEastAsia" w:hAnsiTheme="majorEastAsia" w:eastAsiaTheme="majorEastAsia"/>
                <w:b/>
                <w:sz w:val="24"/>
                <w:szCs w:val="21"/>
              </w:rPr>
            </w:pPr>
          </w:p>
        </w:tc>
        <w:tc>
          <w:tcPr>
            <w:tcW w:w="935" w:type="dxa"/>
            <w:vMerge w:val="continue"/>
            <w:tcBorders/>
          </w:tcPr>
          <w:p w14:paraId="50FB0267">
            <w:pPr>
              <w:adjustRightInd w:val="0"/>
              <w:snapToGrid w:val="0"/>
              <w:rPr>
                <w:rFonts w:asciiTheme="majorEastAsia" w:hAnsiTheme="majorEastAsia" w:eastAsiaTheme="majorEastAsia"/>
                <w:b/>
                <w:sz w:val="24"/>
                <w:szCs w:val="21"/>
              </w:rPr>
            </w:pPr>
          </w:p>
        </w:tc>
        <w:tc>
          <w:tcPr>
            <w:tcW w:w="7564" w:type="dxa"/>
            <w:gridSpan w:val="2"/>
          </w:tcPr>
          <w:p w14:paraId="2983516A">
            <w:pPr>
              <w:spacing w:line="360" w:lineRule="auto"/>
              <w:rPr>
                <w:rFonts w:asciiTheme="majorEastAsia" w:hAnsiTheme="majorEastAsia" w:eastAsiaTheme="majorEastAsia"/>
                <w:bCs/>
                <w:sz w:val="22"/>
                <w:szCs w:val="22"/>
              </w:rPr>
            </w:pPr>
            <w:r>
              <w:rPr>
                <w:rFonts w:hint="eastAsia" w:ascii="宋体" w:hAnsi="宋体"/>
                <w:sz w:val="22"/>
                <w:szCs w:val="22"/>
              </w:rPr>
              <w:t>1</w:t>
            </w:r>
            <w:r>
              <w:rPr>
                <w:rFonts w:hint="eastAsia" w:ascii="宋体" w:hAnsi="宋体"/>
                <w:sz w:val="22"/>
                <w:szCs w:val="22"/>
                <w:lang w:val="en-US" w:eastAsia="zh-CN"/>
              </w:rPr>
              <w:t>2</w:t>
            </w:r>
            <w:r>
              <w:rPr>
                <w:rFonts w:hint="eastAsia" w:ascii="宋体" w:hAnsi="宋体"/>
                <w:sz w:val="22"/>
                <w:szCs w:val="22"/>
              </w:rPr>
              <w:t>、额定功率：≤900W；</w:t>
            </w:r>
          </w:p>
        </w:tc>
        <w:tc>
          <w:tcPr>
            <w:tcW w:w="817" w:type="dxa"/>
          </w:tcPr>
          <w:p w14:paraId="799AF03C">
            <w:pPr>
              <w:spacing w:line="276" w:lineRule="auto"/>
              <w:rPr>
                <w:rFonts w:asciiTheme="majorEastAsia" w:hAnsiTheme="majorEastAsia" w:eastAsiaTheme="majorEastAsia"/>
                <w:b/>
                <w:sz w:val="24"/>
                <w:szCs w:val="21"/>
                <w:highlight w:val="cyan"/>
              </w:rPr>
            </w:pPr>
          </w:p>
        </w:tc>
      </w:tr>
      <w:tr w14:paraId="7B17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6B7ED23E">
            <w:pPr>
              <w:adjustRightInd w:val="0"/>
              <w:snapToGrid w:val="0"/>
              <w:rPr>
                <w:rFonts w:asciiTheme="majorEastAsia" w:hAnsiTheme="majorEastAsia" w:eastAsiaTheme="majorEastAsia"/>
                <w:b/>
                <w:sz w:val="24"/>
                <w:szCs w:val="21"/>
              </w:rPr>
            </w:pPr>
          </w:p>
        </w:tc>
        <w:tc>
          <w:tcPr>
            <w:tcW w:w="935" w:type="dxa"/>
            <w:vMerge w:val="continue"/>
            <w:tcBorders/>
          </w:tcPr>
          <w:p w14:paraId="22963089">
            <w:pPr>
              <w:adjustRightInd w:val="0"/>
              <w:snapToGrid w:val="0"/>
              <w:rPr>
                <w:rFonts w:asciiTheme="majorEastAsia" w:hAnsiTheme="majorEastAsia" w:eastAsiaTheme="majorEastAsia"/>
                <w:b/>
                <w:sz w:val="24"/>
                <w:szCs w:val="21"/>
              </w:rPr>
            </w:pPr>
          </w:p>
        </w:tc>
        <w:tc>
          <w:tcPr>
            <w:tcW w:w="7564" w:type="dxa"/>
            <w:gridSpan w:val="2"/>
          </w:tcPr>
          <w:p w14:paraId="7166B730">
            <w:pPr>
              <w:spacing w:line="360" w:lineRule="auto"/>
              <w:rPr>
                <w:rFonts w:asciiTheme="majorEastAsia" w:hAnsiTheme="majorEastAsia" w:eastAsiaTheme="majorEastAsia"/>
                <w:bCs/>
                <w:sz w:val="22"/>
                <w:szCs w:val="22"/>
              </w:rPr>
            </w:pPr>
            <w:r>
              <w:rPr>
                <w:rFonts w:hint="eastAsia" w:ascii="宋体" w:hAnsi="宋体"/>
                <w:sz w:val="22"/>
                <w:szCs w:val="22"/>
              </w:rPr>
              <w:t>1</w:t>
            </w:r>
            <w:r>
              <w:rPr>
                <w:rFonts w:hint="eastAsia" w:ascii="宋体" w:hAnsi="宋体"/>
                <w:sz w:val="22"/>
                <w:szCs w:val="22"/>
                <w:lang w:val="en-US" w:eastAsia="zh-CN"/>
              </w:rPr>
              <w:t>3</w:t>
            </w:r>
            <w:r>
              <w:rPr>
                <w:rFonts w:hint="eastAsia" w:ascii="宋体" w:hAnsi="宋体"/>
                <w:sz w:val="22"/>
                <w:szCs w:val="22"/>
              </w:rPr>
              <w:t>、熏蒸器容积：≥4000</w:t>
            </w:r>
            <w:r>
              <w:rPr>
                <w:rFonts w:ascii="宋体" w:hAnsi="宋体"/>
                <w:sz w:val="22"/>
                <w:szCs w:val="22"/>
              </w:rPr>
              <w:t>ml</w:t>
            </w:r>
            <w:r>
              <w:rPr>
                <w:rFonts w:hint="eastAsia" w:ascii="宋体" w:hAnsi="宋体"/>
                <w:sz w:val="22"/>
                <w:szCs w:val="22"/>
              </w:rPr>
              <w:t>；</w:t>
            </w:r>
          </w:p>
        </w:tc>
        <w:tc>
          <w:tcPr>
            <w:tcW w:w="817" w:type="dxa"/>
          </w:tcPr>
          <w:p w14:paraId="60EA6A11">
            <w:pPr>
              <w:spacing w:line="276" w:lineRule="auto"/>
              <w:rPr>
                <w:rFonts w:asciiTheme="majorEastAsia" w:hAnsiTheme="majorEastAsia" w:eastAsiaTheme="majorEastAsia"/>
                <w:b/>
                <w:sz w:val="24"/>
                <w:szCs w:val="21"/>
                <w:highlight w:val="cyan"/>
              </w:rPr>
            </w:pPr>
          </w:p>
        </w:tc>
      </w:tr>
      <w:tr w14:paraId="51670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0439181A">
            <w:pPr>
              <w:adjustRightInd w:val="0"/>
              <w:snapToGrid w:val="0"/>
              <w:rPr>
                <w:rFonts w:asciiTheme="majorEastAsia" w:hAnsiTheme="majorEastAsia" w:eastAsiaTheme="majorEastAsia"/>
                <w:b/>
                <w:sz w:val="24"/>
                <w:szCs w:val="21"/>
              </w:rPr>
            </w:pPr>
          </w:p>
        </w:tc>
        <w:tc>
          <w:tcPr>
            <w:tcW w:w="935" w:type="dxa"/>
            <w:vMerge w:val="continue"/>
            <w:tcBorders/>
          </w:tcPr>
          <w:p w14:paraId="02418B51">
            <w:pPr>
              <w:adjustRightInd w:val="0"/>
              <w:snapToGrid w:val="0"/>
              <w:rPr>
                <w:rFonts w:asciiTheme="majorEastAsia" w:hAnsiTheme="majorEastAsia" w:eastAsiaTheme="majorEastAsia"/>
                <w:b/>
                <w:sz w:val="24"/>
                <w:szCs w:val="21"/>
              </w:rPr>
            </w:pPr>
          </w:p>
        </w:tc>
        <w:tc>
          <w:tcPr>
            <w:tcW w:w="7564" w:type="dxa"/>
            <w:gridSpan w:val="2"/>
          </w:tcPr>
          <w:p w14:paraId="397C107A">
            <w:pPr>
              <w:spacing w:line="360" w:lineRule="auto"/>
              <w:rPr>
                <w:rFonts w:asciiTheme="majorEastAsia" w:hAnsiTheme="majorEastAsia" w:eastAsiaTheme="majorEastAsia"/>
                <w:bCs/>
                <w:sz w:val="22"/>
                <w:szCs w:val="22"/>
              </w:rPr>
            </w:pPr>
            <w:r>
              <w:rPr>
                <w:rFonts w:hint="eastAsia" w:ascii="宋体" w:hAnsi="宋体"/>
                <w:sz w:val="22"/>
                <w:szCs w:val="22"/>
              </w:rPr>
              <w:t>1</w:t>
            </w:r>
            <w:r>
              <w:rPr>
                <w:rFonts w:hint="eastAsia" w:ascii="宋体" w:hAnsi="宋体"/>
                <w:sz w:val="22"/>
                <w:szCs w:val="22"/>
                <w:lang w:val="en-US" w:eastAsia="zh-CN"/>
              </w:rPr>
              <w:t>4</w:t>
            </w:r>
            <w:r>
              <w:rPr>
                <w:rFonts w:hint="eastAsia" w:ascii="宋体" w:hAnsi="宋体"/>
                <w:sz w:val="22"/>
                <w:szCs w:val="22"/>
              </w:rPr>
              <w:t>、温度设定可调30-55℃</w:t>
            </w:r>
            <w:r>
              <w:rPr>
                <w:rFonts w:hint="eastAsia" w:ascii="宋体" w:hAnsi="宋体"/>
                <w:sz w:val="22"/>
                <w:szCs w:val="22"/>
                <w:lang w:val="en-US" w:eastAsia="zh-CN"/>
              </w:rPr>
              <w:t>（涵盖此范围即视为符合）</w:t>
            </w:r>
            <w:r>
              <w:rPr>
                <w:rFonts w:hint="eastAsia" w:ascii="宋体" w:hAnsi="宋体"/>
                <w:kern w:val="0"/>
                <w:sz w:val="22"/>
                <w:szCs w:val="22"/>
              </w:rPr>
              <w:t>，并可实时显示当前温度</w:t>
            </w:r>
            <w:r>
              <w:rPr>
                <w:rFonts w:hint="eastAsia" w:ascii="宋体" w:hAnsi="宋体"/>
                <w:sz w:val="22"/>
                <w:szCs w:val="22"/>
              </w:rPr>
              <w:t>；</w:t>
            </w:r>
          </w:p>
        </w:tc>
        <w:tc>
          <w:tcPr>
            <w:tcW w:w="817" w:type="dxa"/>
          </w:tcPr>
          <w:p w14:paraId="794F3862">
            <w:pPr>
              <w:spacing w:line="276" w:lineRule="auto"/>
              <w:rPr>
                <w:rFonts w:asciiTheme="majorEastAsia" w:hAnsiTheme="majorEastAsia" w:eastAsiaTheme="majorEastAsia"/>
                <w:b/>
                <w:sz w:val="24"/>
                <w:szCs w:val="21"/>
                <w:highlight w:val="cyan"/>
              </w:rPr>
            </w:pPr>
          </w:p>
        </w:tc>
      </w:tr>
      <w:tr w14:paraId="74073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Borders/>
          </w:tcPr>
          <w:p w14:paraId="034D67B7">
            <w:pPr>
              <w:adjustRightInd w:val="0"/>
              <w:snapToGrid w:val="0"/>
              <w:rPr>
                <w:rFonts w:asciiTheme="majorEastAsia" w:hAnsiTheme="majorEastAsia" w:eastAsiaTheme="majorEastAsia"/>
                <w:b/>
                <w:sz w:val="24"/>
                <w:szCs w:val="21"/>
              </w:rPr>
            </w:pPr>
          </w:p>
        </w:tc>
        <w:tc>
          <w:tcPr>
            <w:tcW w:w="935" w:type="dxa"/>
            <w:vMerge w:val="continue"/>
            <w:tcBorders/>
          </w:tcPr>
          <w:p w14:paraId="62DFC140">
            <w:pPr>
              <w:adjustRightInd w:val="0"/>
              <w:snapToGrid w:val="0"/>
              <w:rPr>
                <w:rFonts w:asciiTheme="majorEastAsia" w:hAnsiTheme="majorEastAsia" w:eastAsiaTheme="majorEastAsia"/>
                <w:b/>
                <w:sz w:val="24"/>
                <w:szCs w:val="21"/>
              </w:rPr>
            </w:pPr>
          </w:p>
        </w:tc>
        <w:tc>
          <w:tcPr>
            <w:tcW w:w="7564" w:type="dxa"/>
            <w:gridSpan w:val="2"/>
          </w:tcPr>
          <w:p w14:paraId="61821BC8">
            <w:pPr>
              <w:spacing w:line="276" w:lineRule="auto"/>
              <w:rPr>
                <w:rFonts w:asciiTheme="majorEastAsia" w:hAnsiTheme="majorEastAsia" w:eastAsiaTheme="majorEastAsia"/>
                <w:bCs/>
                <w:sz w:val="22"/>
                <w:szCs w:val="22"/>
              </w:rPr>
            </w:pPr>
            <w:r>
              <w:rPr>
                <w:rFonts w:hint="eastAsia" w:ascii="宋体" w:hAnsi="宋体"/>
                <w:sz w:val="22"/>
                <w:szCs w:val="22"/>
              </w:rPr>
              <w:t>1</w:t>
            </w:r>
            <w:r>
              <w:rPr>
                <w:rFonts w:hint="eastAsia" w:ascii="宋体" w:hAnsi="宋体"/>
                <w:sz w:val="22"/>
                <w:szCs w:val="22"/>
                <w:lang w:val="en-US" w:eastAsia="zh-CN"/>
              </w:rPr>
              <w:t>5</w:t>
            </w:r>
            <w:r>
              <w:rPr>
                <w:rFonts w:hint="eastAsia" w:ascii="宋体" w:hAnsi="宋体"/>
                <w:sz w:val="22"/>
                <w:szCs w:val="22"/>
              </w:rPr>
              <w:t>、计时范围可调：0-99</w:t>
            </w:r>
            <w:r>
              <w:rPr>
                <w:rFonts w:ascii="宋体" w:hAnsi="宋体"/>
                <w:sz w:val="22"/>
                <w:szCs w:val="22"/>
              </w:rPr>
              <w:t>min</w:t>
            </w:r>
            <w:r>
              <w:rPr>
                <w:rFonts w:hint="eastAsia"/>
                <w:lang w:val="en-US" w:eastAsia="zh-CN"/>
              </w:rPr>
              <w:t>（涵盖此范围即视为符合）。</w:t>
            </w:r>
          </w:p>
        </w:tc>
        <w:tc>
          <w:tcPr>
            <w:tcW w:w="817" w:type="dxa"/>
          </w:tcPr>
          <w:p w14:paraId="268EC249">
            <w:pPr>
              <w:spacing w:line="276" w:lineRule="auto"/>
              <w:rPr>
                <w:rFonts w:asciiTheme="majorEastAsia" w:hAnsiTheme="majorEastAsia" w:eastAsiaTheme="majorEastAsia"/>
                <w:b/>
                <w:sz w:val="24"/>
                <w:szCs w:val="21"/>
                <w:highlight w:val="cyan"/>
              </w:rPr>
            </w:pPr>
          </w:p>
        </w:tc>
      </w:tr>
      <w:tr w14:paraId="68932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0F4A0EA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56F92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668E20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2D0574B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合同签订后并接甲方通知</w:t>
            </w:r>
            <w:r>
              <w:rPr>
                <w:rFonts w:hint="eastAsia" w:asciiTheme="majorEastAsia" w:hAnsiTheme="majorEastAsia" w:eastAsiaTheme="majorEastAsia"/>
                <w:b/>
                <w:sz w:val="24"/>
                <w:szCs w:val="21"/>
                <w:u w:val="single"/>
              </w:rPr>
              <w:t xml:space="preserve"> 30 </w:t>
            </w:r>
            <w:r>
              <w:rPr>
                <w:rFonts w:hint="eastAsia" w:asciiTheme="majorEastAsia" w:hAnsiTheme="majorEastAsia" w:eastAsiaTheme="majorEastAsia"/>
                <w:b/>
                <w:sz w:val="24"/>
                <w:szCs w:val="21"/>
              </w:rPr>
              <w:t>日历日内。</w:t>
            </w:r>
          </w:p>
        </w:tc>
      </w:tr>
      <w:tr w14:paraId="3F395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28B95E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5C63E6A8">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19B16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2D2073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69014AD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4CE3F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6D8535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77DF1CCC">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113E1B1E">
            <w:pPr>
              <w:widowControl/>
              <w:adjustRightInd w:val="0"/>
              <w:snapToGrid w:val="0"/>
              <w:ind w:firstLine="420" w:firstLineChars="200"/>
              <w:jc w:val="left"/>
              <w:rPr>
                <w:rFonts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6F42A266">
            <w:pPr>
              <w:adjustRightInd w:val="0"/>
              <w:snapToGrid w:val="0"/>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424AA43">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2DDD352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r>
      <w:tr w14:paraId="508FF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A452F5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5CCEE2D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0E74B0F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4BBC6EE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47FEC33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2D58493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2B681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B86485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0334812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2B401B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750FAB9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4CA3B15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22B80DB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5B2877F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5B25B72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6FE2426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5DFD3D8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2E858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C44B074">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406F87E4">
            <w:pPr>
              <w:adjustRightInd w:val="0"/>
              <w:snapToGrid w:val="0"/>
              <w:rPr>
                <w:rFonts w:asciiTheme="majorEastAsia" w:hAnsiTheme="majorEastAsia" w:eastAsiaTheme="majorEastAsia"/>
                <w:sz w:val="24"/>
                <w:szCs w:val="21"/>
              </w:rPr>
            </w:pPr>
          </w:p>
        </w:tc>
        <w:tc>
          <w:tcPr>
            <w:tcW w:w="8261" w:type="dxa"/>
            <w:gridSpan w:val="2"/>
          </w:tcPr>
          <w:p w14:paraId="121D075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237DE6E9">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165EFA6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22C7F90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19A6C63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0EC13C3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61E570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18909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F017CE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59B82D2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67DC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B196B2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61675FC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269679C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5E154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654D99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55E303E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13BDD65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031245C0">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009FC0B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059C192F">
      <w:pPr>
        <w:spacing w:line="360" w:lineRule="auto"/>
        <w:ind w:left="400"/>
        <w:jc w:val="center"/>
        <w:rPr>
          <w:rFonts w:cs="方正小标宋简体" w:asciiTheme="majorEastAsia" w:hAnsiTheme="majorEastAsia" w:eastAsiaTheme="majorEastAsia"/>
          <w:b/>
          <w:sz w:val="36"/>
          <w:szCs w:val="36"/>
        </w:rPr>
      </w:pPr>
    </w:p>
    <w:p w14:paraId="7B50C088">
      <w:pPr>
        <w:rPr>
          <w:rFonts w:cs="方正小标宋简体" w:asciiTheme="majorEastAsia" w:hAnsiTheme="majorEastAsia" w:eastAsiaTheme="majorEastAsia"/>
          <w:sz w:val="36"/>
          <w:szCs w:val="36"/>
        </w:rPr>
      </w:pPr>
    </w:p>
    <w:sectPr>
      <w:footerReference r:id="rId3" w:type="default"/>
      <w:pgSz w:w="11906" w:h="16838"/>
      <w:pgMar w:top="284" w:right="851" w:bottom="284" w:left="851" w:header="851"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7B3617E9">
            <w:pPr>
              <w:pStyle w:val="7"/>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7530DC0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403"/>
    <w:rsid w:val="00014A66"/>
    <w:rsid w:val="000170C1"/>
    <w:rsid w:val="00021B63"/>
    <w:rsid w:val="00022431"/>
    <w:rsid w:val="00027A10"/>
    <w:rsid w:val="0003257D"/>
    <w:rsid w:val="00047765"/>
    <w:rsid w:val="00056650"/>
    <w:rsid w:val="000707A8"/>
    <w:rsid w:val="000910F0"/>
    <w:rsid w:val="00091320"/>
    <w:rsid w:val="00094BE5"/>
    <w:rsid w:val="000B173B"/>
    <w:rsid w:val="000C2EB1"/>
    <w:rsid w:val="000D332B"/>
    <w:rsid w:val="000D486B"/>
    <w:rsid w:val="000D528A"/>
    <w:rsid w:val="00100E5F"/>
    <w:rsid w:val="00117159"/>
    <w:rsid w:val="00122AB5"/>
    <w:rsid w:val="00141F0D"/>
    <w:rsid w:val="00147AA8"/>
    <w:rsid w:val="00147DE0"/>
    <w:rsid w:val="0017347E"/>
    <w:rsid w:val="00173505"/>
    <w:rsid w:val="001755A1"/>
    <w:rsid w:val="001F45BE"/>
    <w:rsid w:val="001F5D4E"/>
    <w:rsid w:val="00201CE8"/>
    <w:rsid w:val="00207531"/>
    <w:rsid w:val="00213A4E"/>
    <w:rsid w:val="00214240"/>
    <w:rsid w:val="0022066A"/>
    <w:rsid w:val="002243DF"/>
    <w:rsid w:val="0024191C"/>
    <w:rsid w:val="00262E90"/>
    <w:rsid w:val="002850D0"/>
    <w:rsid w:val="002956A8"/>
    <w:rsid w:val="0029701C"/>
    <w:rsid w:val="00297C31"/>
    <w:rsid w:val="002B3785"/>
    <w:rsid w:val="002F5D5E"/>
    <w:rsid w:val="00307648"/>
    <w:rsid w:val="00322AE6"/>
    <w:rsid w:val="00326BC1"/>
    <w:rsid w:val="00334AA0"/>
    <w:rsid w:val="00352B55"/>
    <w:rsid w:val="003561EA"/>
    <w:rsid w:val="003942D3"/>
    <w:rsid w:val="0039648A"/>
    <w:rsid w:val="003D442D"/>
    <w:rsid w:val="003D7EF0"/>
    <w:rsid w:val="00423853"/>
    <w:rsid w:val="00423C2F"/>
    <w:rsid w:val="00456EA0"/>
    <w:rsid w:val="00472034"/>
    <w:rsid w:val="00497BF4"/>
    <w:rsid w:val="004B1081"/>
    <w:rsid w:val="004B3240"/>
    <w:rsid w:val="004B3CFF"/>
    <w:rsid w:val="004D0A11"/>
    <w:rsid w:val="004E0D21"/>
    <w:rsid w:val="004F46AD"/>
    <w:rsid w:val="004F6661"/>
    <w:rsid w:val="0051543C"/>
    <w:rsid w:val="00523CD5"/>
    <w:rsid w:val="005275A8"/>
    <w:rsid w:val="00535190"/>
    <w:rsid w:val="0053721B"/>
    <w:rsid w:val="00542363"/>
    <w:rsid w:val="0055112D"/>
    <w:rsid w:val="00553925"/>
    <w:rsid w:val="005666F4"/>
    <w:rsid w:val="005675B0"/>
    <w:rsid w:val="005772ED"/>
    <w:rsid w:val="00590721"/>
    <w:rsid w:val="00597CA2"/>
    <w:rsid w:val="005C211C"/>
    <w:rsid w:val="005C239D"/>
    <w:rsid w:val="005C57CC"/>
    <w:rsid w:val="00603257"/>
    <w:rsid w:val="0060593D"/>
    <w:rsid w:val="006231CE"/>
    <w:rsid w:val="00651D42"/>
    <w:rsid w:val="00662021"/>
    <w:rsid w:val="00662B11"/>
    <w:rsid w:val="00682318"/>
    <w:rsid w:val="006C7CF0"/>
    <w:rsid w:val="006D3D0D"/>
    <w:rsid w:val="006D571D"/>
    <w:rsid w:val="007130B5"/>
    <w:rsid w:val="00716C4F"/>
    <w:rsid w:val="007246DD"/>
    <w:rsid w:val="00750A3D"/>
    <w:rsid w:val="007554DF"/>
    <w:rsid w:val="00793785"/>
    <w:rsid w:val="007A0C07"/>
    <w:rsid w:val="007A2E18"/>
    <w:rsid w:val="007A7BFE"/>
    <w:rsid w:val="007B1DF4"/>
    <w:rsid w:val="007C4096"/>
    <w:rsid w:val="007D196F"/>
    <w:rsid w:val="007D65D9"/>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30B23"/>
    <w:rsid w:val="00936CEC"/>
    <w:rsid w:val="009376BC"/>
    <w:rsid w:val="00937D3D"/>
    <w:rsid w:val="00947CF3"/>
    <w:rsid w:val="00953822"/>
    <w:rsid w:val="00972C2D"/>
    <w:rsid w:val="009764EB"/>
    <w:rsid w:val="009908D7"/>
    <w:rsid w:val="00991D87"/>
    <w:rsid w:val="00996AC8"/>
    <w:rsid w:val="009978E3"/>
    <w:rsid w:val="009A130E"/>
    <w:rsid w:val="009E6FD2"/>
    <w:rsid w:val="009F5BF6"/>
    <w:rsid w:val="00A043A8"/>
    <w:rsid w:val="00A0782D"/>
    <w:rsid w:val="00A17D1D"/>
    <w:rsid w:val="00A303A3"/>
    <w:rsid w:val="00A619BE"/>
    <w:rsid w:val="00A903C7"/>
    <w:rsid w:val="00AA4B4A"/>
    <w:rsid w:val="00AA6962"/>
    <w:rsid w:val="00AB2610"/>
    <w:rsid w:val="00AB7926"/>
    <w:rsid w:val="00AF5FA9"/>
    <w:rsid w:val="00AF7A87"/>
    <w:rsid w:val="00B01564"/>
    <w:rsid w:val="00B06C01"/>
    <w:rsid w:val="00B21F51"/>
    <w:rsid w:val="00B25EF8"/>
    <w:rsid w:val="00B74119"/>
    <w:rsid w:val="00B75941"/>
    <w:rsid w:val="00B82233"/>
    <w:rsid w:val="00BA17A1"/>
    <w:rsid w:val="00BA5B17"/>
    <w:rsid w:val="00BC4EC7"/>
    <w:rsid w:val="00BC5AE8"/>
    <w:rsid w:val="00BF69AA"/>
    <w:rsid w:val="00C03748"/>
    <w:rsid w:val="00C13828"/>
    <w:rsid w:val="00C32BEC"/>
    <w:rsid w:val="00C35949"/>
    <w:rsid w:val="00C52EBE"/>
    <w:rsid w:val="00C55020"/>
    <w:rsid w:val="00C619DD"/>
    <w:rsid w:val="00C67D6C"/>
    <w:rsid w:val="00C77FD8"/>
    <w:rsid w:val="00C95553"/>
    <w:rsid w:val="00CF09E5"/>
    <w:rsid w:val="00D05083"/>
    <w:rsid w:val="00D5343F"/>
    <w:rsid w:val="00D976F6"/>
    <w:rsid w:val="00DB1E59"/>
    <w:rsid w:val="00DB4D7A"/>
    <w:rsid w:val="00DB528F"/>
    <w:rsid w:val="00E35AFC"/>
    <w:rsid w:val="00E93F8F"/>
    <w:rsid w:val="00ED7224"/>
    <w:rsid w:val="00F0149B"/>
    <w:rsid w:val="00F07294"/>
    <w:rsid w:val="00F1549D"/>
    <w:rsid w:val="00F23DB0"/>
    <w:rsid w:val="00F30025"/>
    <w:rsid w:val="00F464BC"/>
    <w:rsid w:val="00F60CB5"/>
    <w:rsid w:val="00F65BCF"/>
    <w:rsid w:val="00F6788A"/>
    <w:rsid w:val="00F81403"/>
    <w:rsid w:val="00F83533"/>
    <w:rsid w:val="00FB421E"/>
    <w:rsid w:val="00FC40CA"/>
    <w:rsid w:val="00FD0656"/>
    <w:rsid w:val="00FD23ED"/>
    <w:rsid w:val="00FF30DB"/>
    <w:rsid w:val="0611217C"/>
    <w:rsid w:val="069F3BC7"/>
    <w:rsid w:val="07AE3385"/>
    <w:rsid w:val="0C1346A4"/>
    <w:rsid w:val="0F8E7447"/>
    <w:rsid w:val="1013357D"/>
    <w:rsid w:val="119B6051"/>
    <w:rsid w:val="1204617D"/>
    <w:rsid w:val="12A25084"/>
    <w:rsid w:val="142B2292"/>
    <w:rsid w:val="15FB47D0"/>
    <w:rsid w:val="177A4192"/>
    <w:rsid w:val="19A66D0D"/>
    <w:rsid w:val="1A385FE8"/>
    <w:rsid w:val="1C8E1A86"/>
    <w:rsid w:val="1E12700E"/>
    <w:rsid w:val="203D1A8B"/>
    <w:rsid w:val="217B4C54"/>
    <w:rsid w:val="21971856"/>
    <w:rsid w:val="22E10C1D"/>
    <w:rsid w:val="230E0A17"/>
    <w:rsid w:val="242842CC"/>
    <w:rsid w:val="283227ED"/>
    <w:rsid w:val="29204D94"/>
    <w:rsid w:val="2B252436"/>
    <w:rsid w:val="2EBD0E37"/>
    <w:rsid w:val="30020579"/>
    <w:rsid w:val="32AC7216"/>
    <w:rsid w:val="33CC7EE9"/>
    <w:rsid w:val="33D00EF6"/>
    <w:rsid w:val="33E365F1"/>
    <w:rsid w:val="34F34F5A"/>
    <w:rsid w:val="350735F9"/>
    <w:rsid w:val="359B56E2"/>
    <w:rsid w:val="366D6BB6"/>
    <w:rsid w:val="36974C2B"/>
    <w:rsid w:val="3CA457F9"/>
    <w:rsid w:val="3EB2662C"/>
    <w:rsid w:val="40835721"/>
    <w:rsid w:val="43FA36B6"/>
    <w:rsid w:val="445F60B6"/>
    <w:rsid w:val="47784211"/>
    <w:rsid w:val="4AAD25C7"/>
    <w:rsid w:val="4B67713D"/>
    <w:rsid w:val="4DFE2823"/>
    <w:rsid w:val="4E280CF3"/>
    <w:rsid w:val="4F051E55"/>
    <w:rsid w:val="52B52187"/>
    <w:rsid w:val="535B0E8D"/>
    <w:rsid w:val="551100A2"/>
    <w:rsid w:val="556A12F5"/>
    <w:rsid w:val="566D4594"/>
    <w:rsid w:val="58242AE0"/>
    <w:rsid w:val="58977827"/>
    <w:rsid w:val="58AB396B"/>
    <w:rsid w:val="5ACE280F"/>
    <w:rsid w:val="5BDE3A84"/>
    <w:rsid w:val="5C483C8E"/>
    <w:rsid w:val="5E851207"/>
    <w:rsid w:val="5EF74FEC"/>
    <w:rsid w:val="5FEB7048"/>
    <w:rsid w:val="632E2D7F"/>
    <w:rsid w:val="663B31C1"/>
    <w:rsid w:val="66AC0259"/>
    <w:rsid w:val="68C37DBB"/>
    <w:rsid w:val="69F51559"/>
    <w:rsid w:val="6AFD60D5"/>
    <w:rsid w:val="6DB662A4"/>
    <w:rsid w:val="6EC84D23"/>
    <w:rsid w:val="6F633413"/>
    <w:rsid w:val="6F9E571F"/>
    <w:rsid w:val="703B1B34"/>
    <w:rsid w:val="73374A1C"/>
    <w:rsid w:val="738F7392"/>
    <w:rsid w:val="762C283F"/>
    <w:rsid w:val="767D5D1E"/>
    <w:rsid w:val="76E03ABB"/>
    <w:rsid w:val="76E23F0B"/>
    <w:rsid w:val="76F9474C"/>
    <w:rsid w:val="7A6F030F"/>
    <w:rsid w:val="7A89169D"/>
    <w:rsid w:val="7AFF6E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next w:val="4"/>
    <w:link w:val="23"/>
    <w:qFormat/>
    <w:uiPriority w:val="0"/>
    <w:pPr>
      <w:adjustRightInd w:val="0"/>
      <w:snapToGrid w:val="0"/>
      <w:spacing w:line="500" w:lineRule="atLeast"/>
    </w:pPr>
    <w:rPr>
      <w:rFonts w:ascii="宋体"/>
      <w:bCs/>
      <w:sz w:val="28"/>
    </w:rPr>
  </w:style>
  <w:style w:type="paragraph" w:styleId="4">
    <w:name w:val="Title"/>
    <w:basedOn w:val="1"/>
    <w:next w:val="1"/>
    <w:qFormat/>
    <w:uiPriority w:val="0"/>
    <w:pPr>
      <w:spacing w:before="240" w:after="60"/>
      <w:jc w:val="center"/>
      <w:outlineLvl w:val="0"/>
    </w:pPr>
    <w:rPr>
      <w:rFonts w:ascii="Cambria" w:hAnsi="Cambria"/>
      <w:b/>
      <w:bCs/>
      <w:sz w:val="32"/>
      <w:szCs w:val="32"/>
    </w:rPr>
  </w:style>
  <w:style w:type="paragraph" w:styleId="5">
    <w:name w:val="Plain Text"/>
    <w:basedOn w:val="1"/>
    <w:link w:val="18"/>
    <w:unhideWhenUsed/>
    <w:qFormat/>
    <w:uiPriority w:val="99"/>
    <w:rPr>
      <w:rFonts w:ascii="宋体" w:hAnsi="Courier New" w:cs="Courier New"/>
      <w:szCs w:val="21"/>
    </w:rPr>
  </w:style>
  <w:style w:type="paragraph" w:styleId="6">
    <w:name w:val="Balloon Text"/>
    <w:basedOn w:val="1"/>
    <w:link w:val="20"/>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2"/>
    <w:next w:val="2"/>
    <w:link w:val="22"/>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0"/>
    <w:rPr>
      <w:rFonts w:ascii="Tahoma" w:hAnsi="Tahoma" w:eastAsia="宋体"/>
      <w:b/>
      <w:bCs/>
      <w:spacing w:val="10"/>
      <w:kern w:val="2"/>
      <w:sz w:val="24"/>
      <w:szCs w:val="24"/>
      <w:lang w:val="en-US" w:eastAsia="zh-CN" w:bidi="ar-SA"/>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Char"/>
    <w:basedOn w:val="12"/>
    <w:link w:val="5"/>
    <w:qFormat/>
    <w:uiPriority w:val="99"/>
    <w:rPr>
      <w:rFonts w:ascii="宋体" w:hAnsi="Courier New" w:eastAsia="宋体" w:cs="Courier New"/>
      <w:szCs w:val="21"/>
    </w:rPr>
  </w:style>
  <w:style w:type="paragraph" w:customStyle="1" w:styleId="19">
    <w:name w:val="样式1 Char Char"/>
    <w:basedOn w:val="1"/>
    <w:next w:val="5"/>
    <w:qFormat/>
    <w:uiPriority w:val="0"/>
    <w:pPr>
      <w:spacing w:line="360" w:lineRule="auto"/>
      <w:ind w:firstLine="516" w:firstLineChars="215"/>
    </w:pPr>
    <w:rPr>
      <w:sz w:val="24"/>
    </w:rPr>
  </w:style>
  <w:style w:type="character" w:customStyle="1" w:styleId="20">
    <w:name w:val="批注框文本 Char"/>
    <w:basedOn w:val="12"/>
    <w:link w:val="6"/>
    <w:semiHidden/>
    <w:qFormat/>
    <w:uiPriority w:val="99"/>
    <w:rPr>
      <w:rFonts w:ascii="Times New Roman" w:hAnsi="Times New Roman" w:eastAsia="宋体" w:cs="Times New Roman"/>
      <w:kern w:val="2"/>
      <w:sz w:val="18"/>
      <w:szCs w:val="18"/>
    </w:rPr>
  </w:style>
  <w:style w:type="character" w:customStyle="1" w:styleId="21">
    <w:name w:val="批注文字 Char"/>
    <w:basedOn w:val="12"/>
    <w:link w:val="2"/>
    <w:qFormat/>
    <w:uiPriority w:val="99"/>
    <w:rPr>
      <w:rFonts w:ascii="Times New Roman" w:hAnsi="Times New Roman" w:eastAsia="宋体" w:cs="Times New Roman"/>
      <w:kern w:val="2"/>
      <w:sz w:val="21"/>
      <w:szCs w:val="24"/>
    </w:rPr>
  </w:style>
  <w:style w:type="character" w:customStyle="1" w:styleId="22">
    <w:name w:val="批注主题 Char"/>
    <w:basedOn w:val="21"/>
    <w:link w:val="9"/>
    <w:semiHidden/>
    <w:qFormat/>
    <w:uiPriority w:val="99"/>
    <w:rPr>
      <w:rFonts w:ascii="Times New Roman" w:hAnsi="Times New Roman" w:eastAsia="宋体" w:cs="Times New Roman"/>
      <w:b/>
      <w:bCs/>
      <w:kern w:val="2"/>
      <w:sz w:val="21"/>
      <w:szCs w:val="24"/>
    </w:rPr>
  </w:style>
  <w:style w:type="character" w:customStyle="1" w:styleId="23">
    <w:name w:val="正文文本 Char"/>
    <w:basedOn w:val="12"/>
    <w:link w:val="3"/>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5152</Words>
  <Characters>5337</Characters>
  <Lines>38</Lines>
  <Paragraphs>10</Paragraphs>
  <TotalTime>1</TotalTime>
  <ScaleCrop>false</ScaleCrop>
  <LinksUpToDate>false</LinksUpToDate>
  <CharactersWithSpaces>5439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2023-04-23T02:54:00Z</dcterms:created>
  <dc:creator>陈蕾</dc:creator>
  <cp:lastModifiedBy>吴静仪</cp:lastModifiedBy>
  <cp:lastPrinted>2025-09-02T02:56:00Z</cp:lastPrinted>
  <dcterms:modified xsi:type="dcterms:W3CDTF">2025-12-08T08:57:32Z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7915A490A3CA47CABC58677C8697BDD6_13</vt:lpwstr>
  </property>
</Properties>
</file>