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E1E0A0">
      <w:pPr>
        <w:spacing w:line="560" w:lineRule="exact"/>
        <w:jc w:val="center"/>
        <w:rPr>
          <w:rFonts w:ascii="宋体" w:hAnsi="宋体"/>
          <w:b/>
        </w:rPr>
      </w:pPr>
      <w:r>
        <w:rPr>
          <w:rFonts w:hint="eastAsia" w:ascii="宋体" w:hAnsi="宋体"/>
          <w:b/>
          <w:sz w:val="44"/>
          <w:szCs w:val="44"/>
        </w:rPr>
        <w:t>中山大学附属第八医院（深圳福田）货物类</w:t>
      </w:r>
    </w:p>
    <w:p w14:paraId="667315EA">
      <w:pPr>
        <w:spacing w:line="640" w:lineRule="exact"/>
        <w:jc w:val="center"/>
        <w:rPr>
          <w:rFonts w:ascii="宋体" w:hAnsi="宋体"/>
          <w:b/>
          <w:sz w:val="44"/>
          <w:szCs w:val="44"/>
        </w:rPr>
      </w:pPr>
      <w:r>
        <w:rPr>
          <w:rFonts w:hint="eastAsia" w:ascii="宋体" w:hAnsi="宋体"/>
          <w:b/>
          <w:sz w:val="44"/>
          <w:szCs w:val="44"/>
        </w:rPr>
        <w:t>采购需求书</w:t>
      </w:r>
    </w:p>
    <w:p w14:paraId="681CB043">
      <w:pPr>
        <w:spacing w:line="540" w:lineRule="exact"/>
        <w:ind w:firstLine="240" w:firstLineChars="100"/>
        <w:rPr>
          <w:rFonts w:ascii="宋体" w:hAnsi="宋体" w:cs="方正小标宋简体"/>
          <w:sz w:val="36"/>
          <w:szCs w:val="36"/>
        </w:rPr>
      </w:pPr>
      <w:r>
        <w:rPr>
          <w:rFonts w:hint="eastAsia" w:ascii="宋体" w:hAnsi="宋体" w:cs="宋体"/>
          <w:sz w:val="24"/>
        </w:rPr>
        <w:t>说明：“★”号条款为实质性条款，必须完全满足，不满足则不予采购</w:t>
      </w:r>
    </w:p>
    <w:p w14:paraId="2FA2D6A7">
      <w:pPr>
        <w:spacing w:line="540" w:lineRule="exact"/>
        <w:ind w:firstLine="361" w:firstLineChars="100"/>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第一部分 项目基本要求</w:t>
      </w:r>
    </w:p>
    <w:p w14:paraId="1511961E">
      <w:pPr>
        <w:spacing w:before="100" w:beforeAutospacing="1" w:line="276" w:lineRule="auto"/>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 xml:space="preserve"> 一、项目基本信息</w:t>
      </w:r>
    </w:p>
    <w:p w14:paraId="5EB8C162">
      <w:pPr>
        <w:spacing w:before="100" w:beforeAutospacing="1" w:line="160" w:lineRule="exact"/>
        <w:ind w:firstLine="1205" w:firstLineChars="500"/>
        <w:rPr>
          <w:rFonts w:cs="方正小标宋简体" w:asciiTheme="majorEastAsia" w:hAnsiTheme="majorEastAsia" w:eastAsiaTheme="majorEastAsia"/>
          <w:sz w:val="24"/>
          <w:shd w:val="clear" w:color="auto" w:fill="FFFFFF"/>
        </w:rPr>
      </w:pPr>
      <w:r>
        <w:rPr>
          <w:rFonts w:hint="eastAsia" w:asciiTheme="majorEastAsia" w:hAnsiTheme="majorEastAsia" w:eastAsiaTheme="majorEastAsia"/>
          <w:b/>
          <w:color w:val="000000"/>
          <w:sz w:val="24"/>
          <w:szCs w:val="21"/>
        </w:rPr>
        <w:t>申请</w:t>
      </w:r>
      <w:r>
        <w:rPr>
          <w:rFonts w:hint="eastAsia" w:cs="宋体" w:asciiTheme="majorEastAsia" w:hAnsiTheme="majorEastAsia" w:eastAsiaTheme="majorEastAsia"/>
          <w:b/>
          <w:color w:val="000000"/>
          <w:sz w:val="24"/>
          <w:szCs w:val="21"/>
        </w:rPr>
        <w:t>科室：</w:t>
      </w:r>
      <w:r>
        <w:rPr>
          <w:rFonts w:hint="eastAsia" w:asciiTheme="majorEastAsia" w:hAnsiTheme="majorEastAsia" w:eastAsiaTheme="majorEastAsia"/>
          <w:b/>
          <w:color w:val="000000"/>
          <w:sz w:val="24"/>
          <w:szCs w:val="21"/>
        </w:rPr>
        <w:t xml:space="preserve">胸外科          </w:t>
      </w:r>
      <w:r>
        <w:rPr>
          <w:rFonts w:hint="eastAsia" w:cs="宋体" w:asciiTheme="majorEastAsia" w:hAnsiTheme="majorEastAsia" w:eastAsiaTheme="majorEastAsia"/>
          <w:b/>
          <w:color w:val="000000"/>
          <w:sz w:val="24"/>
          <w:szCs w:val="21"/>
        </w:rPr>
        <w:t>负责人姓名：              负责人电话：</w:t>
      </w:r>
    </w:p>
    <w:tbl>
      <w:tblPr>
        <w:tblStyle w:val="9"/>
        <w:tblW w:w="100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1"/>
        <w:gridCol w:w="1222"/>
        <w:gridCol w:w="1417"/>
        <w:gridCol w:w="338"/>
        <w:gridCol w:w="850"/>
        <w:gridCol w:w="371"/>
        <w:gridCol w:w="338"/>
        <w:gridCol w:w="709"/>
        <w:gridCol w:w="87"/>
        <w:gridCol w:w="1133"/>
        <w:gridCol w:w="55"/>
        <w:gridCol w:w="1276"/>
        <w:gridCol w:w="86"/>
        <w:gridCol w:w="1513"/>
      </w:tblGrid>
      <w:tr w14:paraId="3C6A9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3270" w:type="dxa"/>
            <w:gridSpan w:val="3"/>
            <w:vAlign w:val="center"/>
          </w:tcPr>
          <w:p w14:paraId="70DFA730">
            <w:pPr>
              <w:spacing w:line="276" w:lineRule="auto"/>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申请设备名称</w:t>
            </w:r>
          </w:p>
        </w:tc>
        <w:tc>
          <w:tcPr>
            <w:tcW w:w="1559" w:type="dxa"/>
            <w:gridSpan w:val="3"/>
            <w:vAlign w:val="center"/>
          </w:tcPr>
          <w:p w14:paraId="4F1DCD6E">
            <w:pPr>
              <w:spacing w:line="276" w:lineRule="auto"/>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1134" w:type="dxa"/>
            <w:gridSpan w:val="3"/>
            <w:vAlign w:val="center"/>
          </w:tcPr>
          <w:p w14:paraId="455ECB81">
            <w:pPr>
              <w:spacing w:line="276" w:lineRule="auto"/>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1133" w:type="dxa"/>
            <w:vAlign w:val="center"/>
          </w:tcPr>
          <w:p w14:paraId="60B1E5D5">
            <w:pPr>
              <w:spacing w:line="276" w:lineRule="auto"/>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1417" w:type="dxa"/>
            <w:gridSpan w:val="3"/>
            <w:vAlign w:val="center"/>
          </w:tcPr>
          <w:p w14:paraId="23CB11A5">
            <w:pPr>
              <w:spacing w:line="276" w:lineRule="auto"/>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1513" w:type="dxa"/>
            <w:vAlign w:val="center"/>
          </w:tcPr>
          <w:p w14:paraId="4070A4AF">
            <w:pPr>
              <w:spacing w:line="276" w:lineRule="auto"/>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r>
      <w:tr w14:paraId="25102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3270" w:type="dxa"/>
            <w:gridSpan w:val="3"/>
            <w:vAlign w:val="center"/>
          </w:tcPr>
          <w:p w14:paraId="60C274E8">
            <w:pPr>
              <w:spacing w:line="276" w:lineRule="auto"/>
              <w:jc w:val="center"/>
              <w:rPr>
                <w:rFonts w:asciiTheme="majorEastAsia" w:hAnsiTheme="majorEastAsia" w:eastAsiaTheme="majorEastAsia"/>
                <w:sz w:val="24"/>
                <w:szCs w:val="21"/>
              </w:rPr>
            </w:pPr>
            <w:r>
              <w:rPr>
                <w:rFonts w:asciiTheme="majorEastAsia" w:hAnsiTheme="majorEastAsia" w:eastAsiaTheme="majorEastAsia"/>
                <w:b/>
                <w:sz w:val="24"/>
                <w:szCs w:val="21"/>
              </w:rPr>
              <w:t>肠内营养</w:t>
            </w:r>
            <w:r>
              <w:rPr>
                <w:rFonts w:hint="eastAsia" w:asciiTheme="majorEastAsia" w:hAnsiTheme="majorEastAsia" w:eastAsiaTheme="majorEastAsia"/>
                <w:b/>
                <w:sz w:val="24"/>
                <w:szCs w:val="21"/>
              </w:rPr>
              <w:t>泵</w:t>
            </w:r>
          </w:p>
        </w:tc>
        <w:tc>
          <w:tcPr>
            <w:tcW w:w="1559" w:type="dxa"/>
            <w:gridSpan w:val="3"/>
            <w:vAlign w:val="center"/>
          </w:tcPr>
          <w:p w14:paraId="1F0BC379">
            <w:pPr>
              <w:spacing w:line="276" w:lineRule="auto"/>
              <w:jc w:val="center"/>
              <w:rPr>
                <w:rFonts w:asciiTheme="majorEastAsia" w:hAnsiTheme="majorEastAsia" w:eastAsiaTheme="majorEastAsia"/>
                <w:sz w:val="24"/>
                <w:szCs w:val="21"/>
              </w:rPr>
            </w:pPr>
            <w:r>
              <w:rPr>
                <w:rFonts w:asciiTheme="majorEastAsia" w:hAnsiTheme="majorEastAsia" w:eastAsiaTheme="majorEastAsia"/>
                <w:b/>
                <w:sz w:val="24"/>
                <w:szCs w:val="21"/>
              </w:rPr>
              <w:t>国产</w:t>
            </w:r>
          </w:p>
        </w:tc>
        <w:tc>
          <w:tcPr>
            <w:tcW w:w="1134" w:type="dxa"/>
            <w:gridSpan w:val="3"/>
            <w:vAlign w:val="center"/>
          </w:tcPr>
          <w:p w14:paraId="2156AE9C">
            <w:pPr>
              <w:spacing w:line="276" w:lineRule="auto"/>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3</w:t>
            </w:r>
          </w:p>
        </w:tc>
        <w:tc>
          <w:tcPr>
            <w:tcW w:w="1133" w:type="dxa"/>
            <w:vAlign w:val="center"/>
          </w:tcPr>
          <w:p w14:paraId="15754C40">
            <w:pPr>
              <w:spacing w:line="276" w:lineRule="auto"/>
              <w:jc w:val="center"/>
              <w:rPr>
                <w:rFonts w:asciiTheme="majorEastAsia" w:hAnsiTheme="majorEastAsia" w:eastAsiaTheme="majorEastAsia"/>
                <w:sz w:val="24"/>
                <w:szCs w:val="21"/>
              </w:rPr>
            </w:pPr>
            <w:r>
              <w:rPr>
                <w:rFonts w:asciiTheme="majorEastAsia" w:hAnsiTheme="majorEastAsia" w:eastAsiaTheme="majorEastAsia"/>
                <w:b/>
                <w:sz w:val="24"/>
                <w:szCs w:val="21"/>
              </w:rPr>
              <w:t>台</w:t>
            </w:r>
          </w:p>
        </w:tc>
        <w:tc>
          <w:tcPr>
            <w:tcW w:w="1417" w:type="dxa"/>
            <w:gridSpan w:val="3"/>
            <w:vAlign w:val="center"/>
          </w:tcPr>
          <w:p w14:paraId="4FFAE1DB">
            <w:pPr>
              <w:spacing w:line="276" w:lineRule="auto"/>
              <w:jc w:val="center"/>
              <w:rPr>
                <w:rFonts w:asciiTheme="majorEastAsia" w:hAnsiTheme="majorEastAsia" w:eastAsiaTheme="majorEastAsia"/>
                <w:sz w:val="24"/>
                <w:szCs w:val="21"/>
                <w:highlight w:val="yellow"/>
              </w:rPr>
            </w:pPr>
            <w:r>
              <w:rPr>
                <w:rFonts w:hint="eastAsia" w:asciiTheme="majorEastAsia" w:hAnsiTheme="majorEastAsia" w:eastAsiaTheme="majorEastAsia"/>
                <w:b/>
                <w:sz w:val="24"/>
                <w:szCs w:val="21"/>
                <w:highlight w:val="yellow"/>
              </w:rPr>
              <w:t>0.33</w:t>
            </w:r>
          </w:p>
        </w:tc>
        <w:tc>
          <w:tcPr>
            <w:tcW w:w="1513" w:type="dxa"/>
            <w:vAlign w:val="center"/>
          </w:tcPr>
          <w:p w14:paraId="66B767A5">
            <w:pPr>
              <w:spacing w:line="276" w:lineRule="auto"/>
              <w:jc w:val="center"/>
              <w:rPr>
                <w:rFonts w:asciiTheme="majorEastAsia" w:hAnsiTheme="majorEastAsia" w:eastAsiaTheme="majorEastAsia"/>
                <w:sz w:val="24"/>
                <w:szCs w:val="21"/>
                <w:highlight w:val="yellow"/>
              </w:rPr>
            </w:pPr>
            <w:r>
              <w:rPr>
                <w:rFonts w:hint="eastAsia" w:asciiTheme="majorEastAsia" w:hAnsiTheme="majorEastAsia" w:eastAsiaTheme="majorEastAsia"/>
                <w:b/>
                <w:sz w:val="24"/>
                <w:szCs w:val="21"/>
                <w:highlight w:val="yellow"/>
              </w:rPr>
              <w:t>0.99</w:t>
            </w:r>
          </w:p>
        </w:tc>
      </w:tr>
      <w:tr w14:paraId="54892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1853" w:type="dxa"/>
            <w:gridSpan w:val="2"/>
            <w:vAlign w:val="center"/>
          </w:tcPr>
          <w:p w14:paraId="7742B00D">
            <w:pPr>
              <w:spacing w:line="276" w:lineRule="auto"/>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项目背景</w:t>
            </w:r>
          </w:p>
        </w:tc>
        <w:tc>
          <w:tcPr>
            <w:tcW w:w="8173" w:type="dxa"/>
            <w:gridSpan w:val="12"/>
            <w:vAlign w:val="center"/>
          </w:tcPr>
          <w:p w14:paraId="5468D390">
            <w:pPr>
              <w:spacing w:line="276" w:lineRule="auto"/>
              <w:rPr>
                <w:rFonts w:asciiTheme="majorEastAsia" w:hAnsiTheme="majorEastAsia" w:eastAsiaTheme="majorEastAsia"/>
                <w:sz w:val="24"/>
                <w:szCs w:val="21"/>
              </w:rPr>
            </w:pPr>
            <w:r>
              <w:rPr>
                <w:rFonts w:hint="eastAsia" w:cs="宋体" w:asciiTheme="majorEastAsia" w:hAnsiTheme="majorEastAsia" w:eastAsiaTheme="majorEastAsia"/>
                <w:color w:val="000000"/>
                <w:szCs w:val="21"/>
              </w:rPr>
              <w:t>科室患者较多需要营养支持，使用肠内营养泵输注喂养，能更安全有效控制输注的时间和喂养速度，减少营养管理工作量，减少患者误吸返流风险。具有加温功能，减少患者胃肠功能紊乱的发生，减少胃储留风险。</w:t>
            </w:r>
          </w:p>
        </w:tc>
      </w:tr>
      <w:tr w14:paraId="4B4A6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10026" w:type="dxa"/>
            <w:gridSpan w:val="14"/>
            <w:vAlign w:val="center"/>
          </w:tcPr>
          <w:p w14:paraId="2D2DA61D">
            <w:pPr>
              <w:spacing w:line="276" w:lineRule="auto"/>
              <w:rPr>
                <w:rFonts w:cs="宋体" w:asciiTheme="majorEastAsia" w:hAnsiTheme="majorEastAsia" w:eastAsiaTheme="majorEastAsia"/>
                <w:b/>
                <w:bCs/>
                <w:color w:val="000000"/>
                <w:sz w:val="32"/>
                <w:szCs w:val="21"/>
              </w:rPr>
            </w:pPr>
            <w:r>
              <w:rPr>
                <w:rFonts w:hint="eastAsia" w:cs="宋体" w:asciiTheme="majorEastAsia" w:hAnsiTheme="majorEastAsia" w:eastAsiaTheme="majorEastAsia"/>
                <w:b/>
                <w:sz w:val="24"/>
              </w:rPr>
              <w:t>★</w:t>
            </w:r>
            <w:r>
              <w:rPr>
                <w:rFonts w:hint="eastAsia" w:cs="宋体" w:asciiTheme="majorEastAsia" w:hAnsiTheme="majorEastAsia" w:eastAsiaTheme="majorEastAsia"/>
                <w:b/>
                <w:bCs/>
                <w:sz w:val="24"/>
              </w:rPr>
              <w:t>设备配置总清单（包括主机和各种配件或附件、试剂耗材及软件等，写明规格和数量）</w:t>
            </w:r>
          </w:p>
        </w:tc>
      </w:tr>
      <w:tr w14:paraId="1E528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631" w:type="dxa"/>
            <w:vAlign w:val="center"/>
          </w:tcPr>
          <w:p w14:paraId="012F16F4">
            <w:pPr>
              <w:spacing w:line="276" w:lineRule="auto"/>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2977" w:type="dxa"/>
            <w:gridSpan w:val="3"/>
            <w:vAlign w:val="center"/>
          </w:tcPr>
          <w:p w14:paraId="06903156">
            <w:pPr>
              <w:spacing w:line="276" w:lineRule="auto"/>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850" w:type="dxa"/>
            <w:vAlign w:val="center"/>
          </w:tcPr>
          <w:p w14:paraId="64C1678A">
            <w:pPr>
              <w:spacing w:line="276" w:lineRule="auto"/>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709" w:type="dxa"/>
            <w:gridSpan w:val="2"/>
            <w:vAlign w:val="center"/>
          </w:tcPr>
          <w:p w14:paraId="6AAE006A">
            <w:pPr>
              <w:spacing w:line="276" w:lineRule="auto"/>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709" w:type="dxa"/>
            <w:vAlign w:val="center"/>
          </w:tcPr>
          <w:p w14:paraId="3052D6F3">
            <w:pPr>
              <w:spacing w:line="276" w:lineRule="auto"/>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1275" w:type="dxa"/>
            <w:gridSpan w:val="3"/>
            <w:vAlign w:val="center"/>
          </w:tcPr>
          <w:p w14:paraId="750CE617">
            <w:pPr>
              <w:spacing w:line="276" w:lineRule="auto"/>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1276" w:type="dxa"/>
            <w:vAlign w:val="center"/>
          </w:tcPr>
          <w:p w14:paraId="0AE3FAF1">
            <w:pPr>
              <w:spacing w:line="276" w:lineRule="auto"/>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c>
          <w:tcPr>
            <w:tcW w:w="1599" w:type="dxa"/>
            <w:gridSpan w:val="2"/>
            <w:vAlign w:val="center"/>
          </w:tcPr>
          <w:p w14:paraId="671EA952">
            <w:pPr>
              <w:spacing w:line="276" w:lineRule="auto"/>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是否需要注册证/备案证</w:t>
            </w:r>
          </w:p>
        </w:tc>
      </w:tr>
      <w:tr w14:paraId="66F50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631" w:type="dxa"/>
            <w:vAlign w:val="center"/>
          </w:tcPr>
          <w:p w14:paraId="5F92772F">
            <w:pPr>
              <w:spacing w:line="276" w:lineRule="auto"/>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2977" w:type="dxa"/>
            <w:gridSpan w:val="3"/>
            <w:vAlign w:val="center"/>
          </w:tcPr>
          <w:p w14:paraId="10F333C6">
            <w:pPr>
              <w:spacing w:line="276" w:lineRule="auto"/>
              <w:jc w:val="center"/>
              <w:rPr>
                <w:rFonts w:asciiTheme="majorEastAsia" w:hAnsiTheme="majorEastAsia" w:eastAsiaTheme="majorEastAsia"/>
                <w:sz w:val="24"/>
                <w:szCs w:val="21"/>
              </w:rPr>
            </w:pPr>
            <w:r>
              <w:rPr>
                <w:rFonts w:asciiTheme="majorEastAsia" w:hAnsiTheme="majorEastAsia" w:eastAsiaTheme="majorEastAsia"/>
                <w:sz w:val="24"/>
                <w:szCs w:val="21"/>
              </w:rPr>
              <w:t>肠内营养</w:t>
            </w:r>
            <w:r>
              <w:rPr>
                <w:rFonts w:hint="eastAsia" w:asciiTheme="majorEastAsia" w:hAnsiTheme="majorEastAsia" w:eastAsiaTheme="majorEastAsia"/>
                <w:sz w:val="24"/>
                <w:szCs w:val="21"/>
              </w:rPr>
              <w:t>泵（含电池）</w:t>
            </w:r>
          </w:p>
        </w:tc>
        <w:tc>
          <w:tcPr>
            <w:tcW w:w="850" w:type="dxa"/>
            <w:vAlign w:val="center"/>
          </w:tcPr>
          <w:p w14:paraId="5D15E368">
            <w:pPr>
              <w:spacing w:line="276" w:lineRule="auto"/>
              <w:jc w:val="center"/>
              <w:rPr>
                <w:rFonts w:asciiTheme="majorEastAsia" w:hAnsiTheme="majorEastAsia" w:eastAsiaTheme="majorEastAsia"/>
                <w:sz w:val="24"/>
                <w:szCs w:val="21"/>
              </w:rPr>
            </w:pPr>
            <w:r>
              <w:rPr>
                <w:rFonts w:asciiTheme="majorEastAsia" w:hAnsiTheme="majorEastAsia" w:eastAsiaTheme="majorEastAsia"/>
                <w:sz w:val="24"/>
                <w:szCs w:val="21"/>
              </w:rPr>
              <w:t>国产</w:t>
            </w:r>
          </w:p>
        </w:tc>
        <w:tc>
          <w:tcPr>
            <w:tcW w:w="709" w:type="dxa"/>
            <w:gridSpan w:val="2"/>
            <w:vAlign w:val="center"/>
          </w:tcPr>
          <w:p w14:paraId="2BC1FAA1">
            <w:pPr>
              <w:spacing w:line="276" w:lineRule="auto"/>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3</w:t>
            </w:r>
          </w:p>
        </w:tc>
        <w:tc>
          <w:tcPr>
            <w:tcW w:w="709" w:type="dxa"/>
            <w:vAlign w:val="center"/>
          </w:tcPr>
          <w:p w14:paraId="4BB8B0E7">
            <w:pPr>
              <w:spacing w:line="276" w:lineRule="auto"/>
              <w:jc w:val="center"/>
              <w:rPr>
                <w:rFonts w:asciiTheme="majorEastAsia" w:hAnsiTheme="majorEastAsia" w:eastAsiaTheme="majorEastAsia"/>
                <w:sz w:val="24"/>
                <w:szCs w:val="21"/>
              </w:rPr>
            </w:pPr>
            <w:r>
              <w:rPr>
                <w:rFonts w:asciiTheme="majorEastAsia" w:hAnsiTheme="majorEastAsia" w:eastAsiaTheme="majorEastAsia"/>
                <w:sz w:val="24"/>
                <w:szCs w:val="21"/>
              </w:rPr>
              <w:t>台</w:t>
            </w:r>
          </w:p>
        </w:tc>
        <w:tc>
          <w:tcPr>
            <w:tcW w:w="1275" w:type="dxa"/>
            <w:gridSpan w:val="3"/>
            <w:vAlign w:val="center"/>
          </w:tcPr>
          <w:p w14:paraId="07677386">
            <w:pPr>
              <w:spacing w:line="276" w:lineRule="auto"/>
              <w:jc w:val="center"/>
              <w:rPr>
                <w:rFonts w:asciiTheme="majorEastAsia" w:hAnsiTheme="majorEastAsia" w:eastAsiaTheme="majorEastAsia"/>
                <w:sz w:val="24"/>
                <w:szCs w:val="21"/>
                <w:highlight w:val="yellow"/>
              </w:rPr>
            </w:pPr>
            <w:r>
              <w:rPr>
                <w:rFonts w:hint="eastAsia" w:asciiTheme="majorEastAsia" w:hAnsiTheme="majorEastAsia" w:eastAsiaTheme="majorEastAsia"/>
                <w:sz w:val="24"/>
                <w:szCs w:val="21"/>
                <w:highlight w:val="yellow"/>
              </w:rPr>
              <w:t>0.33</w:t>
            </w:r>
          </w:p>
        </w:tc>
        <w:tc>
          <w:tcPr>
            <w:tcW w:w="1276" w:type="dxa"/>
            <w:vAlign w:val="center"/>
          </w:tcPr>
          <w:p w14:paraId="26C79AD9">
            <w:pPr>
              <w:spacing w:line="276" w:lineRule="auto"/>
              <w:jc w:val="center"/>
              <w:rPr>
                <w:rFonts w:asciiTheme="majorEastAsia" w:hAnsiTheme="majorEastAsia" w:eastAsiaTheme="majorEastAsia"/>
                <w:sz w:val="24"/>
                <w:szCs w:val="21"/>
                <w:highlight w:val="yellow"/>
              </w:rPr>
            </w:pPr>
            <w:r>
              <w:rPr>
                <w:rFonts w:hint="eastAsia" w:asciiTheme="majorEastAsia" w:hAnsiTheme="majorEastAsia" w:eastAsiaTheme="majorEastAsia"/>
                <w:sz w:val="24"/>
                <w:szCs w:val="21"/>
                <w:highlight w:val="yellow"/>
              </w:rPr>
              <w:t>0.99</w:t>
            </w:r>
          </w:p>
        </w:tc>
        <w:tc>
          <w:tcPr>
            <w:tcW w:w="1599" w:type="dxa"/>
            <w:gridSpan w:val="2"/>
            <w:vAlign w:val="center"/>
          </w:tcPr>
          <w:p w14:paraId="528C2F07">
            <w:pPr>
              <w:spacing w:line="276" w:lineRule="auto"/>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是</w:t>
            </w:r>
          </w:p>
        </w:tc>
      </w:tr>
      <w:tr w14:paraId="01D48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631" w:type="dxa"/>
            <w:vAlign w:val="center"/>
          </w:tcPr>
          <w:p w14:paraId="60632703">
            <w:pPr>
              <w:spacing w:line="276" w:lineRule="auto"/>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2</w:t>
            </w:r>
          </w:p>
        </w:tc>
        <w:tc>
          <w:tcPr>
            <w:tcW w:w="2977" w:type="dxa"/>
            <w:gridSpan w:val="3"/>
            <w:vAlign w:val="center"/>
          </w:tcPr>
          <w:p w14:paraId="56DC83EB">
            <w:pPr>
              <w:spacing w:line="276" w:lineRule="auto"/>
              <w:jc w:val="center"/>
              <w:rPr>
                <w:rFonts w:asciiTheme="majorEastAsia" w:hAnsiTheme="majorEastAsia" w:eastAsiaTheme="majorEastAsia"/>
                <w:sz w:val="24"/>
                <w:szCs w:val="21"/>
              </w:rPr>
            </w:pPr>
            <w:r>
              <w:rPr>
                <w:rFonts w:asciiTheme="majorEastAsia" w:hAnsiTheme="majorEastAsia" w:eastAsiaTheme="majorEastAsia"/>
                <w:sz w:val="24"/>
                <w:szCs w:val="21"/>
              </w:rPr>
              <w:t>主机</w:t>
            </w:r>
          </w:p>
        </w:tc>
        <w:tc>
          <w:tcPr>
            <w:tcW w:w="850" w:type="dxa"/>
            <w:vAlign w:val="center"/>
          </w:tcPr>
          <w:p w14:paraId="64BDA270">
            <w:pPr>
              <w:spacing w:line="276" w:lineRule="auto"/>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国产</w:t>
            </w:r>
          </w:p>
        </w:tc>
        <w:tc>
          <w:tcPr>
            <w:tcW w:w="709" w:type="dxa"/>
            <w:gridSpan w:val="2"/>
            <w:vAlign w:val="center"/>
          </w:tcPr>
          <w:p w14:paraId="5A0D9B3F">
            <w:pPr>
              <w:spacing w:line="276" w:lineRule="auto"/>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3</w:t>
            </w:r>
          </w:p>
        </w:tc>
        <w:tc>
          <w:tcPr>
            <w:tcW w:w="709" w:type="dxa"/>
            <w:vAlign w:val="center"/>
          </w:tcPr>
          <w:p w14:paraId="5709A3B1">
            <w:pPr>
              <w:spacing w:line="276" w:lineRule="auto"/>
              <w:jc w:val="center"/>
              <w:rPr>
                <w:rFonts w:asciiTheme="majorEastAsia" w:hAnsiTheme="majorEastAsia" w:eastAsiaTheme="majorEastAsia"/>
                <w:sz w:val="24"/>
                <w:szCs w:val="21"/>
              </w:rPr>
            </w:pPr>
            <w:r>
              <w:rPr>
                <w:rFonts w:asciiTheme="majorEastAsia" w:hAnsiTheme="majorEastAsia" w:eastAsiaTheme="majorEastAsia"/>
                <w:sz w:val="24"/>
                <w:szCs w:val="21"/>
              </w:rPr>
              <w:t>台</w:t>
            </w:r>
          </w:p>
        </w:tc>
        <w:tc>
          <w:tcPr>
            <w:tcW w:w="1275" w:type="dxa"/>
            <w:gridSpan w:val="3"/>
            <w:vAlign w:val="center"/>
          </w:tcPr>
          <w:p w14:paraId="27D9950B">
            <w:pPr>
              <w:spacing w:line="276" w:lineRule="auto"/>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w:t>
            </w:r>
          </w:p>
        </w:tc>
        <w:tc>
          <w:tcPr>
            <w:tcW w:w="1276" w:type="dxa"/>
            <w:vAlign w:val="center"/>
          </w:tcPr>
          <w:p w14:paraId="6137955F">
            <w:pPr>
              <w:spacing w:line="276" w:lineRule="auto"/>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w:t>
            </w:r>
          </w:p>
        </w:tc>
        <w:tc>
          <w:tcPr>
            <w:tcW w:w="1599" w:type="dxa"/>
            <w:gridSpan w:val="2"/>
            <w:vAlign w:val="center"/>
          </w:tcPr>
          <w:p w14:paraId="2C6A3734">
            <w:pPr>
              <w:spacing w:line="276" w:lineRule="auto"/>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w:t>
            </w:r>
          </w:p>
        </w:tc>
      </w:tr>
      <w:tr w14:paraId="3CD86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631" w:type="dxa"/>
            <w:vAlign w:val="center"/>
          </w:tcPr>
          <w:p w14:paraId="51B0A0C1">
            <w:pPr>
              <w:spacing w:line="276" w:lineRule="auto"/>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3</w:t>
            </w:r>
          </w:p>
        </w:tc>
        <w:tc>
          <w:tcPr>
            <w:tcW w:w="2977" w:type="dxa"/>
            <w:gridSpan w:val="3"/>
            <w:vAlign w:val="center"/>
          </w:tcPr>
          <w:p w14:paraId="0013FFF6">
            <w:pPr>
              <w:spacing w:line="276" w:lineRule="auto"/>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电源适配器</w:t>
            </w:r>
          </w:p>
        </w:tc>
        <w:tc>
          <w:tcPr>
            <w:tcW w:w="850" w:type="dxa"/>
            <w:vAlign w:val="center"/>
          </w:tcPr>
          <w:p w14:paraId="1A4F1D71">
            <w:pPr>
              <w:spacing w:line="276" w:lineRule="auto"/>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国产</w:t>
            </w:r>
          </w:p>
        </w:tc>
        <w:tc>
          <w:tcPr>
            <w:tcW w:w="709" w:type="dxa"/>
            <w:gridSpan w:val="2"/>
            <w:vAlign w:val="center"/>
          </w:tcPr>
          <w:p w14:paraId="68293DCF">
            <w:pPr>
              <w:spacing w:line="276" w:lineRule="auto"/>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3</w:t>
            </w:r>
          </w:p>
        </w:tc>
        <w:tc>
          <w:tcPr>
            <w:tcW w:w="709" w:type="dxa"/>
            <w:vAlign w:val="center"/>
          </w:tcPr>
          <w:p w14:paraId="113519D1">
            <w:pPr>
              <w:spacing w:line="276" w:lineRule="auto"/>
              <w:jc w:val="center"/>
              <w:rPr>
                <w:rFonts w:asciiTheme="majorEastAsia" w:hAnsiTheme="majorEastAsia" w:eastAsiaTheme="majorEastAsia"/>
                <w:sz w:val="24"/>
                <w:szCs w:val="21"/>
              </w:rPr>
            </w:pPr>
            <w:r>
              <w:rPr>
                <w:rFonts w:asciiTheme="majorEastAsia" w:hAnsiTheme="majorEastAsia" w:eastAsiaTheme="majorEastAsia"/>
                <w:sz w:val="24"/>
                <w:szCs w:val="21"/>
              </w:rPr>
              <w:t>个</w:t>
            </w:r>
          </w:p>
        </w:tc>
        <w:tc>
          <w:tcPr>
            <w:tcW w:w="1275" w:type="dxa"/>
            <w:gridSpan w:val="3"/>
            <w:vAlign w:val="center"/>
          </w:tcPr>
          <w:p w14:paraId="3D2C329B">
            <w:pPr>
              <w:spacing w:line="276" w:lineRule="auto"/>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w:t>
            </w:r>
          </w:p>
        </w:tc>
        <w:tc>
          <w:tcPr>
            <w:tcW w:w="1276" w:type="dxa"/>
            <w:vAlign w:val="center"/>
          </w:tcPr>
          <w:p w14:paraId="639E2951">
            <w:pPr>
              <w:spacing w:line="276" w:lineRule="auto"/>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w:t>
            </w:r>
          </w:p>
        </w:tc>
        <w:tc>
          <w:tcPr>
            <w:tcW w:w="1599" w:type="dxa"/>
            <w:gridSpan w:val="2"/>
            <w:vAlign w:val="center"/>
          </w:tcPr>
          <w:p w14:paraId="45A3ED6E">
            <w:pPr>
              <w:spacing w:line="276" w:lineRule="auto"/>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w:t>
            </w:r>
          </w:p>
        </w:tc>
      </w:tr>
      <w:tr w14:paraId="439C3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631" w:type="dxa"/>
            <w:vAlign w:val="center"/>
          </w:tcPr>
          <w:p w14:paraId="554509F9">
            <w:pPr>
              <w:spacing w:line="276" w:lineRule="auto"/>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4</w:t>
            </w:r>
          </w:p>
        </w:tc>
        <w:tc>
          <w:tcPr>
            <w:tcW w:w="2977" w:type="dxa"/>
            <w:gridSpan w:val="3"/>
            <w:vAlign w:val="center"/>
          </w:tcPr>
          <w:p w14:paraId="549C7524">
            <w:pPr>
              <w:spacing w:line="276" w:lineRule="auto"/>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加温器</w:t>
            </w:r>
          </w:p>
        </w:tc>
        <w:tc>
          <w:tcPr>
            <w:tcW w:w="850" w:type="dxa"/>
            <w:vAlign w:val="center"/>
          </w:tcPr>
          <w:p w14:paraId="1146BE32">
            <w:pPr>
              <w:spacing w:line="276" w:lineRule="auto"/>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国产</w:t>
            </w:r>
          </w:p>
        </w:tc>
        <w:tc>
          <w:tcPr>
            <w:tcW w:w="709" w:type="dxa"/>
            <w:gridSpan w:val="2"/>
            <w:vAlign w:val="center"/>
          </w:tcPr>
          <w:p w14:paraId="61FB4F04">
            <w:pPr>
              <w:spacing w:line="276" w:lineRule="auto"/>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3</w:t>
            </w:r>
          </w:p>
        </w:tc>
        <w:tc>
          <w:tcPr>
            <w:tcW w:w="709" w:type="dxa"/>
            <w:vAlign w:val="center"/>
          </w:tcPr>
          <w:p w14:paraId="011337E8">
            <w:pPr>
              <w:spacing w:line="276" w:lineRule="auto"/>
              <w:jc w:val="center"/>
              <w:rPr>
                <w:rFonts w:asciiTheme="majorEastAsia" w:hAnsiTheme="majorEastAsia" w:eastAsiaTheme="majorEastAsia"/>
                <w:sz w:val="24"/>
                <w:szCs w:val="21"/>
              </w:rPr>
            </w:pPr>
            <w:r>
              <w:rPr>
                <w:rFonts w:asciiTheme="majorEastAsia" w:hAnsiTheme="majorEastAsia" w:eastAsiaTheme="majorEastAsia"/>
                <w:sz w:val="24"/>
                <w:szCs w:val="21"/>
              </w:rPr>
              <w:t>个</w:t>
            </w:r>
          </w:p>
        </w:tc>
        <w:tc>
          <w:tcPr>
            <w:tcW w:w="1275" w:type="dxa"/>
            <w:gridSpan w:val="3"/>
            <w:vAlign w:val="center"/>
          </w:tcPr>
          <w:p w14:paraId="59545E86">
            <w:pPr>
              <w:spacing w:line="276" w:lineRule="auto"/>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w:t>
            </w:r>
          </w:p>
        </w:tc>
        <w:tc>
          <w:tcPr>
            <w:tcW w:w="1276" w:type="dxa"/>
            <w:vAlign w:val="center"/>
          </w:tcPr>
          <w:p w14:paraId="14BB3112">
            <w:pPr>
              <w:spacing w:line="276" w:lineRule="auto"/>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w:t>
            </w:r>
          </w:p>
        </w:tc>
        <w:tc>
          <w:tcPr>
            <w:tcW w:w="1599" w:type="dxa"/>
            <w:gridSpan w:val="2"/>
            <w:vAlign w:val="center"/>
          </w:tcPr>
          <w:p w14:paraId="6C563E2D">
            <w:pPr>
              <w:spacing w:line="276" w:lineRule="auto"/>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w:t>
            </w:r>
          </w:p>
        </w:tc>
      </w:tr>
    </w:tbl>
    <w:p w14:paraId="5C2430CC">
      <w:pPr>
        <w:spacing w:line="276" w:lineRule="auto"/>
        <w:ind w:firstLine="480" w:firstLineChars="150"/>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二、特殊资格要求说明</w:t>
      </w:r>
    </w:p>
    <w:p w14:paraId="7370E8C2">
      <w:pPr>
        <w:pStyle w:val="16"/>
        <w:adjustRightInd w:val="0"/>
        <w:snapToGrid w:val="0"/>
        <w:ind w:firstLine="0" w:firstLineChars="0"/>
        <w:rPr>
          <w:rFonts w:asciiTheme="majorEastAsia" w:hAnsiTheme="majorEastAsia" w:eastAsiaTheme="majorEastAsia"/>
          <w:bCs/>
          <w:color w:val="FF0000"/>
          <w:szCs w:val="21"/>
        </w:rPr>
      </w:pPr>
      <w:r>
        <w:rPr>
          <w:rFonts w:hint="eastAsia" w:cs="宋体" w:asciiTheme="majorEastAsia" w:hAnsiTheme="majorEastAsia" w:eastAsiaTheme="majorEastAsia"/>
          <w:sz w:val="24"/>
        </w:rPr>
        <w:t>本项目属于医疗器械目录管理,需提供：</w:t>
      </w:r>
    </w:p>
    <w:p w14:paraId="4D9E54D5">
      <w:pPr>
        <w:pStyle w:val="16"/>
        <w:adjustRightInd w:val="0"/>
        <w:snapToGrid w:val="0"/>
        <w:ind w:firstLine="480"/>
        <w:rPr>
          <w:rFonts w:cs="宋体" w:asciiTheme="majorEastAsia" w:hAnsiTheme="majorEastAsia" w:eastAsiaTheme="majorEastAsia"/>
          <w:sz w:val="24"/>
        </w:rPr>
      </w:pPr>
      <w:r>
        <w:rPr>
          <w:rFonts w:hint="eastAsia" w:cs="宋体" w:asciiTheme="majorEastAsia" w:hAnsiTheme="majorEastAsia" w:eastAsiaTheme="majorEastAsia"/>
          <w:sz w:val="24"/>
        </w:rPr>
        <w:t>（1）若投标人为所投产品的生产企业，必须提供《医疗器械生产企业许可证》，且生产范围包含该产品；若投标人为所投产品的代理商或授权供应商，必须提供《医疗器械经营企业许可证》，且经营范围包含该产品。</w:t>
      </w:r>
    </w:p>
    <w:p w14:paraId="4E29610B">
      <w:pPr>
        <w:pStyle w:val="16"/>
        <w:adjustRightInd w:val="0"/>
        <w:snapToGrid w:val="0"/>
        <w:ind w:firstLine="480"/>
        <w:rPr>
          <w:rFonts w:cs="宋体" w:asciiTheme="majorEastAsia" w:hAnsiTheme="majorEastAsia" w:eastAsiaTheme="majorEastAsia"/>
          <w:sz w:val="24"/>
        </w:rPr>
      </w:pPr>
      <w:r>
        <w:rPr>
          <w:rFonts w:hint="eastAsia" w:cs="宋体" w:asciiTheme="majorEastAsia" w:hAnsiTheme="majorEastAsia" w:eastAsiaTheme="majorEastAsia"/>
          <w:sz w:val="24"/>
        </w:rPr>
        <w:t>（2）投标人必须提供所投产品的《医疗器械注册（备案）证》的扫描件，原件备查（开标时，该证应在有效期内；若不在有效期内，则需提供该证和所投产品在该证有效期内生产的药监局出具的证明文件）</w:t>
      </w:r>
    </w:p>
    <w:p w14:paraId="247CD1E4">
      <w:pPr>
        <w:numPr>
          <w:ilvl w:val="0"/>
          <w:numId w:val="1"/>
        </w:numPr>
        <w:spacing w:before="160" w:line="540" w:lineRule="exact"/>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技术与商务需求</w:t>
      </w:r>
    </w:p>
    <w:p w14:paraId="638CEB12">
      <w:pPr>
        <w:ind w:firstLine="221" w:firstLineChars="100"/>
        <w:rPr>
          <w:rFonts w:cs="方正小标宋简体" w:asciiTheme="majorEastAsia" w:hAnsiTheme="majorEastAsia" w:eastAsiaTheme="majorEastAsia"/>
          <w:sz w:val="22"/>
          <w:szCs w:val="36"/>
        </w:rPr>
      </w:pPr>
      <w:r>
        <w:rPr>
          <w:rFonts w:hint="eastAsia" w:cs="宋体" w:asciiTheme="majorEastAsia" w:hAnsiTheme="majorEastAsia" w:eastAsiaTheme="majorEastAsia"/>
          <w:b/>
          <w:bCs/>
          <w:sz w:val="22"/>
        </w:rPr>
        <w:t>说明：</w:t>
      </w:r>
      <w:r>
        <w:rPr>
          <w:rFonts w:hint="eastAsia" w:cs="宋体" w:asciiTheme="majorEastAsia" w:hAnsiTheme="majorEastAsia" w:eastAsiaTheme="majorEastAsia"/>
          <w:b/>
          <w:sz w:val="22"/>
        </w:rPr>
        <w:t>1.“★”号条款为实质性条款，必须完全满足，不满足则不予采购。</w:t>
      </w:r>
      <w:r>
        <w:rPr>
          <w:rFonts w:hint="eastAsia" w:cs="宋体" w:asciiTheme="majorEastAsia" w:hAnsiTheme="majorEastAsia" w:eastAsiaTheme="majorEastAsia"/>
          <w:sz w:val="18"/>
        </w:rPr>
        <w:t>（核心技术要求（以</w:t>
      </w:r>
      <w:r>
        <w:rPr>
          <w:rFonts w:hint="eastAsia" w:cs="宋体" w:asciiTheme="majorEastAsia" w:hAnsiTheme="majorEastAsia" w:eastAsiaTheme="majorEastAsia"/>
          <w:sz w:val="18"/>
          <w:szCs w:val="20"/>
        </w:rPr>
        <w:t>★</w:t>
      </w:r>
      <w:r>
        <w:rPr>
          <w:rFonts w:hint="eastAsia" w:cs="宋体" w:asciiTheme="majorEastAsia" w:hAnsiTheme="majorEastAsia" w:eastAsiaTheme="majorEastAsia"/>
          <w:sz w:val="18"/>
        </w:rPr>
        <w:t>号标注）为技术条款实质性要求不允许负偏离;否则将被否决。其数量≤5条，且必须有不少于3个品牌满足，并在第四部分作出承诺。）</w:t>
      </w:r>
    </w:p>
    <w:p w14:paraId="30230A2D">
      <w:pPr>
        <w:ind w:firstLine="221" w:firstLineChars="100"/>
        <w:rPr>
          <w:rFonts w:cs="方正小标宋简体" w:asciiTheme="majorEastAsia" w:hAnsiTheme="majorEastAsia" w:eastAsiaTheme="majorEastAsia"/>
          <w:sz w:val="18"/>
          <w:szCs w:val="20"/>
        </w:rPr>
      </w:pPr>
      <w:r>
        <w:rPr>
          <w:rFonts w:hint="eastAsia" w:cs="宋体" w:asciiTheme="majorEastAsia" w:hAnsiTheme="majorEastAsia" w:eastAsiaTheme="majorEastAsia"/>
          <w:b/>
          <w:sz w:val="22"/>
        </w:rPr>
        <w:t xml:space="preserve"> 2.“▲”</w:t>
      </w:r>
      <w:r>
        <w:rPr>
          <w:rFonts w:hint="eastAsia" w:cs="宋体" w:asciiTheme="majorEastAsia" w:hAnsiTheme="majorEastAsia" w:eastAsiaTheme="majorEastAsia"/>
          <w:b/>
          <w:bCs/>
          <w:sz w:val="22"/>
        </w:rPr>
        <w:t>号条款为重要技术参数，需逐一确定是否满足。</w:t>
      </w:r>
      <w:r>
        <w:rPr>
          <w:rFonts w:hint="eastAsia" w:cs="宋体" w:asciiTheme="majorEastAsia" w:hAnsiTheme="majorEastAsia" w:eastAsiaTheme="majorEastAsia"/>
          <w:bCs/>
          <w:sz w:val="18"/>
          <w:szCs w:val="20"/>
        </w:rPr>
        <w:t>（</w:t>
      </w:r>
      <w:r>
        <w:rPr>
          <w:rFonts w:hint="eastAsia" w:cs="宋体" w:asciiTheme="majorEastAsia" w:hAnsiTheme="majorEastAsia" w:eastAsiaTheme="majorEastAsia"/>
          <w:sz w:val="18"/>
          <w:szCs w:val="20"/>
        </w:rPr>
        <w:t>重要技术要求（以▲号标注）数量≤全部技术要求的10%。</w:t>
      </w:r>
      <w:r>
        <w:rPr>
          <w:rFonts w:hint="eastAsia" w:cs="宋体" w:asciiTheme="majorEastAsia" w:hAnsiTheme="majorEastAsia" w:eastAsiaTheme="majorEastAsia"/>
          <w:bCs/>
          <w:sz w:val="18"/>
          <w:szCs w:val="20"/>
        </w:rPr>
        <w:t>）</w:t>
      </w:r>
    </w:p>
    <w:tbl>
      <w:tblPr>
        <w:tblStyle w:val="9"/>
        <w:tblW w:w="100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8"/>
        <w:gridCol w:w="709"/>
        <w:gridCol w:w="578"/>
        <w:gridCol w:w="7785"/>
        <w:gridCol w:w="476"/>
      </w:tblGrid>
      <w:tr w14:paraId="67375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9550" w:type="dxa"/>
            <w:gridSpan w:val="4"/>
            <w:vAlign w:val="center"/>
          </w:tcPr>
          <w:p w14:paraId="4B4A24C2">
            <w:pPr>
              <w:rPr>
                <w:rFonts w:asciiTheme="majorEastAsia" w:hAnsiTheme="majorEastAsia" w:eastAsiaTheme="majorEastAsia"/>
                <w:b/>
                <w:sz w:val="28"/>
                <w:szCs w:val="21"/>
              </w:rPr>
            </w:pPr>
            <w:r>
              <w:rPr>
                <w:rFonts w:hint="eastAsia" w:asciiTheme="majorEastAsia" w:hAnsiTheme="majorEastAsia" w:eastAsiaTheme="majorEastAsia"/>
                <w:b/>
                <w:sz w:val="28"/>
                <w:szCs w:val="21"/>
              </w:rPr>
              <w:t>一、技术部分</w:t>
            </w:r>
          </w:p>
        </w:tc>
        <w:tc>
          <w:tcPr>
            <w:tcW w:w="476" w:type="dxa"/>
            <w:vAlign w:val="center"/>
          </w:tcPr>
          <w:p w14:paraId="7670FA18">
            <w:pPr>
              <w:jc w:val="center"/>
              <w:rPr>
                <w:rFonts w:asciiTheme="majorEastAsia" w:hAnsiTheme="majorEastAsia" w:eastAsiaTheme="majorEastAsia"/>
                <w:b/>
                <w:sz w:val="24"/>
                <w:szCs w:val="21"/>
              </w:rPr>
            </w:pPr>
          </w:p>
        </w:tc>
      </w:tr>
      <w:tr w14:paraId="621C4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atLeast"/>
          <w:jc w:val="center"/>
        </w:trPr>
        <w:tc>
          <w:tcPr>
            <w:tcW w:w="478" w:type="dxa"/>
            <w:vAlign w:val="center"/>
          </w:tcPr>
          <w:p w14:paraId="5264449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709" w:type="dxa"/>
            <w:vAlign w:val="center"/>
          </w:tcPr>
          <w:p w14:paraId="6BA96439">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8363" w:type="dxa"/>
            <w:gridSpan w:val="2"/>
            <w:vAlign w:val="center"/>
          </w:tcPr>
          <w:p w14:paraId="5C76BE1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技术要求</w:t>
            </w:r>
          </w:p>
        </w:tc>
        <w:tc>
          <w:tcPr>
            <w:tcW w:w="476" w:type="dxa"/>
            <w:vAlign w:val="center"/>
          </w:tcPr>
          <w:p w14:paraId="52675B09">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标注</w:t>
            </w:r>
          </w:p>
        </w:tc>
      </w:tr>
      <w:tr w14:paraId="4ECA1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478" w:type="dxa"/>
            <w:vMerge w:val="restart"/>
          </w:tcPr>
          <w:p w14:paraId="7265CF3A">
            <w:pPr>
              <w:spacing w:line="276" w:lineRule="auto"/>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709" w:type="dxa"/>
            <w:vMerge w:val="restart"/>
          </w:tcPr>
          <w:p w14:paraId="46CBDE81">
            <w:pPr>
              <w:spacing w:line="276" w:lineRule="auto"/>
              <w:rPr>
                <w:rFonts w:asciiTheme="majorEastAsia" w:hAnsiTheme="majorEastAsia" w:eastAsiaTheme="majorEastAsia"/>
                <w:b/>
                <w:sz w:val="24"/>
                <w:szCs w:val="21"/>
              </w:rPr>
            </w:pPr>
            <w:r>
              <w:rPr>
                <w:rFonts w:asciiTheme="majorEastAsia" w:hAnsiTheme="majorEastAsia" w:eastAsiaTheme="majorEastAsia"/>
                <w:b/>
                <w:sz w:val="24"/>
                <w:szCs w:val="21"/>
              </w:rPr>
              <w:t>肠内营养</w:t>
            </w:r>
            <w:r>
              <w:rPr>
                <w:rFonts w:hint="eastAsia" w:asciiTheme="majorEastAsia" w:hAnsiTheme="majorEastAsia" w:eastAsiaTheme="majorEastAsia"/>
                <w:b/>
                <w:sz w:val="24"/>
                <w:szCs w:val="21"/>
              </w:rPr>
              <w:t>泵</w:t>
            </w:r>
          </w:p>
        </w:tc>
        <w:tc>
          <w:tcPr>
            <w:tcW w:w="8363" w:type="dxa"/>
            <w:gridSpan w:val="2"/>
          </w:tcPr>
          <w:p w14:paraId="1623CD36">
            <w:pPr>
              <w:spacing w:line="276" w:lineRule="auto"/>
              <w:rPr>
                <w:rFonts w:asciiTheme="majorEastAsia" w:hAnsiTheme="majorEastAsia" w:eastAsiaTheme="majorEastAsia"/>
                <w:b/>
                <w:sz w:val="22"/>
                <w:szCs w:val="21"/>
              </w:rPr>
            </w:pPr>
            <w:r>
              <w:rPr>
                <w:rFonts w:hint="eastAsia" w:asciiTheme="majorEastAsia" w:hAnsiTheme="majorEastAsia" w:eastAsiaTheme="majorEastAsia"/>
                <w:b/>
                <w:sz w:val="22"/>
                <w:szCs w:val="21"/>
              </w:rPr>
              <w:t>一、主机参数</w:t>
            </w:r>
          </w:p>
        </w:tc>
        <w:tc>
          <w:tcPr>
            <w:tcW w:w="476" w:type="dxa"/>
          </w:tcPr>
          <w:p w14:paraId="76845BFE">
            <w:pPr>
              <w:spacing w:line="276" w:lineRule="auto"/>
              <w:rPr>
                <w:rFonts w:asciiTheme="majorEastAsia" w:hAnsiTheme="majorEastAsia" w:eastAsiaTheme="majorEastAsia"/>
                <w:b/>
                <w:sz w:val="24"/>
                <w:szCs w:val="21"/>
              </w:rPr>
            </w:pPr>
          </w:p>
        </w:tc>
      </w:tr>
      <w:tr w14:paraId="1C057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 w:hRule="atLeast"/>
          <w:jc w:val="center"/>
        </w:trPr>
        <w:tc>
          <w:tcPr>
            <w:tcW w:w="478" w:type="dxa"/>
            <w:vMerge w:val="continue"/>
          </w:tcPr>
          <w:p w14:paraId="3999AEEA">
            <w:pPr>
              <w:spacing w:line="276" w:lineRule="auto"/>
              <w:rPr>
                <w:rFonts w:asciiTheme="majorEastAsia" w:hAnsiTheme="majorEastAsia" w:eastAsiaTheme="majorEastAsia"/>
                <w:b/>
                <w:sz w:val="24"/>
                <w:szCs w:val="21"/>
              </w:rPr>
            </w:pPr>
          </w:p>
        </w:tc>
        <w:tc>
          <w:tcPr>
            <w:tcW w:w="709" w:type="dxa"/>
            <w:vMerge w:val="continue"/>
          </w:tcPr>
          <w:p w14:paraId="57D8209F">
            <w:pPr>
              <w:spacing w:line="276" w:lineRule="auto"/>
              <w:rPr>
                <w:rFonts w:asciiTheme="majorEastAsia" w:hAnsiTheme="majorEastAsia" w:eastAsiaTheme="majorEastAsia"/>
                <w:b/>
                <w:sz w:val="24"/>
                <w:szCs w:val="21"/>
              </w:rPr>
            </w:pPr>
          </w:p>
        </w:tc>
        <w:tc>
          <w:tcPr>
            <w:tcW w:w="8363" w:type="dxa"/>
            <w:gridSpan w:val="2"/>
          </w:tcPr>
          <w:p w14:paraId="196856E5">
            <w:pPr>
              <w:spacing w:line="240" w:lineRule="exact"/>
              <w:jc w:val="left"/>
              <w:rPr>
                <w:rFonts w:ascii="微软雅黑" w:hAnsi="微软雅黑"/>
                <w:sz w:val="22"/>
                <w:szCs w:val="21"/>
              </w:rPr>
            </w:pPr>
            <w:r>
              <w:rPr>
                <w:rFonts w:hint="eastAsia" w:ascii="微软雅黑" w:hAnsi="微软雅黑"/>
                <w:sz w:val="22"/>
                <w:szCs w:val="21"/>
              </w:rPr>
              <w:t>1、输液速度设定范围：0～1000ml/h（步进1ml/h）</w:t>
            </w:r>
            <w:r>
              <w:rPr>
                <w:rFonts w:hint="eastAsia" w:ascii="微软雅黑" w:hAnsi="微软雅黑"/>
                <w:sz w:val="22"/>
                <w:szCs w:val="21"/>
                <w:lang w:eastAsia="zh-CN"/>
              </w:rPr>
              <w:t>（</w:t>
            </w:r>
            <w:r>
              <w:rPr>
                <w:rFonts w:hint="eastAsia" w:ascii="微软雅黑" w:hAnsi="微软雅黑"/>
                <w:sz w:val="22"/>
                <w:szCs w:val="21"/>
                <w:lang w:val="en-US" w:eastAsia="zh-CN"/>
              </w:rPr>
              <w:t>需包含此范围</w:t>
            </w:r>
            <w:r>
              <w:rPr>
                <w:rFonts w:hint="eastAsia" w:ascii="微软雅黑" w:hAnsi="微软雅黑"/>
                <w:sz w:val="22"/>
                <w:szCs w:val="21"/>
                <w:lang w:eastAsia="zh-CN"/>
              </w:rPr>
              <w:t>）</w:t>
            </w:r>
            <w:r>
              <w:rPr>
                <w:rFonts w:hint="eastAsia" w:ascii="微软雅黑" w:hAnsi="微软雅黑"/>
                <w:sz w:val="22"/>
                <w:szCs w:val="21"/>
              </w:rPr>
              <w:t>，误差应不超过±10％。</w:t>
            </w:r>
          </w:p>
        </w:tc>
        <w:tc>
          <w:tcPr>
            <w:tcW w:w="476" w:type="dxa"/>
          </w:tcPr>
          <w:p w14:paraId="52DA4E94">
            <w:pPr>
              <w:spacing w:line="240" w:lineRule="exact"/>
              <w:jc w:val="left"/>
              <w:rPr>
                <w:rFonts w:asciiTheme="majorEastAsia" w:hAnsiTheme="majorEastAsia" w:eastAsiaTheme="majorEastAsia"/>
                <w:b/>
                <w:sz w:val="24"/>
                <w:szCs w:val="21"/>
              </w:rPr>
            </w:pPr>
            <w:r>
              <w:rPr>
                <w:rFonts w:hint="eastAsia" w:cs="宋体" w:asciiTheme="majorEastAsia" w:hAnsiTheme="majorEastAsia" w:eastAsiaTheme="majorEastAsia"/>
                <w:sz w:val="20"/>
                <w:szCs w:val="20"/>
              </w:rPr>
              <w:t>▲</w:t>
            </w:r>
          </w:p>
        </w:tc>
      </w:tr>
      <w:tr w14:paraId="720E9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478" w:type="dxa"/>
            <w:vMerge w:val="continue"/>
          </w:tcPr>
          <w:p w14:paraId="18BBE8C1">
            <w:pPr>
              <w:spacing w:line="276" w:lineRule="auto"/>
              <w:rPr>
                <w:rFonts w:asciiTheme="majorEastAsia" w:hAnsiTheme="majorEastAsia" w:eastAsiaTheme="majorEastAsia"/>
                <w:b/>
                <w:sz w:val="24"/>
                <w:szCs w:val="21"/>
              </w:rPr>
            </w:pPr>
          </w:p>
        </w:tc>
        <w:tc>
          <w:tcPr>
            <w:tcW w:w="709" w:type="dxa"/>
            <w:vMerge w:val="continue"/>
          </w:tcPr>
          <w:p w14:paraId="7BDCF12D">
            <w:pPr>
              <w:spacing w:line="276" w:lineRule="auto"/>
              <w:rPr>
                <w:rFonts w:asciiTheme="majorEastAsia" w:hAnsiTheme="majorEastAsia" w:eastAsiaTheme="majorEastAsia"/>
                <w:b/>
                <w:sz w:val="24"/>
                <w:szCs w:val="21"/>
              </w:rPr>
            </w:pPr>
          </w:p>
        </w:tc>
        <w:tc>
          <w:tcPr>
            <w:tcW w:w="8363" w:type="dxa"/>
            <w:gridSpan w:val="2"/>
          </w:tcPr>
          <w:p w14:paraId="661D4CF9">
            <w:pPr>
              <w:spacing w:line="240" w:lineRule="exact"/>
              <w:jc w:val="left"/>
              <w:rPr>
                <w:rFonts w:ascii="微软雅黑" w:hAnsi="微软雅黑"/>
                <w:sz w:val="22"/>
                <w:szCs w:val="21"/>
              </w:rPr>
            </w:pPr>
            <w:r>
              <w:rPr>
                <w:rFonts w:hint="eastAsia" w:ascii="微软雅黑" w:hAnsi="微软雅黑"/>
                <w:sz w:val="22"/>
                <w:szCs w:val="21"/>
              </w:rPr>
              <w:t>2、输液量设定范围：0～3000ml（步进1ml）</w:t>
            </w:r>
            <w:r>
              <w:rPr>
                <w:rFonts w:hint="eastAsia" w:ascii="微软雅黑" w:hAnsi="微软雅黑"/>
                <w:sz w:val="22"/>
                <w:szCs w:val="21"/>
                <w:lang w:eastAsia="zh-CN"/>
              </w:rPr>
              <w:t>（</w:t>
            </w:r>
            <w:r>
              <w:rPr>
                <w:rFonts w:hint="eastAsia" w:ascii="微软雅黑" w:hAnsi="微软雅黑"/>
                <w:sz w:val="22"/>
                <w:szCs w:val="21"/>
                <w:lang w:val="en-US" w:eastAsia="zh-CN"/>
              </w:rPr>
              <w:t>需包含此范围</w:t>
            </w:r>
            <w:r>
              <w:rPr>
                <w:rFonts w:hint="eastAsia" w:ascii="微软雅黑" w:hAnsi="微软雅黑"/>
                <w:sz w:val="22"/>
                <w:szCs w:val="21"/>
                <w:lang w:eastAsia="zh-CN"/>
              </w:rPr>
              <w:t>）</w:t>
            </w:r>
            <w:r>
              <w:rPr>
                <w:rFonts w:hint="eastAsia" w:ascii="微软雅黑" w:hAnsi="微软雅黑"/>
                <w:sz w:val="22"/>
                <w:szCs w:val="21"/>
              </w:rPr>
              <w:t>，误差应不超过±10％。</w:t>
            </w:r>
          </w:p>
        </w:tc>
        <w:tc>
          <w:tcPr>
            <w:tcW w:w="476" w:type="dxa"/>
          </w:tcPr>
          <w:p w14:paraId="0D1ECF97">
            <w:pPr>
              <w:spacing w:line="240" w:lineRule="exact"/>
              <w:jc w:val="left"/>
              <w:rPr>
                <w:rFonts w:asciiTheme="majorEastAsia" w:hAnsiTheme="majorEastAsia" w:eastAsiaTheme="majorEastAsia"/>
                <w:b/>
                <w:sz w:val="24"/>
                <w:szCs w:val="21"/>
              </w:rPr>
            </w:pPr>
          </w:p>
        </w:tc>
      </w:tr>
      <w:tr w14:paraId="2BC78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 w:hRule="atLeast"/>
          <w:jc w:val="center"/>
        </w:trPr>
        <w:tc>
          <w:tcPr>
            <w:tcW w:w="478" w:type="dxa"/>
            <w:vMerge w:val="continue"/>
          </w:tcPr>
          <w:p w14:paraId="3433A4FD">
            <w:pPr>
              <w:spacing w:line="276" w:lineRule="auto"/>
              <w:rPr>
                <w:rFonts w:asciiTheme="majorEastAsia" w:hAnsiTheme="majorEastAsia" w:eastAsiaTheme="majorEastAsia"/>
                <w:b/>
                <w:sz w:val="24"/>
                <w:szCs w:val="21"/>
              </w:rPr>
            </w:pPr>
          </w:p>
        </w:tc>
        <w:tc>
          <w:tcPr>
            <w:tcW w:w="709" w:type="dxa"/>
            <w:vMerge w:val="continue"/>
          </w:tcPr>
          <w:p w14:paraId="3C4D544E">
            <w:pPr>
              <w:spacing w:line="276" w:lineRule="auto"/>
              <w:rPr>
                <w:rFonts w:asciiTheme="majorEastAsia" w:hAnsiTheme="majorEastAsia" w:eastAsiaTheme="majorEastAsia"/>
                <w:b/>
                <w:sz w:val="24"/>
                <w:szCs w:val="21"/>
              </w:rPr>
            </w:pPr>
          </w:p>
        </w:tc>
        <w:tc>
          <w:tcPr>
            <w:tcW w:w="8363" w:type="dxa"/>
            <w:gridSpan w:val="2"/>
          </w:tcPr>
          <w:p w14:paraId="7DA7F85E">
            <w:pPr>
              <w:spacing w:line="240" w:lineRule="exact"/>
              <w:jc w:val="left"/>
              <w:rPr>
                <w:rFonts w:ascii="微软雅黑" w:hAnsi="微软雅黑"/>
                <w:sz w:val="22"/>
                <w:szCs w:val="21"/>
              </w:rPr>
            </w:pPr>
            <w:r>
              <w:rPr>
                <w:rFonts w:hint="eastAsia" w:ascii="微软雅黑" w:hAnsi="微软雅黑"/>
                <w:sz w:val="22"/>
                <w:szCs w:val="21"/>
              </w:rPr>
              <w:t>3、输液累计总量为0～9999ml</w:t>
            </w:r>
            <w:r>
              <w:rPr>
                <w:rFonts w:hint="eastAsia" w:ascii="微软雅黑" w:hAnsi="微软雅黑"/>
                <w:sz w:val="22"/>
                <w:szCs w:val="21"/>
                <w:lang w:eastAsia="zh-CN"/>
              </w:rPr>
              <w:t>（</w:t>
            </w:r>
            <w:r>
              <w:rPr>
                <w:rFonts w:hint="eastAsia" w:ascii="微软雅黑" w:hAnsi="微软雅黑"/>
                <w:sz w:val="22"/>
                <w:szCs w:val="21"/>
                <w:lang w:val="en-US" w:eastAsia="zh-CN"/>
              </w:rPr>
              <w:t>需包含此范围</w:t>
            </w:r>
            <w:r>
              <w:rPr>
                <w:rFonts w:hint="eastAsia" w:ascii="微软雅黑" w:hAnsi="微软雅黑"/>
                <w:sz w:val="22"/>
                <w:szCs w:val="21"/>
                <w:lang w:eastAsia="zh-CN"/>
              </w:rPr>
              <w:t>）</w:t>
            </w:r>
            <w:r>
              <w:rPr>
                <w:rFonts w:hint="eastAsia" w:ascii="微软雅黑" w:hAnsi="微软雅黑"/>
                <w:sz w:val="22"/>
                <w:szCs w:val="21"/>
              </w:rPr>
              <w:t>，输液量累积量误差应不超过±10％。</w:t>
            </w:r>
          </w:p>
        </w:tc>
        <w:tc>
          <w:tcPr>
            <w:tcW w:w="476" w:type="dxa"/>
          </w:tcPr>
          <w:p w14:paraId="2FF02BA8">
            <w:pPr>
              <w:spacing w:line="240" w:lineRule="exact"/>
              <w:jc w:val="left"/>
              <w:rPr>
                <w:rFonts w:asciiTheme="majorEastAsia" w:hAnsiTheme="majorEastAsia" w:eastAsiaTheme="majorEastAsia"/>
                <w:b/>
                <w:sz w:val="24"/>
                <w:szCs w:val="21"/>
              </w:rPr>
            </w:pPr>
          </w:p>
        </w:tc>
      </w:tr>
      <w:tr w14:paraId="462DE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jc w:val="center"/>
        </w:trPr>
        <w:tc>
          <w:tcPr>
            <w:tcW w:w="478" w:type="dxa"/>
            <w:vMerge w:val="continue"/>
          </w:tcPr>
          <w:p w14:paraId="20E35F59">
            <w:pPr>
              <w:spacing w:line="276" w:lineRule="auto"/>
              <w:rPr>
                <w:rFonts w:asciiTheme="majorEastAsia" w:hAnsiTheme="majorEastAsia" w:eastAsiaTheme="majorEastAsia"/>
                <w:b/>
                <w:sz w:val="24"/>
                <w:szCs w:val="21"/>
              </w:rPr>
            </w:pPr>
          </w:p>
        </w:tc>
        <w:tc>
          <w:tcPr>
            <w:tcW w:w="709" w:type="dxa"/>
            <w:vMerge w:val="continue"/>
          </w:tcPr>
          <w:p w14:paraId="4DCD95F3">
            <w:pPr>
              <w:spacing w:line="276" w:lineRule="auto"/>
              <w:rPr>
                <w:rFonts w:asciiTheme="majorEastAsia" w:hAnsiTheme="majorEastAsia" w:eastAsiaTheme="majorEastAsia"/>
                <w:b/>
                <w:sz w:val="24"/>
                <w:szCs w:val="21"/>
              </w:rPr>
            </w:pPr>
          </w:p>
        </w:tc>
        <w:tc>
          <w:tcPr>
            <w:tcW w:w="8363" w:type="dxa"/>
            <w:gridSpan w:val="2"/>
          </w:tcPr>
          <w:p w14:paraId="62FE6317">
            <w:pPr>
              <w:spacing w:line="240" w:lineRule="exact"/>
              <w:jc w:val="left"/>
              <w:rPr>
                <w:rFonts w:ascii="微软雅黑" w:hAnsi="微软雅黑"/>
                <w:sz w:val="22"/>
                <w:szCs w:val="21"/>
              </w:rPr>
            </w:pPr>
            <w:r>
              <w:rPr>
                <w:rFonts w:hint="eastAsia" w:ascii="微软雅黑" w:hAnsi="微软雅黑"/>
                <w:sz w:val="22"/>
                <w:szCs w:val="21"/>
              </w:rPr>
              <w:t>4、报警音量设置和显示功能：设置范围包括低、中、高三档，设定音量可显示。</w:t>
            </w:r>
          </w:p>
        </w:tc>
        <w:tc>
          <w:tcPr>
            <w:tcW w:w="476" w:type="dxa"/>
          </w:tcPr>
          <w:p w14:paraId="542C6510">
            <w:pPr>
              <w:spacing w:line="240" w:lineRule="exact"/>
              <w:jc w:val="left"/>
              <w:rPr>
                <w:rFonts w:asciiTheme="majorEastAsia" w:hAnsiTheme="majorEastAsia" w:eastAsiaTheme="majorEastAsia"/>
                <w:b/>
                <w:sz w:val="24"/>
                <w:szCs w:val="21"/>
              </w:rPr>
            </w:pPr>
          </w:p>
        </w:tc>
      </w:tr>
      <w:tr w14:paraId="6C5B7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78" w:type="dxa"/>
            <w:vMerge w:val="continue"/>
          </w:tcPr>
          <w:p w14:paraId="6AD22FB6">
            <w:pPr>
              <w:spacing w:line="276" w:lineRule="auto"/>
              <w:rPr>
                <w:rFonts w:asciiTheme="majorEastAsia" w:hAnsiTheme="majorEastAsia" w:eastAsiaTheme="majorEastAsia"/>
                <w:b/>
                <w:sz w:val="24"/>
                <w:szCs w:val="21"/>
              </w:rPr>
            </w:pPr>
          </w:p>
        </w:tc>
        <w:tc>
          <w:tcPr>
            <w:tcW w:w="709" w:type="dxa"/>
            <w:vMerge w:val="continue"/>
          </w:tcPr>
          <w:p w14:paraId="1C7D373B">
            <w:pPr>
              <w:spacing w:line="276" w:lineRule="auto"/>
              <w:rPr>
                <w:rFonts w:asciiTheme="majorEastAsia" w:hAnsiTheme="majorEastAsia" w:eastAsiaTheme="majorEastAsia"/>
                <w:b/>
                <w:sz w:val="24"/>
                <w:szCs w:val="21"/>
              </w:rPr>
            </w:pPr>
          </w:p>
        </w:tc>
        <w:tc>
          <w:tcPr>
            <w:tcW w:w="8363" w:type="dxa"/>
            <w:gridSpan w:val="2"/>
          </w:tcPr>
          <w:p w14:paraId="0ABC8B4F">
            <w:pPr>
              <w:spacing w:line="240" w:lineRule="exact"/>
              <w:jc w:val="left"/>
              <w:rPr>
                <w:rFonts w:ascii="微软雅黑" w:hAnsi="微软雅黑"/>
                <w:sz w:val="22"/>
                <w:szCs w:val="21"/>
              </w:rPr>
            </w:pPr>
            <w:r>
              <w:rPr>
                <w:rFonts w:hint="eastAsia" w:ascii="微软雅黑" w:hAnsi="微软雅黑"/>
                <w:sz w:val="22"/>
                <w:szCs w:val="21"/>
              </w:rPr>
              <w:t>5、预灌注功能：1）自动预灌注：在60~</w:t>
            </w:r>
            <w:r>
              <w:rPr>
                <w:rFonts w:ascii="微软雅黑" w:hAnsi="微软雅黑"/>
                <w:sz w:val="22"/>
                <w:szCs w:val="21"/>
              </w:rPr>
              <w:t>90秒内使营养液充满整个管路</w:t>
            </w:r>
            <w:r>
              <w:rPr>
                <w:rFonts w:hint="eastAsia" w:ascii="微软雅黑" w:hAnsi="微软雅黑"/>
                <w:sz w:val="22"/>
                <w:szCs w:val="21"/>
              </w:rPr>
              <w:t>。2）手动预灌注：当按住手动预灌注模式按键时，营养液快速输送，松开按键时，输送停止。</w:t>
            </w:r>
          </w:p>
        </w:tc>
        <w:tc>
          <w:tcPr>
            <w:tcW w:w="476" w:type="dxa"/>
          </w:tcPr>
          <w:p w14:paraId="7E390400">
            <w:pPr>
              <w:spacing w:line="240" w:lineRule="exact"/>
              <w:jc w:val="left"/>
              <w:rPr>
                <w:rFonts w:asciiTheme="majorEastAsia" w:hAnsiTheme="majorEastAsia" w:eastAsiaTheme="majorEastAsia"/>
                <w:b/>
                <w:sz w:val="24"/>
                <w:szCs w:val="21"/>
              </w:rPr>
            </w:pPr>
          </w:p>
        </w:tc>
      </w:tr>
      <w:tr w14:paraId="548FD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jc w:val="center"/>
        </w:trPr>
        <w:tc>
          <w:tcPr>
            <w:tcW w:w="478" w:type="dxa"/>
            <w:vMerge w:val="continue"/>
          </w:tcPr>
          <w:p w14:paraId="0CFB6FD4">
            <w:pPr>
              <w:spacing w:line="276" w:lineRule="auto"/>
              <w:rPr>
                <w:rFonts w:asciiTheme="majorEastAsia" w:hAnsiTheme="majorEastAsia" w:eastAsiaTheme="majorEastAsia"/>
                <w:b/>
                <w:sz w:val="24"/>
                <w:szCs w:val="21"/>
              </w:rPr>
            </w:pPr>
          </w:p>
        </w:tc>
        <w:tc>
          <w:tcPr>
            <w:tcW w:w="709" w:type="dxa"/>
            <w:vMerge w:val="continue"/>
          </w:tcPr>
          <w:p w14:paraId="24FDD370">
            <w:pPr>
              <w:spacing w:line="276" w:lineRule="auto"/>
              <w:rPr>
                <w:rFonts w:asciiTheme="majorEastAsia" w:hAnsiTheme="majorEastAsia" w:eastAsiaTheme="majorEastAsia"/>
                <w:b/>
                <w:sz w:val="24"/>
                <w:szCs w:val="21"/>
              </w:rPr>
            </w:pPr>
          </w:p>
        </w:tc>
        <w:tc>
          <w:tcPr>
            <w:tcW w:w="8363" w:type="dxa"/>
            <w:gridSpan w:val="2"/>
          </w:tcPr>
          <w:p w14:paraId="38A524BD">
            <w:pPr>
              <w:spacing w:line="240" w:lineRule="exact"/>
              <w:jc w:val="left"/>
              <w:rPr>
                <w:rFonts w:ascii="微软雅黑" w:hAnsi="微软雅黑"/>
                <w:sz w:val="22"/>
                <w:szCs w:val="21"/>
              </w:rPr>
            </w:pPr>
            <w:r>
              <w:rPr>
                <w:rFonts w:hint="eastAsia" w:ascii="微软雅黑" w:hAnsi="微软雅黑"/>
                <w:sz w:val="22"/>
                <w:szCs w:val="21"/>
              </w:rPr>
              <w:t>6、清除总量功能：当累计输液量大于等于输液任务值时，可按键清除累计输液量。</w:t>
            </w:r>
          </w:p>
        </w:tc>
        <w:tc>
          <w:tcPr>
            <w:tcW w:w="476" w:type="dxa"/>
          </w:tcPr>
          <w:p w14:paraId="327F3137">
            <w:pPr>
              <w:spacing w:line="240" w:lineRule="exact"/>
              <w:jc w:val="left"/>
              <w:rPr>
                <w:rFonts w:asciiTheme="majorEastAsia" w:hAnsiTheme="majorEastAsia" w:eastAsiaTheme="majorEastAsia"/>
                <w:b/>
                <w:sz w:val="24"/>
                <w:szCs w:val="21"/>
              </w:rPr>
            </w:pPr>
          </w:p>
        </w:tc>
      </w:tr>
      <w:tr w14:paraId="6C9F3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478" w:type="dxa"/>
            <w:vMerge w:val="continue"/>
          </w:tcPr>
          <w:p w14:paraId="2DC04FAE">
            <w:pPr>
              <w:spacing w:line="276" w:lineRule="auto"/>
              <w:rPr>
                <w:rFonts w:asciiTheme="majorEastAsia" w:hAnsiTheme="majorEastAsia" w:eastAsiaTheme="majorEastAsia"/>
                <w:b/>
                <w:sz w:val="24"/>
                <w:szCs w:val="21"/>
              </w:rPr>
            </w:pPr>
          </w:p>
        </w:tc>
        <w:tc>
          <w:tcPr>
            <w:tcW w:w="709" w:type="dxa"/>
            <w:vMerge w:val="continue"/>
          </w:tcPr>
          <w:p w14:paraId="45BD94BC">
            <w:pPr>
              <w:spacing w:line="276" w:lineRule="auto"/>
              <w:rPr>
                <w:rFonts w:asciiTheme="majorEastAsia" w:hAnsiTheme="majorEastAsia" w:eastAsiaTheme="majorEastAsia"/>
                <w:b/>
                <w:sz w:val="24"/>
                <w:szCs w:val="21"/>
              </w:rPr>
            </w:pPr>
          </w:p>
        </w:tc>
        <w:tc>
          <w:tcPr>
            <w:tcW w:w="8363" w:type="dxa"/>
            <w:gridSpan w:val="2"/>
          </w:tcPr>
          <w:p w14:paraId="14FFD7ED">
            <w:pPr>
              <w:spacing w:line="240" w:lineRule="exact"/>
              <w:jc w:val="left"/>
              <w:rPr>
                <w:rFonts w:ascii="微软雅黑" w:hAnsi="微软雅黑"/>
                <w:sz w:val="22"/>
                <w:szCs w:val="21"/>
              </w:rPr>
            </w:pPr>
            <w:r>
              <w:rPr>
                <w:rFonts w:hint="eastAsia" w:ascii="微软雅黑" w:hAnsi="微软雅黑"/>
                <w:sz w:val="22"/>
                <w:szCs w:val="21"/>
              </w:rPr>
              <w:t>7、</w:t>
            </w:r>
            <w:r>
              <w:rPr>
                <w:rFonts w:hint="eastAsia" w:ascii="微软雅黑" w:hAnsi="微软雅黑"/>
                <w:sz w:val="22"/>
                <w:szCs w:val="21"/>
                <w:lang w:val="en-US" w:eastAsia="zh-CN"/>
              </w:rPr>
              <w:t>至少包含</w:t>
            </w:r>
            <w:r>
              <w:rPr>
                <w:rFonts w:hint="eastAsia" w:ascii="微软雅黑" w:hAnsi="微软雅黑"/>
                <w:sz w:val="22"/>
                <w:szCs w:val="21"/>
              </w:rPr>
              <w:t>: 堵管或空管报警、加温器故障报警、</w:t>
            </w:r>
            <w:r>
              <w:rPr>
                <w:rFonts w:ascii="微软雅黑" w:hAnsi="微软雅黑"/>
                <w:sz w:val="22"/>
                <w:szCs w:val="21"/>
              </w:rPr>
              <w:t>转子故障报警</w:t>
            </w:r>
            <w:r>
              <w:rPr>
                <w:rFonts w:hint="eastAsia" w:ascii="微软雅黑" w:hAnsi="微软雅黑"/>
                <w:sz w:val="22"/>
                <w:szCs w:val="21"/>
              </w:rPr>
              <w:t>、</w:t>
            </w:r>
            <w:r>
              <w:rPr>
                <w:rFonts w:ascii="微软雅黑" w:hAnsi="微软雅黑"/>
                <w:sz w:val="22"/>
                <w:szCs w:val="21"/>
              </w:rPr>
              <w:t>任务完成报警</w:t>
            </w:r>
            <w:r>
              <w:rPr>
                <w:rFonts w:hint="eastAsia" w:ascii="微软雅黑" w:hAnsi="微软雅黑"/>
                <w:sz w:val="22"/>
                <w:szCs w:val="21"/>
              </w:rPr>
              <w:t>、</w:t>
            </w:r>
            <w:r>
              <w:rPr>
                <w:rFonts w:ascii="微软雅黑" w:hAnsi="微软雅黑"/>
                <w:sz w:val="22"/>
                <w:szCs w:val="21"/>
              </w:rPr>
              <w:t>暂停超时报警</w:t>
            </w:r>
            <w:r>
              <w:rPr>
                <w:rFonts w:hint="eastAsia" w:ascii="微软雅黑" w:hAnsi="微软雅黑"/>
                <w:sz w:val="22"/>
                <w:szCs w:val="21"/>
              </w:rPr>
              <w:t>、电池低电量报警、电源线脱落报警、自动预灌注完成报警、系统错误报警</w:t>
            </w:r>
            <w:r>
              <w:rPr>
                <w:rFonts w:hint="eastAsia" w:ascii="微软雅黑" w:hAnsi="微软雅黑"/>
                <w:sz w:val="22"/>
                <w:szCs w:val="21"/>
                <w:lang w:val="en-US" w:eastAsia="zh-CN"/>
              </w:rPr>
              <w:t>等功能</w:t>
            </w:r>
            <w:r>
              <w:rPr>
                <w:rFonts w:hint="eastAsia" w:ascii="微软雅黑" w:hAnsi="微软雅黑"/>
                <w:sz w:val="22"/>
                <w:szCs w:val="21"/>
              </w:rPr>
              <w:t>。</w:t>
            </w:r>
          </w:p>
        </w:tc>
        <w:tc>
          <w:tcPr>
            <w:tcW w:w="476" w:type="dxa"/>
          </w:tcPr>
          <w:p w14:paraId="360B5A97">
            <w:pPr>
              <w:spacing w:line="240" w:lineRule="exact"/>
              <w:jc w:val="left"/>
              <w:rPr>
                <w:rFonts w:asciiTheme="majorEastAsia" w:hAnsiTheme="majorEastAsia" w:eastAsiaTheme="majorEastAsia"/>
                <w:b/>
                <w:sz w:val="24"/>
                <w:szCs w:val="21"/>
              </w:rPr>
            </w:pPr>
          </w:p>
        </w:tc>
      </w:tr>
      <w:tr w14:paraId="2210D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478" w:type="dxa"/>
            <w:vMerge w:val="continue"/>
          </w:tcPr>
          <w:p w14:paraId="32CA2B98">
            <w:pPr>
              <w:spacing w:line="276" w:lineRule="auto"/>
              <w:rPr>
                <w:rFonts w:asciiTheme="majorEastAsia" w:hAnsiTheme="majorEastAsia" w:eastAsiaTheme="majorEastAsia"/>
                <w:b/>
                <w:sz w:val="24"/>
                <w:szCs w:val="21"/>
              </w:rPr>
            </w:pPr>
          </w:p>
        </w:tc>
        <w:tc>
          <w:tcPr>
            <w:tcW w:w="709" w:type="dxa"/>
            <w:vMerge w:val="continue"/>
          </w:tcPr>
          <w:p w14:paraId="10F7362C">
            <w:pPr>
              <w:spacing w:line="276" w:lineRule="auto"/>
              <w:rPr>
                <w:rFonts w:asciiTheme="majorEastAsia" w:hAnsiTheme="majorEastAsia" w:eastAsiaTheme="majorEastAsia"/>
                <w:b/>
                <w:sz w:val="24"/>
                <w:szCs w:val="21"/>
              </w:rPr>
            </w:pPr>
          </w:p>
        </w:tc>
        <w:tc>
          <w:tcPr>
            <w:tcW w:w="8363" w:type="dxa"/>
            <w:gridSpan w:val="2"/>
          </w:tcPr>
          <w:p w14:paraId="76E5E230">
            <w:pPr>
              <w:spacing w:line="240" w:lineRule="exact"/>
              <w:jc w:val="left"/>
              <w:rPr>
                <w:rFonts w:ascii="微软雅黑" w:hAnsi="微软雅黑"/>
                <w:sz w:val="22"/>
                <w:szCs w:val="21"/>
              </w:rPr>
            </w:pPr>
            <w:r>
              <w:rPr>
                <w:rFonts w:hint="eastAsia" w:ascii="微软雅黑" w:hAnsi="微软雅黑"/>
                <w:sz w:val="22"/>
                <w:szCs w:val="21"/>
              </w:rPr>
              <w:t>8、节能功能：输液过程中可关闭屏幕执行节能模式，营养泵正常运行</w:t>
            </w:r>
            <w:r>
              <w:rPr>
                <w:rFonts w:hint="eastAsia" w:ascii="微软雅黑" w:hAnsi="微软雅黑"/>
                <w:sz w:val="22"/>
                <w:szCs w:val="21"/>
                <w:lang w:val="en-US" w:eastAsia="zh-CN"/>
              </w:rPr>
              <w:t>；</w:t>
            </w:r>
            <w:r>
              <w:rPr>
                <w:rFonts w:hint="eastAsia" w:ascii="微软雅黑" w:hAnsi="微软雅黑"/>
                <w:sz w:val="22"/>
                <w:szCs w:val="21"/>
              </w:rPr>
              <w:t>唤醒后不影响正常输液设置。</w:t>
            </w:r>
          </w:p>
        </w:tc>
        <w:tc>
          <w:tcPr>
            <w:tcW w:w="476" w:type="dxa"/>
          </w:tcPr>
          <w:p w14:paraId="6C235215">
            <w:pPr>
              <w:spacing w:line="240" w:lineRule="exact"/>
              <w:jc w:val="left"/>
              <w:rPr>
                <w:rFonts w:asciiTheme="majorEastAsia" w:hAnsiTheme="majorEastAsia" w:eastAsiaTheme="majorEastAsia"/>
                <w:b/>
                <w:sz w:val="24"/>
                <w:szCs w:val="21"/>
              </w:rPr>
            </w:pPr>
            <w:r>
              <w:rPr>
                <w:rFonts w:hint="eastAsia" w:cs="宋体" w:asciiTheme="majorEastAsia" w:hAnsiTheme="majorEastAsia" w:eastAsiaTheme="majorEastAsia"/>
                <w:sz w:val="20"/>
                <w:szCs w:val="20"/>
              </w:rPr>
              <w:t>▲</w:t>
            </w:r>
          </w:p>
        </w:tc>
      </w:tr>
      <w:tr w14:paraId="0CEE52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478" w:type="dxa"/>
            <w:vMerge w:val="continue"/>
          </w:tcPr>
          <w:p w14:paraId="7B69772E">
            <w:pPr>
              <w:spacing w:line="276" w:lineRule="auto"/>
              <w:rPr>
                <w:rFonts w:asciiTheme="majorEastAsia" w:hAnsiTheme="majorEastAsia" w:eastAsiaTheme="majorEastAsia"/>
                <w:b/>
                <w:sz w:val="24"/>
                <w:szCs w:val="21"/>
              </w:rPr>
            </w:pPr>
          </w:p>
        </w:tc>
        <w:tc>
          <w:tcPr>
            <w:tcW w:w="709" w:type="dxa"/>
            <w:vMerge w:val="continue"/>
          </w:tcPr>
          <w:p w14:paraId="180E1101">
            <w:pPr>
              <w:spacing w:line="276" w:lineRule="auto"/>
              <w:rPr>
                <w:rFonts w:asciiTheme="majorEastAsia" w:hAnsiTheme="majorEastAsia" w:eastAsiaTheme="majorEastAsia"/>
                <w:b/>
                <w:sz w:val="24"/>
                <w:szCs w:val="21"/>
              </w:rPr>
            </w:pPr>
          </w:p>
        </w:tc>
        <w:tc>
          <w:tcPr>
            <w:tcW w:w="8363" w:type="dxa"/>
            <w:gridSpan w:val="2"/>
          </w:tcPr>
          <w:p w14:paraId="6EAF1F6A">
            <w:pPr>
              <w:spacing w:line="240" w:lineRule="exact"/>
              <w:jc w:val="left"/>
              <w:rPr>
                <w:rFonts w:ascii="微软雅黑" w:hAnsi="微软雅黑"/>
                <w:sz w:val="22"/>
                <w:szCs w:val="21"/>
              </w:rPr>
            </w:pPr>
            <w:r>
              <w:rPr>
                <w:rFonts w:hint="eastAsia" w:ascii="微软雅黑" w:hAnsi="微软雅黑"/>
                <w:sz w:val="22"/>
                <w:szCs w:val="21"/>
              </w:rPr>
              <w:t>9、蓄电池</w:t>
            </w:r>
            <w:r>
              <w:rPr>
                <w:rFonts w:hint="eastAsia" w:ascii="微软雅黑" w:hAnsi="微软雅黑"/>
                <w:sz w:val="22"/>
                <w:szCs w:val="21"/>
                <w:lang w:val="en-US" w:eastAsia="zh-CN"/>
              </w:rPr>
              <w:t>满电</w:t>
            </w:r>
            <w:r>
              <w:rPr>
                <w:rFonts w:hint="eastAsia" w:ascii="微软雅黑" w:hAnsi="微软雅黑"/>
                <w:sz w:val="22"/>
                <w:szCs w:val="21"/>
              </w:rPr>
              <w:t>巡航能力：输液速度25ml/h的条件下，运行</w:t>
            </w:r>
            <w:r>
              <w:rPr>
                <w:rFonts w:hint="eastAsia" w:ascii="微软雅黑" w:hAnsi="微软雅黑"/>
                <w:sz w:val="22"/>
                <w:szCs w:val="21"/>
                <w:lang w:val="en-US" w:eastAsia="zh-CN"/>
              </w:rPr>
              <w:t>时间不少于</w:t>
            </w:r>
            <w:r>
              <w:rPr>
                <w:rFonts w:hint="eastAsia" w:ascii="微软雅黑" w:hAnsi="微软雅黑"/>
                <w:sz w:val="22"/>
                <w:szCs w:val="21"/>
              </w:rPr>
              <w:t>24个小时。</w:t>
            </w:r>
          </w:p>
        </w:tc>
        <w:tc>
          <w:tcPr>
            <w:tcW w:w="476" w:type="dxa"/>
          </w:tcPr>
          <w:p w14:paraId="4F550D5C">
            <w:pPr>
              <w:spacing w:line="240" w:lineRule="exact"/>
              <w:jc w:val="left"/>
              <w:rPr>
                <w:rFonts w:asciiTheme="majorEastAsia" w:hAnsiTheme="majorEastAsia" w:eastAsiaTheme="majorEastAsia"/>
                <w:b/>
                <w:sz w:val="24"/>
                <w:szCs w:val="21"/>
              </w:rPr>
            </w:pPr>
          </w:p>
        </w:tc>
      </w:tr>
      <w:tr w14:paraId="08CA2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478" w:type="dxa"/>
            <w:vMerge w:val="continue"/>
          </w:tcPr>
          <w:p w14:paraId="2DF1D80D">
            <w:pPr>
              <w:spacing w:line="276" w:lineRule="auto"/>
              <w:rPr>
                <w:rFonts w:asciiTheme="majorEastAsia" w:hAnsiTheme="majorEastAsia" w:eastAsiaTheme="majorEastAsia"/>
                <w:b/>
                <w:sz w:val="24"/>
                <w:szCs w:val="21"/>
              </w:rPr>
            </w:pPr>
          </w:p>
        </w:tc>
        <w:tc>
          <w:tcPr>
            <w:tcW w:w="709" w:type="dxa"/>
            <w:vMerge w:val="continue"/>
          </w:tcPr>
          <w:p w14:paraId="31FA2A0A">
            <w:pPr>
              <w:spacing w:line="276" w:lineRule="auto"/>
              <w:rPr>
                <w:rFonts w:asciiTheme="majorEastAsia" w:hAnsiTheme="majorEastAsia" w:eastAsiaTheme="majorEastAsia"/>
                <w:b/>
                <w:sz w:val="24"/>
                <w:szCs w:val="21"/>
              </w:rPr>
            </w:pPr>
          </w:p>
        </w:tc>
        <w:tc>
          <w:tcPr>
            <w:tcW w:w="8363" w:type="dxa"/>
            <w:gridSpan w:val="2"/>
          </w:tcPr>
          <w:p w14:paraId="652B87C4">
            <w:pPr>
              <w:spacing w:line="240" w:lineRule="exact"/>
              <w:rPr>
                <w:rFonts w:ascii="微软雅黑" w:hAnsi="微软雅黑"/>
                <w:sz w:val="22"/>
                <w:szCs w:val="21"/>
              </w:rPr>
            </w:pPr>
            <w:r>
              <w:rPr>
                <w:rFonts w:hint="eastAsia" w:asciiTheme="majorEastAsia" w:hAnsiTheme="majorEastAsia" w:eastAsiaTheme="majorEastAsia"/>
                <w:b/>
                <w:sz w:val="22"/>
                <w:szCs w:val="21"/>
              </w:rPr>
              <w:t>二、配件参数</w:t>
            </w:r>
          </w:p>
        </w:tc>
        <w:tc>
          <w:tcPr>
            <w:tcW w:w="476" w:type="dxa"/>
          </w:tcPr>
          <w:p w14:paraId="520444A4">
            <w:pPr>
              <w:spacing w:line="240" w:lineRule="exact"/>
              <w:jc w:val="left"/>
              <w:rPr>
                <w:rFonts w:asciiTheme="majorEastAsia" w:hAnsiTheme="majorEastAsia" w:eastAsiaTheme="majorEastAsia"/>
                <w:b/>
                <w:sz w:val="24"/>
                <w:szCs w:val="21"/>
              </w:rPr>
            </w:pPr>
          </w:p>
        </w:tc>
      </w:tr>
      <w:tr w14:paraId="1BE67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 w:hRule="atLeast"/>
          <w:jc w:val="center"/>
        </w:trPr>
        <w:tc>
          <w:tcPr>
            <w:tcW w:w="478" w:type="dxa"/>
            <w:vMerge w:val="continue"/>
          </w:tcPr>
          <w:p w14:paraId="4ED267A3">
            <w:pPr>
              <w:spacing w:line="276" w:lineRule="auto"/>
              <w:rPr>
                <w:rFonts w:asciiTheme="majorEastAsia" w:hAnsiTheme="majorEastAsia" w:eastAsiaTheme="majorEastAsia"/>
                <w:b/>
                <w:sz w:val="24"/>
                <w:szCs w:val="21"/>
              </w:rPr>
            </w:pPr>
          </w:p>
        </w:tc>
        <w:tc>
          <w:tcPr>
            <w:tcW w:w="709" w:type="dxa"/>
            <w:vMerge w:val="continue"/>
          </w:tcPr>
          <w:p w14:paraId="78DEA96F">
            <w:pPr>
              <w:spacing w:line="276" w:lineRule="auto"/>
              <w:rPr>
                <w:rFonts w:asciiTheme="majorEastAsia" w:hAnsiTheme="majorEastAsia" w:eastAsiaTheme="majorEastAsia"/>
                <w:b/>
                <w:sz w:val="24"/>
                <w:szCs w:val="21"/>
              </w:rPr>
            </w:pPr>
          </w:p>
        </w:tc>
        <w:tc>
          <w:tcPr>
            <w:tcW w:w="8363" w:type="dxa"/>
            <w:gridSpan w:val="2"/>
          </w:tcPr>
          <w:p w14:paraId="111703A2">
            <w:pPr>
              <w:spacing w:line="240" w:lineRule="exact"/>
              <w:jc w:val="left"/>
              <w:rPr>
                <w:rFonts w:ascii="微软雅黑" w:hAnsi="微软雅黑"/>
                <w:sz w:val="22"/>
                <w:szCs w:val="21"/>
              </w:rPr>
            </w:pPr>
            <w:r>
              <w:rPr>
                <w:rFonts w:hint="eastAsia" w:ascii="微软雅黑" w:hAnsi="微软雅黑"/>
                <w:sz w:val="22"/>
                <w:szCs w:val="21"/>
              </w:rPr>
              <w:t>1、具有加温功能，加温器温度设置范围：35</w:t>
            </w:r>
            <w:r>
              <w:rPr>
                <w:rFonts w:ascii="微软雅黑" w:hAnsi="微软雅黑"/>
                <w:sz w:val="22"/>
                <w:szCs w:val="21"/>
              </w:rPr>
              <w:t>°C</w:t>
            </w:r>
            <w:r>
              <w:rPr>
                <w:rFonts w:hint="eastAsia" w:ascii="微软雅黑" w:hAnsi="微软雅黑"/>
                <w:sz w:val="22"/>
                <w:szCs w:val="21"/>
              </w:rPr>
              <w:t xml:space="preserve"> ~</w:t>
            </w:r>
            <w:r>
              <w:rPr>
                <w:rFonts w:ascii="微软雅黑" w:hAnsi="微软雅黑"/>
                <w:sz w:val="22"/>
                <w:szCs w:val="21"/>
              </w:rPr>
              <w:t>40°C</w:t>
            </w:r>
            <w:r>
              <w:rPr>
                <w:rFonts w:hint="eastAsia" w:ascii="微软雅黑" w:hAnsi="微软雅黑"/>
                <w:sz w:val="22"/>
                <w:szCs w:val="21"/>
              </w:rPr>
              <w:t>（</w:t>
            </w:r>
            <w:r>
              <w:rPr>
                <w:rFonts w:ascii="微软雅黑" w:hAnsi="微软雅黑"/>
                <w:sz w:val="22"/>
                <w:szCs w:val="21"/>
              </w:rPr>
              <w:t>步进</w:t>
            </w:r>
            <w:r>
              <w:rPr>
                <w:rFonts w:hint="eastAsia" w:ascii="微软雅黑" w:hAnsi="微软雅黑"/>
                <w:sz w:val="22"/>
                <w:szCs w:val="21"/>
              </w:rPr>
              <w:t>1°C），误差为±3°C。</w:t>
            </w:r>
          </w:p>
        </w:tc>
        <w:tc>
          <w:tcPr>
            <w:tcW w:w="476" w:type="dxa"/>
          </w:tcPr>
          <w:p w14:paraId="3AF31E84">
            <w:pPr>
              <w:spacing w:line="240" w:lineRule="exact"/>
              <w:jc w:val="left"/>
              <w:rPr>
                <w:rFonts w:asciiTheme="majorEastAsia" w:hAnsiTheme="majorEastAsia" w:eastAsiaTheme="majorEastAsia"/>
                <w:b/>
                <w:sz w:val="24"/>
                <w:szCs w:val="21"/>
              </w:rPr>
            </w:pPr>
          </w:p>
        </w:tc>
      </w:tr>
      <w:tr w14:paraId="7A8C1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jc w:val="center"/>
        </w:trPr>
        <w:tc>
          <w:tcPr>
            <w:tcW w:w="478" w:type="dxa"/>
            <w:vMerge w:val="continue"/>
          </w:tcPr>
          <w:p w14:paraId="748CF895">
            <w:pPr>
              <w:spacing w:line="276" w:lineRule="auto"/>
              <w:rPr>
                <w:rFonts w:asciiTheme="majorEastAsia" w:hAnsiTheme="majorEastAsia" w:eastAsiaTheme="majorEastAsia"/>
                <w:b/>
                <w:sz w:val="24"/>
                <w:szCs w:val="21"/>
              </w:rPr>
            </w:pPr>
          </w:p>
        </w:tc>
        <w:tc>
          <w:tcPr>
            <w:tcW w:w="709" w:type="dxa"/>
            <w:vMerge w:val="continue"/>
          </w:tcPr>
          <w:p w14:paraId="5F2955ED">
            <w:pPr>
              <w:spacing w:line="276" w:lineRule="auto"/>
              <w:rPr>
                <w:rFonts w:asciiTheme="majorEastAsia" w:hAnsiTheme="majorEastAsia" w:eastAsiaTheme="majorEastAsia"/>
                <w:b/>
                <w:sz w:val="24"/>
                <w:szCs w:val="21"/>
              </w:rPr>
            </w:pPr>
          </w:p>
        </w:tc>
        <w:tc>
          <w:tcPr>
            <w:tcW w:w="8363" w:type="dxa"/>
            <w:gridSpan w:val="2"/>
          </w:tcPr>
          <w:p w14:paraId="4FD25138">
            <w:pPr>
              <w:spacing w:line="240" w:lineRule="exact"/>
              <w:jc w:val="left"/>
              <w:rPr>
                <w:rFonts w:ascii="微软雅黑" w:hAnsi="微软雅黑"/>
                <w:sz w:val="22"/>
                <w:szCs w:val="21"/>
              </w:rPr>
            </w:pPr>
            <w:r>
              <w:rPr>
                <w:rFonts w:hint="eastAsia" w:asciiTheme="majorEastAsia" w:hAnsiTheme="majorEastAsia" w:eastAsiaTheme="majorEastAsia"/>
                <w:b/>
                <w:sz w:val="22"/>
                <w:szCs w:val="21"/>
              </w:rPr>
              <w:t>三、软件参数</w:t>
            </w:r>
          </w:p>
        </w:tc>
        <w:tc>
          <w:tcPr>
            <w:tcW w:w="476" w:type="dxa"/>
          </w:tcPr>
          <w:p w14:paraId="5282AF4E">
            <w:pPr>
              <w:spacing w:line="240" w:lineRule="exact"/>
              <w:jc w:val="left"/>
              <w:rPr>
                <w:rFonts w:asciiTheme="majorEastAsia" w:hAnsiTheme="majorEastAsia" w:eastAsiaTheme="majorEastAsia"/>
                <w:b/>
                <w:sz w:val="24"/>
                <w:szCs w:val="21"/>
              </w:rPr>
            </w:pPr>
          </w:p>
        </w:tc>
      </w:tr>
      <w:tr w14:paraId="28D2A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 w:hRule="atLeast"/>
          <w:jc w:val="center"/>
        </w:trPr>
        <w:tc>
          <w:tcPr>
            <w:tcW w:w="478" w:type="dxa"/>
            <w:vMerge w:val="continue"/>
          </w:tcPr>
          <w:p w14:paraId="6B0067C3">
            <w:pPr>
              <w:spacing w:line="276" w:lineRule="auto"/>
              <w:rPr>
                <w:rFonts w:asciiTheme="majorEastAsia" w:hAnsiTheme="majorEastAsia" w:eastAsiaTheme="majorEastAsia"/>
                <w:b/>
                <w:sz w:val="24"/>
                <w:szCs w:val="21"/>
              </w:rPr>
            </w:pPr>
          </w:p>
        </w:tc>
        <w:tc>
          <w:tcPr>
            <w:tcW w:w="709" w:type="dxa"/>
            <w:vMerge w:val="continue"/>
          </w:tcPr>
          <w:p w14:paraId="099986AD">
            <w:pPr>
              <w:spacing w:line="276" w:lineRule="auto"/>
              <w:rPr>
                <w:rFonts w:asciiTheme="majorEastAsia" w:hAnsiTheme="majorEastAsia" w:eastAsiaTheme="majorEastAsia"/>
                <w:b/>
                <w:sz w:val="24"/>
                <w:szCs w:val="21"/>
              </w:rPr>
            </w:pPr>
          </w:p>
        </w:tc>
        <w:tc>
          <w:tcPr>
            <w:tcW w:w="8363" w:type="dxa"/>
            <w:gridSpan w:val="2"/>
          </w:tcPr>
          <w:p w14:paraId="61D03E70">
            <w:pPr>
              <w:spacing w:line="240" w:lineRule="exact"/>
              <w:jc w:val="left"/>
              <w:rPr>
                <w:rFonts w:ascii="微软雅黑" w:hAnsi="微软雅黑"/>
                <w:sz w:val="22"/>
                <w:szCs w:val="21"/>
              </w:rPr>
            </w:pPr>
            <w:r>
              <w:rPr>
                <w:rFonts w:hint="eastAsia" w:ascii="微软雅黑" w:hAnsi="微软雅黑"/>
                <w:sz w:val="22"/>
                <w:szCs w:val="21"/>
              </w:rPr>
              <w:t>1、连续模式与间歇模式功能：可按需求设置间歇输送剂量，间隔时间，次数。</w:t>
            </w:r>
          </w:p>
        </w:tc>
        <w:tc>
          <w:tcPr>
            <w:tcW w:w="476" w:type="dxa"/>
          </w:tcPr>
          <w:p w14:paraId="0CF8333F">
            <w:pPr>
              <w:spacing w:line="240" w:lineRule="exact"/>
              <w:jc w:val="left"/>
              <w:rPr>
                <w:rFonts w:asciiTheme="majorEastAsia" w:hAnsiTheme="majorEastAsia" w:eastAsiaTheme="majorEastAsia"/>
                <w:b/>
                <w:sz w:val="24"/>
                <w:szCs w:val="21"/>
              </w:rPr>
            </w:pPr>
          </w:p>
        </w:tc>
      </w:tr>
      <w:tr w14:paraId="09954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10026" w:type="dxa"/>
            <w:gridSpan w:val="5"/>
          </w:tcPr>
          <w:p w14:paraId="33A6303C">
            <w:pPr>
              <w:rPr>
                <w:rFonts w:asciiTheme="majorEastAsia" w:hAnsiTheme="majorEastAsia" w:eastAsiaTheme="majorEastAsia"/>
                <w:b/>
                <w:sz w:val="24"/>
                <w:szCs w:val="21"/>
              </w:rPr>
            </w:pPr>
            <w:r>
              <w:rPr>
                <w:rFonts w:hint="eastAsia" w:asciiTheme="majorEastAsia" w:hAnsiTheme="majorEastAsia" w:eastAsiaTheme="majorEastAsia"/>
                <w:b/>
                <w:sz w:val="28"/>
                <w:szCs w:val="21"/>
              </w:rPr>
              <w:t>二、</w:t>
            </w:r>
            <w:r>
              <w:rPr>
                <w:rFonts w:hint="eastAsia" w:cs="宋体" w:asciiTheme="majorEastAsia" w:hAnsiTheme="majorEastAsia" w:eastAsiaTheme="majorEastAsia"/>
                <w:sz w:val="24"/>
              </w:rPr>
              <w:t>★</w:t>
            </w:r>
            <w:r>
              <w:rPr>
                <w:rFonts w:hint="eastAsia" w:asciiTheme="majorEastAsia" w:hAnsiTheme="majorEastAsia" w:eastAsiaTheme="majorEastAsia"/>
                <w:b/>
                <w:sz w:val="28"/>
                <w:szCs w:val="21"/>
              </w:rPr>
              <w:t>商务需求</w:t>
            </w:r>
          </w:p>
        </w:tc>
      </w:tr>
      <w:tr w14:paraId="73B70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1765" w:type="dxa"/>
            <w:gridSpan w:val="3"/>
          </w:tcPr>
          <w:p w14:paraId="3F7403AE">
            <w:pPr>
              <w:spacing w:line="276" w:lineRule="auto"/>
              <w:rPr>
                <w:rFonts w:asciiTheme="majorEastAsia" w:hAnsiTheme="majorEastAsia" w:eastAsiaTheme="majorEastAsia"/>
                <w:b/>
                <w:sz w:val="24"/>
                <w:szCs w:val="21"/>
              </w:rPr>
            </w:pPr>
            <w:r>
              <w:rPr>
                <w:rFonts w:hint="eastAsia" w:asciiTheme="majorEastAsia" w:hAnsiTheme="majorEastAsia" w:eastAsiaTheme="majorEastAsia"/>
                <w:b/>
                <w:sz w:val="24"/>
                <w:szCs w:val="21"/>
              </w:rPr>
              <w:t>一、到货时间</w:t>
            </w:r>
          </w:p>
        </w:tc>
        <w:tc>
          <w:tcPr>
            <w:tcW w:w="8261" w:type="dxa"/>
            <w:gridSpan w:val="2"/>
          </w:tcPr>
          <w:p w14:paraId="60BDFD9B">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合同签订后并接采购人通知</w:t>
            </w:r>
            <w:r>
              <w:rPr>
                <w:rFonts w:hint="eastAsia" w:asciiTheme="majorEastAsia" w:hAnsiTheme="majorEastAsia" w:eastAsiaTheme="majorEastAsia"/>
                <w:b/>
                <w:sz w:val="24"/>
                <w:szCs w:val="21"/>
                <w:u w:val="single"/>
              </w:rPr>
              <w:t>2</w:t>
            </w:r>
            <w:r>
              <w:rPr>
                <w:rFonts w:hint="eastAsia" w:asciiTheme="majorEastAsia" w:hAnsiTheme="majorEastAsia" w:eastAsiaTheme="majorEastAsia"/>
                <w:b/>
                <w:sz w:val="24"/>
                <w:szCs w:val="21"/>
              </w:rPr>
              <w:t>日历日内。</w:t>
            </w:r>
          </w:p>
        </w:tc>
      </w:tr>
      <w:tr w14:paraId="15315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1765" w:type="dxa"/>
            <w:gridSpan w:val="3"/>
          </w:tcPr>
          <w:p w14:paraId="4F0EC17C">
            <w:pPr>
              <w:spacing w:line="276" w:lineRule="auto"/>
              <w:rPr>
                <w:rFonts w:asciiTheme="majorEastAsia" w:hAnsiTheme="majorEastAsia" w:eastAsiaTheme="majorEastAsia"/>
                <w:b/>
                <w:sz w:val="24"/>
                <w:szCs w:val="21"/>
              </w:rPr>
            </w:pPr>
            <w:r>
              <w:rPr>
                <w:rFonts w:hint="eastAsia" w:asciiTheme="majorEastAsia" w:hAnsiTheme="majorEastAsia" w:eastAsiaTheme="majorEastAsia"/>
                <w:b/>
                <w:sz w:val="24"/>
                <w:szCs w:val="21"/>
              </w:rPr>
              <w:t>二、交货地点：</w:t>
            </w:r>
          </w:p>
        </w:tc>
        <w:tc>
          <w:tcPr>
            <w:tcW w:w="8261" w:type="dxa"/>
            <w:gridSpan w:val="2"/>
          </w:tcPr>
          <w:p w14:paraId="0421867F">
            <w:pPr>
              <w:adjustRightInd w:val="0"/>
              <w:snapToGrid w:val="0"/>
              <w:rPr>
                <w:rFonts w:asciiTheme="majorEastAsia" w:hAnsiTheme="majorEastAsia" w:eastAsiaTheme="majorEastAsia"/>
                <w:b/>
                <w:sz w:val="24"/>
                <w:szCs w:val="21"/>
              </w:rPr>
            </w:pPr>
            <w:r>
              <w:rPr>
                <w:rFonts w:asciiTheme="majorEastAsia" w:hAnsiTheme="majorEastAsia" w:eastAsiaTheme="majorEastAsia"/>
                <w:b/>
                <w:sz w:val="24"/>
                <w:szCs w:val="21"/>
              </w:rPr>
              <w:t>采购人指定地点</w:t>
            </w:r>
          </w:p>
        </w:tc>
      </w:tr>
      <w:tr w14:paraId="57A34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1765" w:type="dxa"/>
            <w:gridSpan w:val="3"/>
          </w:tcPr>
          <w:p w14:paraId="220130FB">
            <w:pPr>
              <w:spacing w:line="276" w:lineRule="auto"/>
              <w:rPr>
                <w:rFonts w:asciiTheme="majorEastAsia" w:hAnsiTheme="majorEastAsia" w:eastAsiaTheme="majorEastAsia"/>
                <w:b/>
                <w:sz w:val="24"/>
                <w:szCs w:val="21"/>
              </w:rPr>
            </w:pPr>
            <w:r>
              <w:rPr>
                <w:rFonts w:hint="eastAsia" w:asciiTheme="majorEastAsia" w:hAnsiTheme="majorEastAsia" w:eastAsiaTheme="majorEastAsia"/>
                <w:b/>
                <w:sz w:val="24"/>
                <w:szCs w:val="21"/>
              </w:rPr>
              <w:t>三、报价要求：</w:t>
            </w:r>
          </w:p>
        </w:tc>
        <w:tc>
          <w:tcPr>
            <w:tcW w:w="8261" w:type="dxa"/>
            <w:gridSpan w:val="2"/>
          </w:tcPr>
          <w:p w14:paraId="22C0C070">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szCs w:val="21"/>
              </w:rPr>
              <w:t>报价必须是完成该项目的一切费用总和，包括设备费、运输费、装卸费、保险费、技术培训费、设备安装费、调试费、售后服务费、国家规定的各项税费等全部费用</w:t>
            </w:r>
          </w:p>
        </w:tc>
      </w:tr>
      <w:tr w14:paraId="3AF31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1765" w:type="dxa"/>
            <w:gridSpan w:val="3"/>
          </w:tcPr>
          <w:p w14:paraId="2DAC58E5">
            <w:pPr>
              <w:spacing w:line="276" w:lineRule="auto"/>
              <w:rPr>
                <w:rFonts w:asciiTheme="majorEastAsia" w:hAnsiTheme="majorEastAsia" w:eastAsiaTheme="majorEastAsia"/>
                <w:b/>
                <w:sz w:val="24"/>
                <w:szCs w:val="21"/>
              </w:rPr>
            </w:pPr>
            <w:r>
              <w:rPr>
                <w:rFonts w:hint="eastAsia" w:asciiTheme="majorEastAsia" w:hAnsiTheme="majorEastAsia" w:eastAsiaTheme="majorEastAsia"/>
                <w:b/>
                <w:sz w:val="24"/>
                <w:szCs w:val="21"/>
              </w:rPr>
              <w:t>四、付款方式</w:t>
            </w:r>
          </w:p>
        </w:tc>
        <w:tc>
          <w:tcPr>
            <w:tcW w:w="8261" w:type="dxa"/>
            <w:gridSpan w:val="2"/>
          </w:tcPr>
          <w:p w14:paraId="2AD56C68">
            <w:pPr>
              <w:adjustRightInd w:val="0"/>
              <w:snapToGrid w:val="0"/>
              <w:ind w:firstLine="0" w:firstLineChars="0"/>
              <w:rPr>
                <w:rFonts w:hint="eastAsia" w:asciiTheme="minorEastAsia" w:hAnsiTheme="minorEastAsia" w:eastAsiaTheme="minorEastAsia"/>
                <w:b/>
                <w:bCs w:val="0"/>
                <w:sz w:val="21"/>
                <w:szCs w:val="21"/>
                <w:lang w:val="en-US" w:eastAsia="zh-CN"/>
              </w:rPr>
            </w:pPr>
            <w:r>
              <w:rPr>
                <w:rFonts w:hint="eastAsia" w:asciiTheme="minorEastAsia" w:hAnsiTheme="minorEastAsia" w:eastAsiaTheme="minorEastAsia"/>
                <w:b/>
                <w:bCs w:val="0"/>
                <w:sz w:val="21"/>
                <w:szCs w:val="21"/>
                <w:lang w:val="en-US" w:eastAsia="zh-CN"/>
              </w:rPr>
              <w:t>合同总价≥3万付款方式：</w:t>
            </w:r>
          </w:p>
          <w:p w14:paraId="54D31EA2">
            <w:pPr>
              <w:adjustRightInd w:val="0"/>
              <w:snapToGrid w:val="0"/>
              <w:ind w:firstLine="0" w:firstLineChars="0"/>
              <w:rPr>
                <w:rFonts w:hint="eastAsia" w:asciiTheme="minorEastAsia" w:hAnsiTheme="minorEastAsia" w:eastAsiaTheme="minorEastAsia"/>
                <w:b w:val="0"/>
                <w:bCs/>
                <w:sz w:val="21"/>
                <w:szCs w:val="21"/>
                <w:lang w:val="en-US" w:eastAsia="zh-CN"/>
              </w:rPr>
            </w:pPr>
            <w:r>
              <w:rPr>
                <w:rFonts w:hint="eastAsia" w:asciiTheme="minorEastAsia" w:hAnsiTheme="minorEastAsia" w:eastAsiaTheme="minorEastAsia"/>
                <w:b w:val="0"/>
                <w:bCs/>
                <w:sz w:val="21"/>
                <w:szCs w:val="21"/>
                <w:lang w:val="en-US" w:eastAsia="zh-CN"/>
              </w:rPr>
              <w:t>合同签订后三个工作日内，乙方将采购合同总价5%的履约保证</w:t>
            </w:r>
            <w:bookmarkStart w:id="0" w:name="_GoBack"/>
            <w:bookmarkEnd w:id="0"/>
            <w:r>
              <w:rPr>
                <w:rFonts w:hint="eastAsia" w:asciiTheme="minorEastAsia" w:hAnsiTheme="minorEastAsia" w:eastAsiaTheme="minorEastAsia"/>
                <w:b w:val="0"/>
                <w:bCs/>
                <w:sz w:val="21"/>
                <w:szCs w:val="21"/>
                <w:lang w:val="en-US" w:eastAsia="zh-CN"/>
              </w:rPr>
              <w:t>金汇入甲方指定账户。货到清点、安装调试验收合格正常使用后，出具全额发票，甲方凭乙方提供的完整资料，自发票到达甲方财务之日起</w:t>
            </w:r>
            <w:r>
              <w:rPr>
                <w:rFonts w:hint="eastAsia" w:asciiTheme="minorEastAsia" w:hAnsiTheme="minorEastAsia" w:eastAsiaTheme="minorEastAsia"/>
                <w:b w:val="0"/>
                <w:bCs/>
                <w:color w:val="FF0000"/>
                <w:sz w:val="21"/>
                <w:szCs w:val="21"/>
                <w:lang w:val="en-US" w:eastAsia="zh-CN"/>
              </w:rPr>
              <w:t>10个工作日内</w:t>
            </w:r>
            <w:r>
              <w:rPr>
                <w:rFonts w:hint="eastAsia" w:asciiTheme="minorEastAsia" w:hAnsiTheme="minorEastAsia" w:eastAsiaTheme="minorEastAsia"/>
                <w:b w:val="0"/>
                <w:bCs/>
                <w:sz w:val="21"/>
                <w:szCs w:val="21"/>
                <w:lang w:val="en-US" w:eastAsia="zh-CN"/>
              </w:rPr>
              <w:t>，支付100%合同货款到乙方指定帐户。</w:t>
            </w:r>
          </w:p>
          <w:p w14:paraId="02936A78">
            <w:pPr>
              <w:adjustRightInd w:val="0"/>
              <w:snapToGrid w:val="0"/>
              <w:ind w:firstLine="0" w:firstLineChars="0"/>
              <w:rPr>
                <w:rFonts w:hint="eastAsia" w:asciiTheme="minorEastAsia" w:hAnsiTheme="minorEastAsia" w:eastAsiaTheme="minorEastAsia"/>
                <w:b w:val="0"/>
                <w:bCs/>
                <w:sz w:val="21"/>
                <w:szCs w:val="21"/>
                <w:lang w:val="en-US" w:eastAsia="zh-CN"/>
              </w:rPr>
            </w:pPr>
            <w:r>
              <w:rPr>
                <w:rFonts w:hint="eastAsia" w:asciiTheme="minorEastAsia" w:hAnsiTheme="minorEastAsia" w:eastAsiaTheme="minorEastAsia"/>
                <w:b w:val="0"/>
                <w:bCs/>
                <w:sz w:val="21"/>
                <w:szCs w:val="21"/>
                <w:lang w:val="en-US" w:eastAsia="zh-CN"/>
              </w:rPr>
              <w:t>乙方向甲方支付合同总价5%的履约保证金，用于补偿甲方因乙方不履行/不妥善履行合同约定义务而蒙受的损失，如乙方不履行/不妥善履行合同约定义务的，甲方有权直接从履约保证金中扣除相应违约金/损失赔偿款项。如果在合同签订后至乙方履行完毕合同约定义务事项期间未发生乙方不履行或不妥善履行合同约定义务的情况，在乙方履行完毕合同约定义务事项后，乙方向甲方提供完整资料到达甲方财务之日起</w:t>
            </w:r>
            <w:r>
              <w:rPr>
                <w:rFonts w:hint="eastAsia" w:asciiTheme="minorEastAsia" w:hAnsiTheme="minorEastAsia" w:eastAsiaTheme="minorEastAsia"/>
                <w:b w:val="0"/>
                <w:bCs/>
                <w:color w:val="FF0000"/>
                <w:sz w:val="21"/>
                <w:szCs w:val="21"/>
                <w:lang w:val="en-US" w:eastAsia="zh-CN"/>
              </w:rPr>
              <w:t>10个工作日内</w:t>
            </w:r>
            <w:r>
              <w:rPr>
                <w:rFonts w:hint="eastAsia" w:asciiTheme="minorEastAsia" w:hAnsiTheme="minorEastAsia" w:eastAsiaTheme="minorEastAsia"/>
                <w:b w:val="0"/>
                <w:bCs/>
                <w:sz w:val="21"/>
                <w:szCs w:val="21"/>
                <w:lang w:val="en-US" w:eastAsia="zh-CN"/>
              </w:rPr>
              <w:t>，甲方将履约保证金无息返还给乙方。</w:t>
            </w:r>
          </w:p>
          <w:p w14:paraId="4298806D">
            <w:pPr>
              <w:adjustRightInd w:val="0"/>
              <w:snapToGrid w:val="0"/>
              <w:ind w:firstLine="0" w:firstLineChars="0"/>
              <w:rPr>
                <w:rFonts w:hint="eastAsia" w:asciiTheme="minorEastAsia" w:hAnsiTheme="minorEastAsia" w:eastAsiaTheme="minorEastAsia"/>
                <w:b/>
                <w:bCs w:val="0"/>
                <w:sz w:val="21"/>
                <w:szCs w:val="21"/>
                <w:lang w:val="en-US" w:eastAsia="zh-CN"/>
              </w:rPr>
            </w:pPr>
            <w:r>
              <w:rPr>
                <w:rFonts w:hint="eastAsia" w:asciiTheme="minorEastAsia" w:hAnsiTheme="minorEastAsia" w:eastAsiaTheme="minorEastAsia"/>
                <w:b/>
                <w:bCs w:val="0"/>
                <w:sz w:val="21"/>
                <w:szCs w:val="21"/>
                <w:lang w:val="en-US" w:eastAsia="zh-CN"/>
              </w:rPr>
              <w:t>合同总价＜3万付款方式：</w:t>
            </w:r>
          </w:p>
          <w:p w14:paraId="415D42DA">
            <w:pPr>
              <w:adjustRightInd w:val="0"/>
              <w:snapToGrid w:val="0"/>
              <w:ind w:firstLine="0" w:firstLineChars="0"/>
              <w:rPr>
                <w:rFonts w:asciiTheme="majorEastAsia" w:hAnsiTheme="majorEastAsia" w:eastAsiaTheme="majorEastAsia"/>
                <w:b/>
                <w:sz w:val="24"/>
                <w:szCs w:val="21"/>
              </w:rPr>
            </w:pPr>
            <w:r>
              <w:rPr>
                <w:rFonts w:hint="eastAsia" w:asciiTheme="minorEastAsia" w:hAnsiTheme="minorEastAsia" w:eastAsiaTheme="minorEastAsia"/>
                <w:b w:val="0"/>
                <w:bCs/>
                <w:sz w:val="21"/>
                <w:szCs w:val="21"/>
                <w:lang w:val="en-US" w:eastAsia="zh-CN"/>
              </w:rPr>
              <w:t>货到清点、安装调试验收合格正常使用后，出具全额发票，甲方凭乙方提供的完整资料，自发票到达甲方财务之日起</w:t>
            </w:r>
            <w:r>
              <w:rPr>
                <w:rFonts w:hint="eastAsia" w:asciiTheme="minorEastAsia" w:hAnsiTheme="minorEastAsia" w:eastAsiaTheme="minorEastAsia"/>
                <w:b w:val="0"/>
                <w:bCs/>
                <w:color w:val="FF0000"/>
                <w:sz w:val="21"/>
                <w:szCs w:val="21"/>
                <w:lang w:val="en-US" w:eastAsia="zh-CN"/>
              </w:rPr>
              <w:t>10个工作日内</w:t>
            </w:r>
            <w:r>
              <w:rPr>
                <w:rFonts w:hint="eastAsia" w:asciiTheme="minorEastAsia" w:hAnsiTheme="minorEastAsia" w:eastAsiaTheme="minorEastAsia"/>
                <w:b w:val="0"/>
                <w:bCs/>
                <w:sz w:val="21"/>
                <w:szCs w:val="21"/>
                <w:lang w:val="en-US" w:eastAsia="zh-CN"/>
              </w:rPr>
              <w:t>，支付100%合同货款到乙方指定帐户。</w:t>
            </w:r>
          </w:p>
        </w:tc>
      </w:tr>
      <w:tr w14:paraId="7FCE4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1765" w:type="dxa"/>
            <w:gridSpan w:val="3"/>
          </w:tcPr>
          <w:p w14:paraId="19F5A4BF">
            <w:pPr>
              <w:spacing w:line="276" w:lineRule="auto"/>
              <w:rPr>
                <w:rFonts w:asciiTheme="majorEastAsia" w:hAnsiTheme="majorEastAsia" w:eastAsiaTheme="majorEastAsia"/>
                <w:b/>
                <w:sz w:val="24"/>
                <w:szCs w:val="21"/>
              </w:rPr>
            </w:pPr>
            <w:r>
              <w:rPr>
                <w:rFonts w:hint="eastAsia" w:asciiTheme="majorEastAsia" w:hAnsiTheme="majorEastAsia" w:eastAsiaTheme="majorEastAsia"/>
                <w:b/>
                <w:sz w:val="24"/>
                <w:szCs w:val="21"/>
              </w:rPr>
              <w:t>五、交货要求</w:t>
            </w:r>
          </w:p>
        </w:tc>
        <w:tc>
          <w:tcPr>
            <w:tcW w:w="8261" w:type="dxa"/>
            <w:gridSpan w:val="2"/>
          </w:tcPr>
          <w:p w14:paraId="7FBDE848">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5.1 </w:t>
            </w:r>
            <w:r>
              <w:rPr>
                <w:rFonts w:asciiTheme="minorEastAsia" w:hAnsiTheme="minorEastAsia" w:eastAsiaTheme="minorEastAsia"/>
                <w:bCs/>
                <w:szCs w:val="21"/>
              </w:rPr>
              <w:t>中标</w:t>
            </w:r>
            <w:r>
              <w:rPr>
                <w:rFonts w:hint="eastAsia" w:asciiTheme="minorEastAsia" w:hAnsiTheme="minorEastAsia" w:eastAsiaTheme="minorEastAsia"/>
                <w:bCs/>
                <w:szCs w:val="21"/>
              </w:rPr>
              <w:t>人</w:t>
            </w:r>
            <w:r>
              <w:rPr>
                <w:rFonts w:asciiTheme="minorEastAsia" w:hAnsiTheme="minorEastAsia" w:eastAsiaTheme="minorEastAsia"/>
                <w:bCs/>
                <w:szCs w:val="21"/>
              </w:rPr>
              <w:t>应向采购人提供</w:t>
            </w:r>
            <w:r>
              <w:rPr>
                <w:rFonts w:hint="eastAsia" w:asciiTheme="minorEastAsia" w:hAnsiTheme="minorEastAsia" w:eastAsiaTheme="minorEastAsia"/>
                <w:bCs/>
                <w:szCs w:val="21"/>
              </w:rPr>
              <w:t>配置清单、产品说明书、图纸、操作手册、中文操作使用说明书、</w:t>
            </w:r>
            <w:r>
              <w:rPr>
                <w:rFonts w:asciiTheme="minorEastAsia" w:hAnsiTheme="minorEastAsia" w:eastAsiaTheme="minorEastAsia"/>
                <w:bCs/>
                <w:szCs w:val="21"/>
              </w:rPr>
              <w:t>设备原厂维护手册、维修手册、软件备份、故障代码表、备件清单、零部件、</w:t>
            </w:r>
            <w:r>
              <w:rPr>
                <w:rFonts w:hint="eastAsia" w:asciiTheme="minorEastAsia" w:hAnsiTheme="minorEastAsia" w:eastAsiaTheme="minorEastAsia"/>
                <w:bCs/>
                <w:szCs w:val="21"/>
              </w:rPr>
              <w:t>维护手册（含维修密码及接口数据）等维护维修必需的材料和信息。所有外文资料需提供中文译本。文件应随货物一并交付至采购人指定地点。</w:t>
            </w:r>
          </w:p>
          <w:p w14:paraId="33851B80">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5.2提供的货物必须为全新货物，出厂日期</w:t>
            </w:r>
            <w:r>
              <w:rPr>
                <w:rFonts w:hint="eastAsia" w:ascii="宋体" w:hAnsi="宋体"/>
                <w:szCs w:val="21"/>
              </w:rPr>
              <w:t>原则上</w:t>
            </w:r>
            <w:r>
              <w:rPr>
                <w:rFonts w:hint="eastAsia" w:asciiTheme="minorEastAsia" w:hAnsiTheme="minorEastAsia" w:eastAsiaTheme="minorEastAsia"/>
                <w:bCs/>
                <w:szCs w:val="21"/>
              </w:rPr>
              <w:t>在采购人收到日期前</w:t>
            </w:r>
            <w:r>
              <w:rPr>
                <w:rFonts w:asciiTheme="minorEastAsia" w:hAnsiTheme="minorEastAsia" w:eastAsiaTheme="minorEastAsia"/>
                <w:bCs/>
                <w:szCs w:val="21"/>
              </w:rPr>
              <w:t>12</w:t>
            </w:r>
            <w:r>
              <w:rPr>
                <w:rFonts w:hint="eastAsia" w:asciiTheme="minorEastAsia" w:hAnsiTheme="minorEastAsia" w:eastAsiaTheme="minorEastAsia"/>
                <w:bCs/>
                <w:szCs w:val="21"/>
              </w:rPr>
              <w:t>个月内经检验合格的产品</w:t>
            </w:r>
            <w:r>
              <w:rPr>
                <w:rFonts w:hint="eastAsia" w:ascii="宋体" w:hAnsi="宋体"/>
                <w:szCs w:val="21"/>
              </w:rPr>
              <w:t>，</w:t>
            </w:r>
            <w:r>
              <w:rPr>
                <w:rFonts w:hint="eastAsia" w:ascii="宋体" w:hAnsi="宋体"/>
                <w:color w:val="FF0000"/>
                <w:szCs w:val="21"/>
              </w:rPr>
              <w:t>若无法提供12个月内的产品，则采购人有权要求延长相应期限的产品保修期</w:t>
            </w:r>
            <w:r>
              <w:rPr>
                <w:rFonts w:hint="eastAsia" w:asciiTheme="minorEastAsia" w:hAnsiTheme="minorEastAsia" w:eastAsiaTheme="minorEastAsia"/>
                <w:bCs/>
                <w:szCs w:val="21"/>
              </w:rPr>
              <w:t>。产品如需要计量检定的应提供相关计量检定部门出具的合法检定报告。其中，进口设备必须具有报关证明文件、原产地证明和商检合格证明文件等相关证明文件，否则采购人概不接收。如国家规定的强检设备，由中标人负责完成首次计量强制检定，验收前中标人必须附上计量检定合格报告。</w:t>
            </w:r>
          </w:p>
          <w:p w14:paraId="147CD565">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5.3 采购人有权检验或测试货物，以确认货物是否符合合同规格的要求，并且不承担额外的费用。如发现所交货物与投标文件中所承诺的不符或存在质量、技术缺陷等,采购人可以拒绝接收该货物,中标人应在 7 日历日内采取补足、更换或退货等措施,以满足规格的要求，由此发生的一切损失和费用由中标人承担。</w:t>
            </w:r>
          </w:p>
          <w:p w14:paraId="141339A5">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5.4中标人负责货物的现场安装和调试,提供货物安装、调试和维修所需的专用工具和辅助材料。中标人应在货物运至指定地点后一周内开始安装调试,并在 30 日历日内安装调试完毕。</w:t>
            </w:r>
          </w:p>
          <w:p w14:paraId="40971A07">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5.5货物安装需施工的，中标人应在合同签订前提供设备安装施工图纸，采购人与中标人共同签字确定安装场地施工方案。并承担设备的包装、运输、保险、装卸、安装调试、培训、商检及计量检测、关税、增值税和进口代理等费用。</w:t>
            </w:r>
          </w:p>
        </w:tc>
      </w:tr>
      <w:tr w14:paraId="35784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1765" w:type="dxa"/>
            <w:gridSpan w:val="3"/>
          </w:tcPr>
          <w:p w14:paraId="26EE3E22">
            <w:pPr>
              <w:spacing w:line="276" w:lineRule="auto"/>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六、验收： </w:t>
            </w:r>
          </w:p>
        </w:tc>
        <w:tc>
          <w:tcPr>
            <w:tcW w:w="8261" w:type="dxa"/>
            <w:gridSpan w:val="2"/>
          </w:tcPr>
          <w:p w14:paraId="1CD2690F">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6.1中标人应派有经验的技术人员到现场进行安装、调试，直到设备正常使用。由采购人按合同和招标、投标文件约定的要求和标准及中华人民共和国现行的验收规范和评定标准进行交货验收。</w:t>
            </w:r>
          </w:p>
          <w:p w14:paraId="4F151B99">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6.2 验收要求：货物必须满足以下条件后方可被采购方接受： </w:t>
            </w:r>
          </w:p>
          <w:p w14:paraId="77D08A6E">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1）货物具备产品合格证。</w:t>
            </w:r>
          </w:p>
          <w:p w14:paraId="165B939A">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2）设备全新,外观无伤痕变形或明显修饰痕迹。</w:t>
            </w:r>
          </w:p>
          <w:p w14:paraId="523A3550">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3）如有国标，必须符合有关规定；如无国标，则按照行业标准；如无国标及行业标准，则按双方约定执行。投标文件提供的技术数据经实测证实是真实的。检验及质量保证期内达到的性能指标与要求一致，达到或优于相应标准。</w:t>
            </w:r>
          </w:p>
          <w:p w14:paraId="1E1C2B0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4）技术文件资料、备件等已按规定数量移交完毕。</w:t>
            </w:r>
          </w:p>
          <w:p w14:paraId="39AAC99D">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5）按照招标书要求及投标文件提供的技术要求验收必须合格。</w:t>
            </w:r>
          </w:p>
          <w:p w14:paraId="6805565D">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中标人提供的各种文件载明的内容必须真实，采购人对产品的技术数据置疑时有权要求中标人按照双方认可的第三方检测机构出具的检验方法进行检测及鉴定(检测费用由中标人承担)，检测结果必须证明中标人提供的技术数据是真实的，否则视为不合格</w:t>
            </w:r>
          </w:p>
          <w:p w14:paraId="2FCF0ED2">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7）在货物安装调试合格后，所有技术指标达到技术规范书要求，经验收合格后，双方共同签署验收报告。产品质保期自验收合格之日起算，由中标人提供产品质保文件。</w:t>
            </w:r>
          </w:p>
        </w:tc>
      </w:tr>
      <w:tr w14:paraId="35D44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1765" w:type="dxa"/>
            <w:gridSpan w:val="3"/>
          </w:tcPr>
          <w:p w14:paraId="62CA5F00">
            <w:pPr>
              <w:spacing w:line="276" w:lineRule="auto"/>
              <w:rPr>
                <w:rFonts w:asciiTheme="majorEastAsia" w:hAnsiTheme="majorEastAsia" w:eastAsiaTheme="majorEastAsia"/>
                <w:b/>
                <w:sz w:val="24"/>
                <w:szCs w:val="21"/>
                <w:highlight w:val="yellow"/>
              </w:rPr>
            </w:pPr>
            <w:r>
              <w:rPr>
                <w:rFonts w:hint="eastAsia" w:asciiTheme="majorEastAsia" w:hAnsiTheme="majorEastAsia" w:eastAsiaTheme="majorEastAsia"/>
                <w:b/>
                <w:sz w:val="24"/>
                <w:szCs w:val="21"/>
              </w:rPr>
              <w:t>七、售后服务要求：</w:t>
            </w:r>
          </w:p>
          <w:p w14:paraId="08AB7532">
            <w:pPr>
              <w:spacing w:line="276" w:lineRule="auto"/>
              <w:rPr>
                <w:rFonts w:asciiTheme="majorEastAsia" w:hAnsiTheme="majorEastAsia" w:eastAsiaTheme="majorEastAsia"/>
                <w:sz w:val="24"/>
                <w:szCs w:val="21"/>
              </w:rPr>
            </w:pPr>
          </w:p>
        </w:tc>
        <w:tc>
          <w:tcPr>
            <w:tcW w:w="8261" w:type="dxa"/>
            <w:gridSpan w:val="2"/>
          </w:tcPr>
          <w:p w14:paraId="34BBABBF">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7.1</w:t>
            </w:r>
            <w:r>
              <w:rPr>
                <w:rFonts w:hint="eastAsia" w:ascii="宋体" w:hAnsi="宋体"/>
                <w:bCs/>
                <w:color w:val="FF0000"/>
                <w:szCs w:val="21"/>
              </w:rPr>
              <w:t>各投标人应在投标文件中承诺</w:t>
            </w:r>
            <w:r>
              <w:rPr>
                <w:rFonts w:hint="eastAsia" w:ascii="宋体" w:hAnsi="宋体"/>
                <w:bCs/>
                <w:color w:val="0070C0"/>
                <w:szCs w:val="21"/>
              </w:rPr>
              <w:t>报价已包含提供整机原厂保修期</w:t>
            </w:r>
            <w:r>
              <w:rPr>
                <w:rFonts w:hint="eastAsia" w:asciiTheme="minorEastAsia" w:hAnsiTheme="minorEastAsia" w:eastAsiaTheme="minorEastAsia"/>
                <w:bCs/>
                <w:color w:val="FF0000"/>
                <w:szCs w:val="21"/>
                <w:u w:val="single"/>
              </w:rPr>
              <w:t xml:space="preserve"> </w:t>
            </w:r>
            <w:r>
              <w:rPr>
                <w:rFonts w:hint="eastAsia" w:asciiTheme="minorEastAsia" w:hAnsiTheme="minorEastAsia" w:eastAsiaTheme="minorEastAsia"/>
                <w:bCs/>
                <w:color w:val="FF0000"/>
                <w:szCs w:val="21"/>
                <w:highlight w:val="yellow"/>
                <w:u w:val="single"/>
              </w:rPr>
              <w:t>终身</w:t>
            </w:r>
            <w:r>
              <w:rPr>
                <w:rFonts w:hint="eastAsia" w:asciiTheme="minorEastAsia" w:hAnsiTheme="minorEastAsia" w:eastAsiaTheme="minorEastAsia"/>
                <w:bCs/>
                <w:szCs w:val="21"/>
              </w:rPr>
              <w:t>，终身维修。</w:t>
            </w:r>
            <w:r>
              <w:rPr>
                <w:rFonts w:hint="eastAsia" w:ascii="宋体" w:hAnsi="宋体"/>
                <w:bCs/>
                <w:color w:val="0070C0"/>
                <w:szCs w:val="21"/>
              </w:rPr>
              <w:t>保修期</w:t>
            </w:r>
            <w:r>
              <w:rPr>
                <w:rFonts w:hint="eastAsia" w:asciiTheme="minorEastAsia" w:hAnsiTheme="minorEastAsia" w:eastAsiaTheme="minorEastAsia"/>
                <w:bCs/>
                <w:szCs w:val="21"/>
              </w:rPr>
              <w:t>内</w:t>
            </w:r>
            <w:r>
              <w:rPr>
                <w:rFonts w:asciiTheme="minorEastAsia" w:hAnsiTheme="minorEastAsia" w:eastAsiaTheme="minorEastAsia"/>
                <w:bCs/>
                <w:szCs w:val="21"/>
              </w:rPr>
              <w:t>,</w:t>
            </w:r>
            <w:r>
              <w:rPr>
                <w:rFonts w:hint="eastAsia" w:asciiTheme="minorEastAsia" w:hAnsiTheme="minorEastAsia" w:eastAsiaTheme="minorEastAsia"/>
                <w:bCs/>
                <w:szCs w:val="21"/>
              </w:rPr>
              <w:t>年度定期预防性维护保养次数应不少于 2 次并留存维护记录。</w:t>
            </w:r>
            <w:r>
              <w:rPr>
                <w:rFonts w:hint="eastAsia" w:asciiTheme="minorEastAsia" w:hAnsiTheme="minorEastAsia" w:eastAsiaTheme="minorEastAsia"/>
                <w:bCs/>
                <w:color w:val="0070C0"/>
                <w:szCs w:val="21"/>
              </w:rPr>
              <w:t>报价已包含</w:t>
            </w:r>
            <w:r>
              <w:rPr>
                <w:rFonts w:hint="eastAsia" w:ascii="宋体" w:hAnsi="宋体"/>
                <w:bCs/>
                <w:color w:val="0070C0"/>
                <w:szCs w:val="21"/>
              </w:rPr>
              <w:t>保修期</w:t>
            </w:r>
            <w:r>
              <w:rPr>
                <w:rFonts w:hint="eastAsia" w:asciiTheme="minorEastAsia" w:hAnsiTheme="minorEastAsia" w:eastAsiaTheme="minorEastAsia"/>
                <w:bCs/>
                <w:color w:val="0070C0"/>
                <w:szCs w:val="21"/>
              </w:rPr>
              <w:t>内更换零配件及工时费</w:t>
            </w:r>
            <w:r>
              <w:rPr>
                <w:rFonts w:hint="eastAsia" w:asciiTheme="minorEastAsia" w:hAnsiTheme="minorEastAsia" w:eastAsiaTheme="minorEastAsia"/>
                <w:bCs/>
                <w:szCs w:val="21"/>
              </w:rPr>
              <w:t>。</w:t>
            </w:r>
          </w:p>
          <w:p w14:paraId="1EB89B26">
            <w:pPr>
              <w:adjustRightInd w:val="0"/>
              <w:snapToGrid w:val="0"/>
              <w:ind w:firstLine="360" w:firstLineChars="200"/>
              <w:rPr>
                <w:rFonts w:asciiTheme="minorEastAsia" w:hAnsiTheme="minorEastAsia" w:eastAsiaTheme="minorEastAsia"/>
                <w:bCs/>
                <w:sz w:val="18"/>
                <w:szCs w:val="21"/>
              </w:rPr>
            </w:pPr>
            <w:r>
              <w:rPr>
                <w:rFonts w:hint="eastAsia" w:asciiTheme="minorEastAsia" w:hAnsiTheme="minorEastAsia" w:eastAsiaTheme="minorEastAsia"/>
                <w:bCs/>
                <w:sz w:val="18"/>
                <w:szCs w:val="21"/>
              </w:rPr>
              <w:t>（备注：质保期是指投标人应在该期间内对本项目下交付的所有货物提供质量保证，不包括消耗品的配送。）</w:t>
            </w:r>
          </w:p>
          <w:p w14:paraId="2B24D5B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7.2    4小时内响应，24 小时维修到位（不可抗力情况除外）。消耗品和零配件供应及时，质保期</w:t>
            </w:r>
            <w:r>
              <w:rPr>
                <w:rFonts w:asciiTheme="minorEastAsia" w:hAnsiTheme="minorEastAsia" w:eastAsiaTheme="minorEastAsia"/>
                <w:bCs/>
                <w:szCs w:val="21"/>
              </w:rPr>
              <w:t>内及外设备出现故障不能正常使用，</w:t>
            </w:r>
            <w:r>
              <w:rPr>
                <w:rFonts w:asciiTheme="minorEastAsia" w:hAnsiTheme="minorEastAsia" w:eastAsiaTheme="minorEastAsia"/>
                <w:bCs/>
                <w:color w:val="0070C0"/>
                <w:szCs w:val="21"/>
              </w:rPr>
              <w:t>中标</w:t>
            </w:r>
            <w:r>
              <w:rPr>
                <w:rFonts w:hint="eastAsia" w:asciiTheme="minorEastAsia" w:hAnsiTheme="minorEastAsia" w:eastAsiaTheme="minorEastAsia"/>
                <w:bCs/>
                <w:color w:val="0070C0"/>
                <w:szCs w:val="21"/>
              </w:rPr>
              <w:t>人报价已包含</w:t>
            </w:r>
            <w:r>
              <w:rPr>
                <w:rFonts w:asciiTheme="minorEastAsia" w:hAnsiTheme="minorEastAsia" w:eastAsiaTheme="minorEastAsia"/>
                <w:bCs/>
                <w:color w:val="0070C0"/>
                <w:szCs w:val="21"/>
              </w:rPr>
              <w:t>提供备用机给采购人使用直至设备修复完好投入使用</w:t>
            </w:r>
            <w:r>
              <w:rPr>
                <w:rFonts w:hint="eastAsia" w:asciiTheme="minorEastAsia" w:hAnsiTheme="minorEastAsia" w:eastAsiaTheme="minorEastAsia"/>
                <w:bCs/>
                <w:color w:val="0070C0"/>
                <w:szCs w:val="21"/>
              </w:rPr>
              <w:t>的服务</w:t>
            </w:r>
            <w:r>
              <w:rPr>
                <w:rFonts w:asciiTheme="minorEastAsia" w:hAnsiTheme="minorEastAsia" w:eastAsiaTheme="minorEastAsia"/>
                <w:bCs/>
                <w:color w:val="0070C0"/>
                <w:szCs w:val="21"/>
              </w:rPr>
              <w:t>。</w:t>
            </w:r>
          </w:p>
          <w:p w14:paraId="3F270626">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7.3质保期满以后，中标人对设备终身负责维修、安装、升级软件服务，长期以优惠价提供零配件（中标供应商提供主要零配件报价单）。</w:t>
            </w:r>
          </w:p>
          <w:p w14:paraId="5723BCA4">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7.4</w:t>
            </w:r>
            <w:r>
              <w:rPr>
                <w:rFonts w:hint="eastAsia" w:asciiTheme="minorEastAsia" w:hAnsiTheme="minorEastAsia" w:eastAsiaTheme="minorEastAsia"/>
                <w:bCs/>
                <w:color w:val="0070C0"/>
                <w:szCs w:val="21"/>
              </w:rPr>
              <w:t>报价已包含终身提供软件升级服务,并开放设备接口，派人配合与医院各信息系统的连接工作</w:t>
            </w:r>
            <w:r>
              <w:rPr>
                <w:rFonts w:hint="eastAsia" w:asciiTheme="minorEastAsia" w:hAnsiTheme="minorEastAsia" w:eastAsiaTheme="minorEastAsia"/>
                <w:bCs/>
                <w:szCs w:val="21"/>
              </w:rPr>
              <w:t>，直至该设备与医院信息系统可进行完整的数据交换；在设备保修期内，当医院信息系统变更并需要与该设备连接时，</w:t>
            </w:r>
            <w:r>
              <w:rPr>
                <w:rFonts w:hint="eastAsia" w:asciiTheme="minorEastAsia" w:hAnsiTheme="minorEastAsia" w:eastAsiaTheme="minorEastAsia"/>
                <w:bCs/>
                <w:color w:val="0070C0"/>
                <w:szCs w:val="21"/>
              </w:rPr>
              <w:t>需派人</w:t>
            </w:r>
            <w:r>
              <w:rPr>
                <w:rFonts w:hint="eastAsia" w:asciiTheme="minorEastAsia" w:hAnsiTheme="minorEastAsia" w:eastAsiaTheme="minorEastAsia"/>
                <w:bCs/>
                <w:szCs w:val="21"/>
              </w:rPr>
              <w:t>配合直至该设备与医院信息系统可进行完整的数据交换</w:t>
            </w:r>
            <w:r>
              <w:rPr>
                <w:rFonts w:hint="eastAsia" w:asciiTheme="minorEastAsia" w:hAnsiTheme="minorEastAsia" w:eastAsiaTheme="minorEastAsia"/>
                <w:bCs/>
                <w:color w:val="0070C0"/>
                <w:szCs w:val="21"/>
              </w:rPr>
              <w:t>，且采购人无需另行支付费用。</w:t>
            </w:r>
          </w:p>
          <w:p w14:paraId="1108BB72">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7.5质保期内【设备故障率】≤【 5 】%。【设备故障率】未达要求的，每升高【1】%，质保期顺延【30 】天。当【设备故障率】≥【 10 】%时，投标人必须在采购人提出要求之日起【 30 】日内无条件更换新机，并按该设备总价的【5】%向采购人支付违约金，由此造成采购人其他损失的，中标人应另行赔偿。中标人维修的指定邮箱</w:t>
            </w:r>
            <w:r>
              <w:rPr>
                <w:rFonts w:asciiTheme="minorEastAsia" w:hAnsiTheme="minorEastAsia" w:eastAsiaTheme="minorEastAsia"/>
                <w:bCs/>
                <w:szCs w:val="21"/>
              </w:rPr>
              <w:t>，</w:t>
            </w:r>
            <w:r>
              <w:rPr>
                <w:rFonts w:hint="eastAsia" w:asciiTheme="minorEastAsia" w:hAnsiTheme="minorEastAsia" w:eastAsiaTheme="minorEastAsia"/>
                <w:bCs/>
                <w:szCs w:val="21"/>
              </w:rPr>
              <w:t>采购人维修通知的邮件发出后，视为采购人的维修通知送达中标人。</w:t>
            </w:r>
          </w:p>
          <w:p w14:paraId="170BAC0E">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7.6</w:t>
            </w:r>
            <w:r>
              <w:rPr>
                <w:rFonts w:hint="eastAsia"/>
              </w:rPr>
              <w:t>质保期满后，中标人应以优惠价供应维修零配件、消耗品。签订合同时填写合同模板中的《设备配套消耗材料报价单》和《设备主要维修配件报价单》。采购人可与中标人就优惠价进行谈判，但优惠价不得高于签订合同时承诺的维修零配件、消耗品的报价。</w:t>
            </w:r>
            <w:r>
              <w:rPr>
                <w:rFonts w:hint="eastAsia" w:asciiTheme="minorEastAsia" w:hAnsiTheme="minorEastAsia" w:eastAsiaTheme="minorEastAsia"/>
                <w:bCs/>
                <w:szCs w:val="21"/>
              </w:rPr>
              <w:t>质保期</w:t>
            </w:r>
            <w:r>
              <w:rPr>
                <w:rFonts w:asciiTheme="minorEastAsia" w:hAnsiTheme="minorEastAsia" w:eastAsiaTheme="minorEastAsia"/>
                <w:bCs/>
                <w:szCs w:val="21"/>
              </w:rPr>
              <w:t>满后，</w:t>
            </w:r>
            <w:r>
              <w:rPr>
                <w:rFonts w:hint="eastAsia" w:asciiTheme="minorEastAsia" w:hAnsiTheme="minorEastAsia" w:eastAsiaTheme="minorEastAsia"/>
                <w:bCs/>
                <w:szCs w:val="21"/>
              </w:rPr>
              <w:t>中标</w:t>
            </w:r>
            <w:r>
              <w:rPr>
                <w:rFonts w:asciiTheme="minorEastAsia" w:hAnsiTheme="minorEastAsia" w:eastAsiaTheme="minorEastAsia"/>
                <w:bCs/>
                <w:szCs w:val="21"/>
              </w:rPr>
              <w:t>人应以优惠价供应维修零配件、消耗品和延续保修合同。价格最高的前5项零配件、消耗品和延续保修合同的报价明细必须填写于《合同报价清单》中。采购人可与</w:t>
            </w:r>
            <w:r>
              <w:rPr>
                <w:rFonts w:hint="eastAsia" w:asciiTheme="minorEastAsia" w:hAnsiTheme="minorEastAsia" w:eastAsiaTheme="minorEastAsia"/>
                <w:bCs/>
                <w:szCs w:val="21"/>
              </w:rPr>
              <w:t>中标</w:t>
            </w:r>
            <w:r>
              <w:rPr>
                <w:rFonts w:asciiTheme="minorEastAsia" w:hAnsiTheme="minorEastAsia" w:eastAsiaTheme="minorEastAsia"/>
                <w:bCs/>
                <w:szCs w:val="21"/>
              </w:rPr>
              <w:t>人就优惠价进行谈判，但优惠价不得高于</w:t>
            </w:r>
            <w:r>
              <w:rPr>
                <w:rFonts w:hint="eastAsia" w:asciiTheme="minorEastAsia" w:hAnsiTheme="minorEastAsia" w:eastAsiaTheme="minorEastAsia"/>
                <w:bCs/>
                <w:szCs w:val="21"/>
              </w:rPr>
              <w:t>中标</w:t>
            </w:r>
            <w:r>
              <w:rPr>
                <w:rFonts w:asciiTheme="minorEastAsia" w:hAnsiTheme="minorEastAsia" w:eastAsiaTheme="minorEastAsia"/>
                <w:bCs/>
                <w:szCs w:val="21"/>
              </w:rPr>
              <w:t>人在投标文件的《零配件、消耗品和延续保修合同报价清单》中承诺的维修零配件、消耗品和延续保修合同的报价。</w:t>
            </w:r>
          </w:p>
        </w:tc>
      </w:tr>
      <w:tr w14:paraId="5F1D3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1765" w:type="dxa"/>
            <w:gridSpan w:val="3"/>
          </w:tcPr>
          <w:p w14:paraId="2C71E82B">
            <w:pPr>
              <w:spacing w:line="276" w:lineRule="auto"/>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八、培训要求 </w:t>
            </w:r>
          </w:p>
        </w:tc>
        <w:tc>
          <w:tcPr>
            <w:tcW w:w="8261" w:type="dxa"/>
            <w:gridSpan w:val="2"/>
          </w:tcPr>
          <w:p w14:paraId="28E47305">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需针对临床使用人员及工程人员设计培训方案，主要内容包括但不限于：临床使用及维护保养培训：设备的基本结构、性能、主要部件的构造及修理，日常使用保养与管理，常见故障的排除，紧急情况的处理等,直至能独立操作并附培训方案。</w:t>
            </w:r>
          </w:p>
        </w:tc>
      </w:tr>
      <w:tr w14:paraId="50800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1765" w:type="dxa"/>
            <w:gridSpan w:val="3"/>
          </w:tcPr>
          <w:p w14:paraId="001B57DF">
            <w:pPr>
              <w:spacing w:line="276" w:lineRule="auto"/>
              <w:rPr>
                <w:rFonts w:asciiTheme="majorEastAsia" w:hAnsiTheme="majorEastAsia" w:eastAsiaTheme="majorEastAsia"/>
                <w:b/>
                <w:sz w:val="24"/>
                <w:szCs w:val="21"/>
              </w:rPr>
            </w:pPr>
            <w:r>
              <w:rPr>
                <w:rFonts w:hint="eastAsia" w:asciiTheme="majorEastAsia" w:hAnsiTheme="majorEastAsia" w:eastAsiaTheme="majorEastAsia"/>
                <w:b/>
                <w:sz w:val="24"/>
                <w:szCs w:val="21"/>
              </w:rPr>
              <w:t>九、违约责任</w:t>
            </w:r>
          </w:p>
        </w:tc>
        <w:tc>
          <w:tcPr>
            <w:tcW w:w="8261" w:type="dxa"/>
            <w:gridSpan w:val="2"/>
          </w:tcPr>
          <w:p w14:paraId="3406A51C">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9.1中标人所交设备的品种、型号、规格、质量、功能、技术参数等方面不能实质性满足招标文件，</w:t>
            </w:r>
            <w:r>
              <w:rPr>
                <w:rFonts w:asciiTheme="minorEastAsia" w:hAnsiTheme="minorEastAsia" w:eastAsiaTheme="minorEastAsia"/>
                <w:bCs/>
                <w:szCs w:val="21"/>
              </w:rPr>
              <w:t>交付的货物不符合合同规定的</w:t>
            </w:r>
            <w:r>
              <w:rPr>
                <w:rFonts w:hint="eastAsia" w:asciiTheme="minorEastAsia" w:hAnsiTheme="minorEastAsia" w:eastAsiaTheme="minorEastAsia"/>
                <w:bCs/>
                <w:szCs w:val="21"/>
              </w:rPr>
              <w:t>，采购人有权拒绝收货，且中标</w:t>
            </w:r>
            <w:r>
              <w:rPr>
                <w:rFonts w:asciiTheme="minorEastAsia" w:hAnsiTheme="minorEastAsia" w:eastAsiaTheme="minorEastAsia"/>
                <w:bCs/>
                <w:szCs w:val="21"/>
              </w:rPr>
              <w:t>人向采购人支付合同总价的5%</w:t>
            </w:r>
            <w:r>
              <w:rPr>
                <w:rFonts w:hint="eastAsia" w:asciiTheme="minorEastAsia" w:hAnsiTheme="minorEastAsia" w:eastAsiaTheme="minorEastAsia"/>
                <w:bCs/>
                <w:szCs w:val="21"/>
              </w:rPr>
              <w:t>的违约金。</w:t>
            </w:r>
          </w:p>
          <w:p w14:paraId="7DF8E542">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9.2中标人逾期交货，或逾期完成安装调试，或货物逾期通过验收的，中标人均应支付逾期违约金，每日按合同总价的5‰计算；逾期超过三十日的，中标人需向采购人另行支付合同总价的10%的违约金，且采购人有权单方解除本合同，中标人于收到采购人发出的解除通知书后三日内无条件退回采购人已支付的全部款项。此条款与9.1条同时执行。</w:t>
            </w:r>
          </w:p>
        </w:tc>
      </w:tr>
      <w:tr w14:paraId="277E1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1765" w:type="dxa"/>
            <w:gridSpan w:val="3"/>
            <w:tcBorders>
              <w:bottom w:val="single" w:color="auto" w:sz="4" w:space="0"/>
            </w:tcBorders>
          </w:tcPr>
          <w:p w14:paraId="5A523322">
            <w:pPr>
              <w:spacing w:line="276" w:lineRule="auto"/>
              <w:rPr>
                <w:rFonts w:asciiTheme="majorEastAsia" w:hAnsiTheme="majorEastAsia" w:eastAsiaTheme="majorEastAsia"/>
                <w:b/>
                <w:sz w:val="24"/>
                <w:szCs w:val="21"/>
              </w:rPr>
            </w:pPr>
            <w:r>
              <w:rPr>
                <w:rFonts w:hint="eastAsia" w:asciiTheme="majorEastAsia" w:hAnsiTheme="majorEastAsia" w:eastAsiaTheme="majorEastAsia"/>
                <w:b/>
                <w:sz w:val="24"/>
                <w:szCs w:val="21"/>
              </w:rPr>
              <w:t>十、其他</w:t>
            </w:r>
          </w:p>
        </w:tc>
        <w:tc>
          <w:tcPr>
            <w:tcW w:w="8261" w:type="dxa"/>
            <w:gridSpan w:val="2"/>
            <w:tcBorders>
              <w:bottom w:val="single" w:color="auto" w:sz="4" w:space="0"/>
            </w:tcBorders>
          </w:tcPr>
          <w:p w14:paraId="1E807F4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10.1如有设备相关耗材、试剂或易损器械，设备及主要维修配件，请提供并分别列出它们的优惠价格。</w:t>
            </w:r>
          </w:p>
          <w:p w14:paraId="429EF3FF">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10.2设备电源插头符合使用科室现有的插座，如不符合提供相应的插头转换接口。</w:t>
            </w:r>
          </w:p>
          <w:p w14:paraId="6703627D">
            <w:pPr>
              <w:adjustRightInd w:val="0"/>
              <w:snapToGrid w:val="0"/>
              <w:ind w:firstLine="420" w:firstLineChars="200"/>
              <w:rPr>
                <w:rFonts w:asciiTheme="minorEastAsia" w:hAnsiTheme="minorEastAsia" w:eastAsiaTheme="minorEastAsia"/>
                <w:bCs/>
                <w:szCs w:val="21"/>
              </w:rPr>
            </w:pPr>
            <w:r>
              <w:rPr>
                <w:rFonts w:asciiTheme="minorEastAsia" w:hAnsiTheme="minorEastAsia" w:eastAsiaTheme="minorEastAsia"/>
                <w:bCs/>
                <w:szCs w:val="21"/>
              </w:rPr>
              <w:t>10.</w:t>
            </w:r>
            <w:r>
              <w:rPr>
                <w:rFonts w:hint="eastAsia" w:asciiTheme="minorEastAsia" w:hAnsiTheme="minorEastAsia" w:eastAsiaTheme="minorEastAsia"/>
                <w:bCs/>
                <w:szCs w:val="21"/>
              </w:rPr>
              <w:t>3如涉及工程类需提供相关的电路图、施工图，安装工程所涉及到的全部费用（包含但不限于装修费、旧设备拆装费、总承包管理服务费、安装如涉及外接电源、网络、给排水、排风等必须对现有设施进行改造或增加管线、材料及人工等），均由中标人承担，电源电线插座、长度和用电等需符合采购人的使用要求，所供设备均需妥善安装确保采购人可正常使用。</w:t>
            </w:r>
          </w:p>
          <w:p w14:paraId="07E641FC">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10.4中标人所交付货物、工程或服务不符合其投标承诺的，或在投标阶段为中标而盲目虚假承诺、低价恶性竞争，在履约阶段则通过偷工减料、以次充好而获取利润的，将不予验收，并交主管部门遵照相关规定处理，所有责任由中标人一力承担。</w:t>
            </w:r>
          </w:p>
        </w:tc>
      </w:tr>
    </w:tbl>
    <w:p w14:paraId="2DE330F9">
      <w:pPr>
        <w:spacing w:line="540" w:lineRule="exact"/>
        <w:ind w:left="400"/>
        <w:jc w:val="center"/>
        <w:rPr>
          <w:rFonts w:hint="eastAsia" w:cs="方正小标宋简体" w:asciiTheme="majorEastAsia" w:hAnsiTheme="majorEastAsia" w:eastAsiaTheme="majorEastAsia"/>
          <w:b/>
          <w:sz w:val="36"/>
          <w:szCs w:val="36"/>
        </w:rPr>
      </w:pPr>
    </w:p>
    <w:p w14:paraId="6E632943">
      <w:pPr>
        <w:spacing w:line="360" w:lineRule="auto"/>
        <w:ind w:left="400"/>
        <w:jc w:val="center"/>
        <w:rPr>
          <w:rFonts w:cs="方正小标宋简体" w:asciiTheme="majorEastAsia" w:hAnsiTheme="majorEastAsia" w:eastAsiaTheme="majorEastAsia"/>
          <w:sz w:val="36"/>
          <w:szCs w:val="36"/>
        </w:rPr>
      </w:pPr>
      <w:r>
        <w:rPr>
          <w:rFonts w:hint="eastAsia" w:cs="方正小标宋简体" w:asciiTheme="majorEastAsia" w:hAnsiTheme="majorEastAsia" w:eastAsiaTheme="majorEastAsia"/>
          <w:b/>
          <w:sz w:val="36"/>
          <w:szCs w:val="36"/>
        </w:rPr>
        <w:t>第</w:t>
      </w:r>
      <w:r>
        <w:rPr>
          <w:rFonts w:hint="eastAsia" w:cs="方正小标宋简体" w:asciiTheme="majorEastAsia" w:hAnsiTheme="majorEastAsia" w:eastAsiaTheme="majorEastAsia"/>
          <w:b/>
          <w:sz w:val="36"/>
          <w:szCs w:val="36"/>
          <w:lang w:val="en-US" w:eastAsia="zh-CN"/>
        </w:rPr>
        <w:t>三</w:t>
      </w:r>
      <w:r>
        <w:rPr>
          <w:rFonts w:hint="eastAsia" w:cs="方正小标宋简体" w:asciiTheme="majorEastAsia" w:hAnsiTheme="majorEastAsia" w:eastAsiaTheme="majorEastAsia"/>
          <w:b/>
          <w:sz w:val="36"/>
          <w:szCs w:val="36"/>
        </w:rPr>
        <w:t>部分</w:t>
      </w:r>
      <w:r>
        <w:rPr>
          <w:rFonts w:hint="eastAsia" w:cs="方正小标宋简体" w:asciiTheme="majorEastAsia" w:hAnsiTheme="majorEastAsia" w:eastAsiaTheme="majorEastAsia"/>
          <w:b/>
          <w:sz w:val="36"/>
          <w:szCs w:val="36"/>
          <w:lang w:val="en-US" w:eastAsia="zh-CN"/>
        </w:rPr>
        <w:t xml:space="preserve"> </w:t>
      </w:r>
      <w:r>
        <w:rPr>
          <w:rFonts w:hint="eastAsia" w:cs="方正小标宋简体" w:asciiTheme="majorEastAsia" w:hAnsiTheme="majorEastAsia" w:eastAsiaTheme="majorEastAsia"/>
          <w:b/>
          <w:sz w:val="36"/>
          <w:szCs w:val="36"/>
        </w:rPr>
        <w:t>零配件、消耗品和延续保修合同报价明细清单</w:t>
      </w:r>
    </w:p>
    <w:p w14:paraId="6D32EF64">
      <w:pPr>
        <w:adjustRightInd w:val="0"/>
        <w:snapToGrid w:val="0"/>
        <w:spacing w:line="360" w:lineRule="auto"/>
        <w:jc w:val="center"/>
        <w:rPr>
          <w:rFonts w:asciiTheme="majorEastAsia" w:hAnsiTheme="majorEastAsia" w:eastAsiaTheme="majorEastAsia"/>
          <w:bCs/>
          <w:sz w:val="28"/>
        </w:rPr>
      </w:pPr>
      <w:r>
        <w:rPr>
          <w:rFonts w:hint="eastAsia" w:asciiTheme="majorEastAsia" w:hAnsiTheme="majorEastAsia" w:eastAsiaTheme="majorEastAsia"/>
          <w:bCs/>
          <w:sz w:val="28"/>
        </w:rPr>
        <w:t>（该部分报价不包括在预算总价内）</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7"/>
        <w:gridCol w:w="2006"/>
        <w:gridCol w:w="1493"/>
        <w:gridCol w:w="2912"/>
        <w:gridCol w:w="1493"/>
        <w:gridCol w:w="1539"/>
      </w:tblGrid>
      <w:tr w14:paraId="3CE56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977" w:type="dxa"/>
            <w:vAlign w:val="center"/>
          </w:tcPr>
          <w:p w14:paraId="5616B980">
            <w:pPr>
              <w:adjustRightInd w:val="0"/>
              <w:snapToGrid w:val="0"/>
              <w:spacing w:line="300" w:lineRule="auto"/>
              <w:jc w:val="center"/>
              <w:rPr>
                <w:rFonts w:asciiTheme="majorEastAsia" w:hAnsiTheme="majorEastAsia" w:eastAsiaTheme="majorEastAsia"/>
                <w:b/>
                <w:sz w:val="24"/>
                <w:szCs w:val="21"/>
              </w:rPr>
            </w:pPr>
            <w:r>
              <w:rPr>
                <w:rFonts w:asciiTheme="majorEastAsia" w:hAnsiTheme="majorEastAsia" w:eastAsiaTheme="majorEastAsia"/>
                <w:b/>
                <w:sz w:val="24"/>
                <w:szCs w:val="21"/>
              </w:rPr>
              <w:t>序号</w:t>
            </w:r>
          </w:p>
        </w:tc>
        <w:tc>
          <w:tcPr>
            <w:tcW w:w="2006" w:type="dxa"/>
            <w:vAlign w:val="center"/>
          </w:tcPr>
          <w:p w14:paraId="40D74C2D">
            <w:pPr>
              <w:adjustRightInd w:val="0"/>
              <w:snapToGrid w:val="0"/>
              <w:spacing w:line="300" w:lineRule="auto"/>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w:t>
            </w:r>
            <w:r>
              <w:rPr>
                <w:rFonts w:asciiTheme="majorEastAsia" w:hAnsiTheme="majorEastAsia" w:eastAsiaTheme="majorEastAsia"/>
                <w:b/>
                <w:sz w:val="24"/>
                <w:szCs w:val="21"/>
              </w:rPr>
              <w:t>名称</w:t>
            </w:r>
          </w:p>
        </w:tc>
        <w:tc>
          <w:tcPr>
            <w:tcW w:w="1493" w:type="dxa"/>
            <w:vAlign w:val="center"/>
          </w:tcPr>
          <w:p w14:paraId="1E922AAC">
            <w:pPr>
              <w:adjustRightInd w:val="0"/>
              <w:snapToGrid w:val="0"/>
              <w:spacing w:line="300" w:lineRule="auto"/>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规格/型号</w:t>
            </w:r>
          </w:p>
        </w:tc>
        <w:tc>
          <w:tcPr>
            <w:tcW w:w="2912" w:type="dxa"/>
            <w:vAlign w:val="center"/>
          </w:tcPr>
          <w:p w14:paraId="687BD788">
            <w:pPr>
              <w:adjustRightInd w:val="0"/>
              <w:snapToGrid w:val="0"/>
              <w:spacing w:line="300" w:lineRule="auto"/>
              <w:jc w:val="center"/>
              <w:rPr>
                <w:rFonts w:asciiTheme="majorEastAsia" w:hAnsiTheme="majorEastAsia" w:eastAsiaTheme="majorEastAsia"/>
                <w:b/>
                <w:sz w:val="24"/>
                <w:szCs w:val="21"/>
              </w:rPr>
            </w:pPr>
            <w:r>
              <w:rPr>
                <w:rFonts w:asciiTheme="majorEastAsia" w:hAnsiTheme="majorEastAsia" w:eastAsiaTheme="majorEastAsia"/>
                <w:b/>
                <w:sz w:val="24"/>
                <w:szCs w:val="21"/>
              </w:rPr>
              <w:t>制造厂商</w:t>
            </w:r>
          </w:p>
        </w:tc>
        <w:tc>
          <w:tcPr>
            <w:tcW w:w="1493" w:type="dxa"/>
            <w:vAlign w:val="center"/>
          </w:tcPr>
          <w:p w14:paraId="72086E72">
            <w:pPr>
              <w:adjustRightInd w:val="0"/>
              <w:snapToGrid w:val="0"/>
              <w:spacing w:line="300" w:lineRule="auto"/>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原产地</w:t>
            </w:r>
          </w:p>
        </w:tc>
        <w:tc>
          <w:tcPr>
            <w:tcW w:w="1539" w:type="dxa"/>
            <w:vAlign w:val="center"/>
          </w:tcPr>
          <w:p w14:paraId="4881F6C9">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单价(元)</w:t>
            </w:r>
          </w:p>
        </w:tc>
      </w:tr>
      <w:tr w14:paraId="43BD8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977" w:type="dxa"/>
          </w:tcPr>
          <w:p w14:paraId="46F13432">
            <w:pPr>
              <w:widowControl/>
              <w:jc w:val="center"/>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rPr>
              <w:t>1</w:t>
            </w:r>
          </w:p>
        </w:tc>
        <w:tc>
          <w:tcPr>
            <w:tcW w:w="2006" w:type="dxa"/>
          </w:tcPr>
          <w:p w14:paraId="2E6C3736">
            <w:pPr>
              <w:widowControl/>
              <w:jc w:val="center"/>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rPr>
              <w:t>电源适配器</w:t>
            </w:r>
          </w:p>
        </w:tc>
        <w:tc>
          <w:tcPr>
            <w:tcW w:w="1493" w:type="dxa"/>
          </w:tcPr>
          <w:p w14:paraId="088ECC51">
            <w:pPr>
              <w:widowControl/>
              <w:jc w:val="center"/>
              <w:rPr>
                <w:rFonts w:cs="方正小标宋简体" w:asciiTheme="majorEastAsia" w:hAnsiTheme="majorEastAsia" w:eastAsiaTheme="majorEastAsia"/>
                <w:sz w:val="24"/>
              </w:rPr>
            </w:pPr>
          </w:p>
        </w:tc>
        <w:tc>
          <w:tcPr>
            <w:tcW w:w="2912" w:type="dxa"/>
          </w:tcPr>
          <w:p w14:paraId="6940EDA8">
            <w:pPr>
              <w:widowControl/>
              <w:jc w:val="center"/>
              <w:rPr>
                <w:rFonts w:cs="方正小标宋简体" w:asciiTheme="majorEastAsia" w:hAnsiTheme="majorEastAsia" w:eastAsiaTheme="majorEastAsia"/>
                <w:sz w:val="24"/>
              </w:rPr>
            </w:pPr>
          </w:p>
        </w:tc>
        <w:tc>
          <w:tcPr>
            <w:tcW w:w="1493" w:type="dxa"/>
          </w:tcPr>
          <w:p w14:paraId="7AEA22A4">
            <w:pPr>
              <w:widowControl/>
              <w:jc w:val="center"/>
              <w:rPr>
                <w:rFonts w:cs="方正小标宋简体" w:asciiTheme="majorEastAsia" w:hAnsiTheme="majorEastAsia" w:eastAsiaTheme="majorEastAsia"/>
                <w:sz w:val="24"/>
              </w:rPr>
            </w:pPr>
          </w:p>
        </w:tc>
        <w:tc>
          <w:tcPr>
            <w:tcW w:w="1539" w:type="dxa"/>
          </w:tcPr>
          <w:p w14:paraId="033FDAE7">
            <w:pPr>
              <w:widowControl/>
              <w:jc w:val="center"/>
              <w:rPr>
                <w:rFonts w:cs="方正小标宋简体" w:asciiTheme="majorEastAsia" w:hAnsiTheme="majorEastAsia" w:eastAsiaTheme="majorEastAsia"/>
                <w:sz w:val="24"/>
              </w:rPr>
            </w:pPr>
          </w:p>
        </w:tc>
      </w:tr>
      <w:tr w14:paraId="6EA7C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trPr>
        <w:tc>
          <w:tcPr>
            <w:tcW w:w="977" w:type="dxa"/>
          </w:tcPr>
          <w:p w14:paraId="587D8A54">
            <w:pPr>
              <w:widowControl/>
              <w:jc w:val="center"/>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rPr>
              <w:t>2</w:t>
            </w:r>
          </w:p>
        </w:tc>
        <w:tc>
          <w:tcPr>
            <w:tcW w:w="2006" w:type="dxa"/>
          </w:tcPr>
          <w:p w14:paraId="6330AE4D">
            <w:pPr>
              <w:widowControl/>
              <w:jc w:val="center"/>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rPr>
              <w:t>加温器</w:t>
            </w:r>
          </w:p>
        </w:tc>
        <w:tc>
          <w:tcPr>
            <w:tcW w:w="1493" w:type="dxa"/>
          </w:tcPr>
          <w:p w14:paraId="5D9BAE7E">
            <w:pPr>
              <w:widowControl/>
              <w:jc w:val="center"/>
              <w:rPr>
                <w:rFonts w:cs="方正小标宋简体" w:asciiTheme="majorEastAsia" w:hAnsiTheme="majorEastAsia" w:eastAsiaTheme="majorEastAsia"/>
                <w:sz w:val="24"/>
              </w:rPr>
            </w:pPr>
          </w:p>
        </w:tc>
        <w:tc>
          <w:tcPr>
            <w:tcW w:w="2912" w:type="dxa"/>
          </w:tcPr>
          <w:p w14:paraId="3881EE8B">
            <w:pPr>
              <w:widowControl/>
              <w:jc w:val="center"/>
              <w:rPr>
                <w:rFonts w:cs="方正小标宋简体" w:asciiTheme="majorEastAsia" w:hAnsiTheme="majorEastAsia" w:eastAsiaTheme="majorEastAsia"/>
                <w:sz w:val="24"/>
              </w:rPr>
            </w:pPr>
          </w:p>
        </w:tc>
        <w:tc>
          <w:tcPr>
            <w:tcW w:w="1493" w:type="dxa"/>
          </w:tcPr>
          <w:p w14:paraId="6BA90B02">
            <w:pPr>
              <w:widowControl/>
              <w:jc w:val="center"/>
              <w:rPr>
                <w:rFonts w:cs="方正小标宋简体" w:asciiTheme="majorEastAsia" w:hAnsiTheme="majorEastAsia" w:eastAsiaTheme="majorEastAsia"/>
                <w:sz w:val="24"/>
              </w:rPr>
            </w:pPr>
          </w:p>
        </w:tc>
        <w:tc>
          <w:tcPr>
            <w:tcW w:w="1539" w:type="dxa"/>
          </w:tcPr>
          <w:p w14:paraId="4F1834A0">
            <w:pPr>
              <w:widowControl/>
              <w:jc w:val="center"/>
              <w:rPr>
                <w:rFonts w:cs="方正小标宋简体" w:asciiTheme="majorEastAsia" w:hAnsiTheme="majorEastAsia" w:eastAsiaTheme="majorEastAsia"/>
                <w:sz w:val="24"/>
              </w:rPr>
            </w:pPr>
          </w:p>
        </w:tc>
      </w:tr>
    </w:tbl>
    <w:p w14:paraId="34FE3CBF">
      <w:pPr>
        <w:adjustRightInd w:val="0"/>
        <w:snapToGrid w:val="0"/>
        <w:spacing w:line="300" w:lineRule="auto"/>
        <w:jc w:val="center"/>
        <w:rPr>
          <w:rFonts w:asciiTheme="majorEastAsia" w:hAnsiTheme="majorEastAsia" w:eastAsiaTheme="majorEastAsia"/>
          <w:b/>
          <w:sz w:val="24"/>
          <w:szCs w:val="21"/>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4109"/>
        <w:gridCol w:w="2605"/>
        <w:gridCol w:w="2605"/>
      </w:tblGrid>
      <w:tr w14:paraId="489375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101" w:type="dxa"/>
            <w:vAlign w:val="center"/>
          </w:tcPr>
          <w:p w14:paraId="186D3857">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序号</w:t>
            </w:r>
          </w:p>
        </w:tc>
        <w:tc>
          <w:tcPr>
            <w:tcW w:w="4109" w:type="dxa"/>
            <w:vAlign w:val="center"/>
          </w:tcPr>
          <w:p w14:paraId="311729FD">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服务名称</w:t>
            </w:r>
          </w:p>
        </w:tc>
        <w:tc>
          <w:tcPr>
            <w:tcW w:w="2605" w:type="dxa"/>
            <w:vAlign w:val="center"/>
          </w:tcPr>
          <w:p w14:paraId="60B29438">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服务内容</w:t>
            </w:r>
          </w:p>
        </w:tc>
        <w:tc>
          <w:tcPr>
            <w:tcW w:w="2605" w:type="dxa"/>
            <w:vAlign w:val="center"/>
          </w:tcPr>
          <w:p w14:paraId="3DED02DC">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价格（元）</w:t>
            </w:r>
          </w:p>
        </w:tc>
      </w:tr>
      <w:tr w14:paraId="33E43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1101" w:type="dxa"/>
            <w:vAlign w:val="center"/>
          </w:tcPr>
          <w:p w14:paraId="5C12AFCA">
            <w:pPr>
              <w:widowControl/>
              <w:jc w:val="center"/>
              <w:rPr>
                <w:rFonts w:asciiTheme="majorEastAsia" w:hAnsiTheme="majorEastAsia" w:eastAsiaTheme="majorEastAsia"/>
                <w:b/>
                <w:sz w:val="24"/>
              </w:rPr>
            </w:pPr>
            <w:r>
              <w:rPr>
                <w:rFonts w:hint="eastAsia" w:asciiTheme="majorEastAsia" w:hAnsiTheme="majorEastAsia" w:eastAsiaTheme="majorEastAsia"/>
                <w:b/>
                <w:sz w:val="24"/>
              </w:rPr>
              <w:t>1</w:t>
            </w:r>
          </w:p>
        </w:tc>
        <w:tc>
          <w:tcPr>
            <w:tcW w:w="4109" w:type="dxa"/>
            <w:vAlign w:val="center"/>
          </w:tcPr>
          <w:p w14:paraId="53EED058">
            <w:pPr>
              <w:widowControl/>
              <w:jc w:val="center"/>
              <w:rPr>
                <w:rFonts w:asciiTheme="majorEastAsia" w:hAnsiTheme="majorEastAsia" w:eastAsiaTheme="majorEastAsia"/>
                <w:b/>
                <w:sz w:val="24"/>
              </w:rPr>
            </w:pPr>
            <w:r>
              <w:rPr>
                <w:rFonts w:hint="eastAsia" w:asciiTheme="majorEastAsia" w:hAnsiTheme="majorEastAsia" w:eastAsiaTheme="majorEastAsia"/>
                <w:b/>
                <w:sz w:val="24"/>
              </w:rPr>
              <w:t>三年延续保修合同</w:t>
            </w:r>
          </w:p>
        </w:tc>
        <w:tc>
          <w:tcPr>
            <w:tcW w:w="2605" w:type="dxa"/>
            <w:vAlign w:val="center"/>
          </w:tcPr>
          <w:p w14:paraId="0BBB9265">
            <w:pPr>
              <w:widowControl/>
              <w:jc w:val="center"/>
              <w:rPr>
                <w:rFonts w:cs="方正小标宋简体" w:asciiTheme="majorEastAsia" w:hAnsiTheme="majorEastAsia" w:eastAsiaTheme="majorEastAsia"/>
                <w:sz w:val="24"/>
              </w:rPr>
            </w:pPr>
            <w:r>
              <w:rPr>
                <w:rFonts w:cs="方正小标宋简体" w:asciiTheme="majorEastAsia" w:hAnsiTheme="majorEastAsia" w:eastAsiaTheme="majorEastAsia"/>
                <w:sz w:val="24"/>
              </w:rPr>
              <w:t>三年保修</w:t>
            </w:r>
          </w:p>
        </w:tc>
        <w:tc>
          <w:tcPr>
            <w:tcW w:w="2605" w:type="dxa"/>
            <w:vAlign w:val="center"/>
          </w:tcPr>
          <w:p w14:paraId="35EBD8AD">
            <w:pPr>
              <w:widowControl/>
              <w:jc w:val="center"/>
              <w:rPr>
                <w:rFonts w:cs="方正小标宋简体" w:asciiTheme="majorEastAsia" w:hAnsiTheme="majorEastAsia" w:eastAsiaTheme="majorEastAsia"/>
                <w:sz w:val="24"/>
              </w:rPr>
            </w:pPr>
          </w:p>
        </w:tc>
      </w:tr>
    </w:tbl>
    <w:p w14:paraId="541AF091">
      <w:pPr>
        <w:adjustRightInd w:val="0"/>
        <w:snapToGrid w:val="0"/>
        <w:spacing w:line="300" w:lineRule="auto"/>
        <w:ind w:firstLine="285" w:firstLineChars="135"/>
        <w:jc w:val="left"/>
        <w:rPr>
          <w:rFonts w:asciiTheme="minorEastAsia" w:hAnsiTheme="minorEastAsia" w:eastAsiaTheme="minorEastAsia"/>
          <w:b/>
          <w:snapToGrid w:val="0"/>
          <w:color w:val="000000"/>
          <w:kern w:val="0"/>
        </w:rPr>
      </w:pPr>
      <w:r>
        <w:rPr>
          <w:rFonts w:hint="eastAsia" w:asciiTheme="minorEastAsia" w:hAnsiTheme="minorEastAsia" w:eastAsiaTheme="minorEastAsia"/>
          <w:b/>
          <w:snapToGrid w:val="0"/>
          <w:color w:val="000000"/>
          <w:kern w:val="0"/>
        </w:rPr>
        <w:t>注：价格最高的前</w:t>
      </w:r>
      <w:r>
        <w:rPr>
          <w:rFonts w:asciiTheme="minorEastAsia" w:hAnsiTheme="minorEastAsia" w:eastAsiaTheme="minorEastAsia"/>
          <w:b/>
          <w:snapToGrid w:val="0"/>
          <w:color w:val="000000"/>
          <w:kern w:val="0"/>
        </w:rPr>
        <w:t>5</w:t>
      </w:r>
      <w:r>
        <w:rPr>
          <w:rFonts w:hint="eastAsia" w:asciiTheme="minorEastAsia" w:hAnsiTheme="minorEastAsia" w:eastAsiaTheme="minorEastAsia"/>
          <w:b/>
          <w:snapToGrid w:val="0"/>
          <w:color w:val="000000"/>
          <w:kern w:val="0"/>
        </w:rPr>
        <w:t>项零配件、消耗品和延续保修合同的明细需填写于此表。</w:t>
      </w:r>
    </w:p>
    <w:p w14:paraId="7D4DC921">
      <w:pPr>
        <w:rPr>
          <w:rFonts w:cs="方正小标宋简体" w:asciiTheme="majorEastAsia" w:hAnsiTheme="majorEastAsia" w:eastAsiaTheme="majorEastAsia"/>
          <w:sz w:val="36"/>
          <w:szCs w:val="36"/>
        </w:rPr>
      </w:pPr>
    </w:p>
    <w:sectPr>
      <w:footerReference r:id="rId3" w:type="default"/>
      <w:pgSz w:w="11906" w:h="16838"/>
      <w:pgMar w:top="1077" w:right="851" w:bottom="1077" w:left="851" w:header="113" w:footer="113"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Microsoft JhengHei UI Light">
    <w:panose1 w:val="020B0304030504040204"/>
    <w:charset w:val="88"/>
    <w:family w:val="swiss"/>
    <w:pitch w:val="default"/>
    <w:sig w:usb0="800002A7" w:usb1="28CF4400" w:usb2="00000016" w:usb3="00000000" w:csb0="00100009" w:csb1="00000000"/>
  </w:font>
  <w:font w:name="方正小标宋简体">
    <w:panose1 w:val="02010601030101010101"/>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784862"/>
      <w:docPartObj>
        <w:docPartGallery w:val="autotext"/>
      </w:docPartObj>
    </w:sdtPr>
    <w:sdtContent>
      <w:sdt>
        <w:sdtPr>
          <w:id w:val="98381352"/>
          <w:docPartObj>
            <w:docPartGallery w:val="autotext"/>
          </w:docPartObj>
        </w:sdtPr>
        <w:sdtContent>
          <w:p w14:paraId="1918B30F">
            <w:pPr>
              <w:pStyle w:val="6"/>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w:t>
            </w:r>
            <w:r>
              <w:rPr>
                <w:b/>
                <w:sz w:val="24"/>
                <w:szCs w:val="24"/>
              </w:rPr>
              <w:fldChar w:fldCharType="end"/>
            </w:r>
          </w:p>
        </w:sdtContent>
      </w:sdt>
    </w:sdtContent>
  </w:sdt>
  <w:p w14:paraId="639A138C">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870740"/>
    <w:multiLevelType w:val="singleLevel"/>
    <w:tmpl w:val="5B870740"/>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NkNTE0OTE5NjY3YjY1YjhmYjliMjM5MTg5NGE4Y2YifQ=="/>
  </w:docVars>
  <w:rsids>
    <w:rsidRoot w:val="00F81403"/>
    <w:rsid w:val="00005FF2"/>
    <w:rsid w:val="00014A66"/>
    <w:rsid w:val="000170C1"/>
    <w:rsid w:val="00021B63"/>
    <w:rsid w:val="00022431"/>
    <w:rsid w:val="00027A10"/>
    <w:rsid w:val="0003257D"/>
    <w:rsid w:val="00036FCC"/>
    <w:rsid w:val="00047765"/>
    <w:rsid w:val="00056650"/>
    <w:rsid w:val="00090770"/>
    <w:rsid w:val="00091320"/>
    <w:rsid w:val="00094BE5"/>
    <w:rsid w:val="000B173B"/>
    <w:rsid w:val="000D332B"/>
    <w:rsid w:val="000D486B"/>
    <w:rsid w:val="000D528A"/>
    <w:rsid w:val="000E6DF9"/>
    <w:rsid w:val="00100E5F"/>
    <w:rsid w:val="00117159"/>
    <w:rsid w:val="00122AB5"/>
    <w:rsid w:val="00141F0D"/>
    <w:rsid w:val="001433EE"/>
    <w:rsid w:val="00147A21"/>
    <w:rsid w:val="00147AA8"/>
    <w:rsid w:val="00147DE0"/>
    <w:rsid w:val="00151A79"/>
    <w:rsid w:val="00167886"/>
    <w:rsid w:val="0017347E"/>
    <w:rsid w:val="00173505"/>
    <w:rsid w:val="001755A1"/>
    <w:rsid w:val="00186308"/>
    <w:rsid w:val="001A5EFA"/>
    <w:rsid w:val="001E63AF"/>
    <w:rsid w:val="001F202A"/>
    <w:rsid w:val="001F38AB"/>
    <w:rsid w:val="001F45BE"/>
    <w:rsid w:val="001F5D4E"/>
    <w:rsid w:val="001F5DF1"/>
    <w:rsid w:val="00201CE8"/>
    <w:rsid w:val="00213A4E"/>
    <w:rsid w:val="00214240"/>
    <w:rsid w:val="0022066A"/>
    <w:rsid w:val="002233CF"/>
    <w:rsid w:val="002243DF"/>
    <w:rsid w:val="0022661A"/>
    <w:rsid w:val="0024191C"/>
    <w:rsid w:val="002427FF"/>
    <w:rsid w:val="00262E90"/>
    <w:rsid w:val="0027719E"/>
    <w:rsid w:val="00283FD0"/>
    <w:rsid w:val="002850D0"/>
    <w:rsid w:val="00287423"/>
    <w:rsid w:val="002956A8"/>
    <w:rsid w:val="0029701C"/>
    <w:rsid w:val="00297C31"/>
    <w:rsid w:val="002A1960"/>
    <w:rsid w:val="002A6922"/>
    <w:rsid w:val="002B3785"/>
    <w:rsid w:val="002D4F0F"/>
    <w:rsid w:val="002E5DBC"/>
    <w:rsid w:val="00307648"/>
    <w:rsid w:val="00322AE6"/>
    <w:rsid w:val="00326BC1"/>
    <w:rsid w:val="00334AA0"/>
    <w:rsid w:val="00352B55"/>
    <w:rsid w:val="00356858"/>
    <w:rsid w:val="003942D3"/>
    <w:rsid w:val="0039648A"/>
    <w:rsid w:val="003C4FE1"/>
    <w:rsid w:val="003D442D"/>
    <w:rsid w:val="003D7881"/>
    <w:rsid w:val="003D7EF0"/>
    <w:rsid w:val="003E1AF5"/>
    <w:rsid w:val="00416BE0"/>
    <w:rsid w:val="00423853"/>
    <w:rsid w:val="0045035C"/>
    <w:rsid w:val="004566F4"/>
    <w:rsid w:val="00462DC0"/>
    <w:rsid w:val="00497BF4"/>
    <w:rsid w:val="004B1081"/>
    <w:rsid w:val="004B3240"/>
    <w:rsid w:val="004B3CFF"/>
    <w:rsid w:val="00523CD5"/>
    <w:rsid w:val="00535190"/>
    <w:rsid w:val="0053721B"/>
    <w:rsid w:val="0054024E"/>
    <w:rsid w:val="00542363"/>
    <w:rsid w:val="0055112D"/>
    <w:rsid w:val="00553925"/>
    <w:rsid w:val="005666F4"/>
    <w:rsid w:val="005675B0"/>
    <w:rsid w:val="00574A15"/>
    <w:rsid w:val="005772ED"/>
    <w:rsid w:val="00597CA2"/>
    <w:rsid w:val="005A1DC7"/>
    <w:rsid w:val="005C211C"/>
    <w:rsid w:val="005C57CC"/>
    <w:rsid w:val="00603257"/>
    <w:rsid w:val="0060593D"/>
    <w:rsid w:val="006231CE"/>
    <w:rsid w:val="00651D42"/>
    <w:rsid w:val="00662021"/>
    <w:rsid w:val="00662B11"/>
    <w:rsid w:val="00682A37"/>
    <w:rsid w:val="006C4B4D"/>
    <w:rsid w:val="006C7CF0"/>
    <w:rsid w:val="007130B5"/>
    <w:rsid w:val="00716C4F"/>
    <w:rsid w:val="007246DD"/>
    <w:rsid w:val="00750A3D"/>
    <w:rsid w:val="007554DF"/>
    <w:rsid w:val="00763CC4"/>
    <w:rsid w:val="007925C2"/>
    <w:rsid w:val="00793785"/>
    <w:rsid w:val="007A0C07"/>
    <w:rsid w:val="007A2E18"/>
    <w:rsid w:val="007B1DF4"/>
    <w:rsid w:val="007C4096"/>
    <w:rsid w:val="007D196F"/>
    <w:rsid w:val="007D65D9"/>
    <w:rsid w:val="007E25B2"/>
    <w:rsid w:val="007F1927"/>
    <w:rsid w:val="0080050C"/>
    <w:rsid w:val="008120B0"/>
    <w:rsid w:val="00813523"/>
    <w:rsid w:val="00843F1B"/>
    <w:rsid w:val="008477B5"/>
    <w:rsid w:val="00871F5E"/>
    <w:rsid w:val="00872D2F"/>
    <w:rsid w:val="00874934"/>
    <w:rsid w:val="00876B02"/>
    <w:rsid w:val="008802B6"/>
    <w:rsid w:val="008964A3"/>
    <w:rsid w:val="008A3AF6"/>
    <w:rsid w:val="008B74EE"/>
    <w:rsid w:val="008C28A8"/>
    <w:rsid w:val="008D2C79"/>
    <w:rsid w:val="008D3E82"/>
    <w:rsid w:val="008E3DA4"/>
    <w:rsid w:val="008E56F3"/>
    <w:rsid w:val="0090107D"/>
    <w:rsid w:val="009122AA"/>
    <w:rsid w:val="00930B23"/>
    <w:rsid w:val="009369EE"/>
    <w:rsid w:val="009376BC"/>
    <w:rsid w:val="00937D3D"/>
    <w:rsid w:val="009466AB"/>
    <w:rsid w:val="00947CF3"/>
    <w:rsid w:val="00952CA1"/>
    <w:rsid w:val="00953822"/>
    <w:rsid w:val="00972C2D"/>
    <w:rsid w:val="009764EB"/>
    <w:rsid w:val="009908D7"/>
    <w:rsid w:val="009A622F"/>
    <w:rsid w:val="009B0C4F"/>
    <w:rsid w:val="009D34B4"/>
    <w:rsid w:val="009F5BF6"/>
    <w:rsid w:val="00A043A8"/>
    <w:rsid w:val="00A04CF2"/>
    <w:rsid w:val="00A0782D"/>
    <w:rsid w:val="00A11470"/>
    <w:rsid w:val="00A17D1D"/>
    <w:rsid w:val="00A619BE"/>
    <w:rsid w:val="00A903C7"/>
    <w:rsid w:val="00AA4B4A"/>
    <w:rsid w:val="00AB2610"/>
    <w:rsid w:val="00AC75D6"/>
    <w:rsid w:val="00AF5FA9"/>
    <w:rsid w:val="00AF7A87"/>
    <w:rsid w:val="00B01564"/>
    <w:rsid w:val="00B04490"/>
    <w:rsid w:val="00B06C01"/>
    <w:rsid w:val="00B21F51"/>
    <w:rsid w:val="00B25EF8"/>
    <w:rsid w:val="00B540FE"/>
    <w:rsid w:val="00B74119"/>
    <w:rsid w:val="00B82233"/>
    <w:rsid w:val="00BA17A1"/>
    <w:rsid w:val="00BA5B17"/>
    <w:rsid w:val="00BC5AE8"/>
    <w:rsid w:val="00BF0008"/>
    <w:rsid w:val="00BF0BBD"/>
    <w:rsid w:val="00C038E9"/>
    <w:rsid w:val="00C13828"/>
    <w:rsid w:val="00C32BEC"/>
    <w:rsid w:val="00C35949"/>
    <w:rsid w:val="00C52EBE"/>
    <w:rsid w:val="00C67D6C"/>
    <w:rsid w:val="00C77FD8"/>
    <w:rsid w:val="00D5343F"/>
    <w:rsid w:val="00D612A1"/>
    <w:rsid w:val="00D77A86"/>
    <w:rsid w:val="00D976F6"/>
    <w:rsid w:val="00DB1E59"/>
    <w:rsid w:val="00DB528F"/>
    <w:rsid w:val="00DD3968"/>
    <w:rsid w:val="00DD4FB8"/>
    <w:rsid w:val="00E106A0"/>
    <w:rsid w:val="00E35AFC"/>
    <w:rsid w:val="00E6101D"/>
    <w:rsid w:val="00E724AE"/>
    <w:rsid w:val="00E830CB"/>
    <w:rsid w:val="00E93F8F"/>
    <w:rsid w:val="00E96ED7"/>
    <w:rsid w:val="00EA511A"/>
    <w:rsid w:val="00EC7479"/>
    <w:rsid w:val="00ED34C8"/>
    <w:rsid w:val="00F0149B"/>
    <w:rsid w:val="00F07294"/>
    <w:rsid w:val="00F23DB0"/>
    <w:rsid w:val="00F378FF"/>
    <w:rsid w:val="00F464BC"/>
    <w:rsid w:val="00F60CB5"/>
    <w:rsid w:val="00F65BCF"/>
    <w:rsid w:val="00F6788A"/>
    <w:rsid w:val="00F81403"/>
    <w:rsid w:val="00F83533"/>
    <w:rsid w:val="00F85DE8"/>
    <w:rsid w:val="00FA07C6"/>
    <w:rsid w:val="00FA42E7"/>
    <w:rsid w:val="00FC40CA"/>
    <w:rsid w:val="00FD0656"/>
    <w:rsid w:val="00FD23ED"/>
    <w:rsid w:val="00FF29F7"/>
    <w:rsid w:val="00FF30DB"/>
    <w:rsid w:val="0611217C"/>
    <w:rsid w:val="077C6CD9"/>
    <w:rsid w:val="07AE3385"/>
    <w:rsid w:val="090639B6"/>
    <w:rsid w:val="0A7D086E"/>
    <w:rsid w:val="0F8E7447"/>
    <w:rsid w:val="119B6051"/>
    <w:rsid w:val="12A25084"/>
    <w:rsid w:val="142B2292"/>
    <w:rsid w:val="15FB47D0"/>
    <w:rsid w:val="19A66D0D"/>
    <w:rsid w:val="1A385FE8"/>
    <w:rsid w:val="1E12700E"/>
    <w:rsid w:val="21971856"/>
    <w:rsid w:val="22E10C1D"/>
    <w:rsid w:val="262E04D9"/>
    <w:rsid w:val="2980719A"/>
    <w:rsid w:val="2B252436"/>
    <w:rsid w:val="359B56E2"/>
    <w:rsid w:val="366D6BB6"/>
    <w:rsid w:val="3DF90376"/>
    <w:rsid w:val="3EB2662C"/>
    <w:rsid w:val="445F60B6"/>
    <w:rsid w:val="4DF71EC0"/>
    <w:rsid w:val="4E280CF3"/>
    <w:rsid w:val="566D4594"/>
    <w:rsid w:val="58242AE0"/>
    <w:rsid w:val="58AB396B"/>
    <w:rsid w:val="5BDE3A84"/>
    <w:rsid w:val="5C483C8E"/>
    <w:rsid w:val="61B3207A"/>
    <w:rsid w:val="65D16CCC"/>
    <w:rsid w:val="663B31C1"/>
    <w:rsid w:val="66AC0259"/>
    <w:rsid w:val="6AFD60D5"/>
    <w:rsid w:val="6F633413"/>
    <w:rsid w:val="6F9E571F"/>
    <w:rsid w:val="73374A1C"/>
    <w:rsid w:val="738F7392"/>
    <w:rsid w:val="76030EF1"/>
    <w:rsid w:val="762C283F"/>
    <w:rsid w:val="767D5D1E"/>
    <w:rsid w:val="76E03ABB"/>
    <w:rsid w:val="7A6F030F"/>
    <w:rsid w:val="7A89169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0"/>
    <w:unhideWhenUsed/>
    <w:qFormat/>
    <w:uiPriority w:val="99"/>
    <w:pPr>
      <w:jc w:val="left"/>
    </w:pPr>
  </w:style>
  <w:style w:type="paragraph" w:styleId="3">
    <w:name w:val="Body Text"/>
    <w:basedOn w:val="1"/>
    <w:link w:val="22"/>
    <w:qFormat/>
    <w:uiPriority w:val="0"/>
    <w:pPr>
      <w:adjustRightInd w:val="0"/>
      <w:snapToGrid w:val="0"/>
      <w:spacing w:line="500" w:lineRule="atLeast"/>
    </w:pPr>
    <w:rPr>
      <w:rFonts w:ascii="宋体"/>
      <w:bCs/>
      <w:sz w:val="28"/>
    </w:rPr>
  </w:style>
  <w:style w:type="paragraph" w:styleId="4">
    <w:name w:val="Plain Text"/>
    <w:basedOn w:val="1"/>
    <w:link w:val="17"/>
    <w:unhideWhenUsed/>
    <w:qFormat/>
    <w:uiPriority w:val="99"/>
    <w:rPr>
      <w:rFonts w:ascii="宋体" w:hAnsi="Courier New" w:cs="Courier New"/>
      <w:szCs w:val="21"/>
    </w:rPr>
  </w:style>
  <w:style w:type="paragraph" w:styleId="5">
    <w:name w:val="Balloon Text"/>
    <w:basedOn w:val="1"/>
    <w:link w:val="19"/>
    <w:semiHidden/>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2"/>
    <w:next w:val="2"/>
    <w:link w:val="21"/>
    <w:semiHidden/>
    <w:unhideWhenUsed/>
    <w:qFormat/>
    <w:uiPriority w:val="99"/>
    <w:rPr>
      <w:b/>
      <w:bCs/>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qFormat/>
    <w:uiPriority w:val="0"/>
    <w:rPr>
      <w:rFonts w:ascii="Tahoma" w:hAnsi="Tahoma" w:eastAsia="宋体"/>
      <w:b/>
      <w:bCs/>
      <w:spacing w:val="10"/>
      <w:kern w:val="2"/>
      <w:sz w:val="24"/>
      <w:szCs w:val="24"/>
      <w:lang w:val="en-US" w:eastAsia="zh-CN" w:bidi="ar-SA"/>
    </w:rPr>
  </w:style>
  <w:style w:type="character" w:styleId="13">
    <w:name w:val="annotation reference"/>
    <w:basedOn w:val="11"/>
    <w:semiHidden/>
    <w:unhideWhenUsed/>
    <w:qFormat/>
    <w:uiPriority w:val="99"/>
    <w:rPr>
      <w:sz w:val="21"/>
      <w:szCs w:val="21"/>
    </w:rPr>
  </w:style>
  <w:style w:type="character" w:customStyle="1" w:styleId="14">
    <w:name w:val="页眉 字符"/>
    <w:basedOn w:val="11"/>
    <w:link w:val="7"/>
    <w:qFormat/>
    <w:uiPriority w:val="99"/>
    <w:rPr>
      <w:sz w:val="18"/>
      <w:szCs w:val="18"/>
    </w:rPr>
  </w:style>
  <w:style w:type="character" w:customStyle="1" w:styleId="15">
    <w:name w:val="页脚 字符"/>
    <w:basedOn w:val="11"/>
    <w:link w:val="6"/>
    <w:qFormat/>
    <w:uiPriority w:val="99"/>
    <w:rPr>
      <w:sz w:val="18"/>
      <w:szCs w:val="18"/>
    </w:rPr>
  </w:style>
  <w:style w:type="paragraph" w:styleId="16">
    <w:name w:val="List Paragraph"/>
    <w:basedOn w:val="1"/>
    <w:qFormat/>
    <w:uiPriority w:val="34"/>
    <w:pPr>
      <w:ind w:firstLine="420" w:firstLineChars="200"/>
    </w:pPr>
  </w:style>
  <w:style w:type="character" w:customStyle="1" w:styleId="17">
    <w:name w:val="纯文本 字符"/>
    <w:basedOn w:val="11"/>
    <w:link w:val="4"/>
    <w:qFormat/>
    <w:uiPriority w:val="99"/>
    <w:rPr>
      <w:rFonts w:ascii="宋体" w:hAnsi="Courier New" w:eastAsia="宋体" w:cs="Courier New"/>
      <w:szCs w:val="21"/>
    </w:rPr>
  </w:style>
  <w:style w:type="paragraph" w:customStyle="1" w:styleId="18">
    <w:name w:val="样式1 Char Char"/>
    <w:basedOn w:val="1"/>
    <w:next w:val="4"/>
    <w:qFormat/>
    <w:uiPriority w:val="0"/>
    <w:pPr>
      <w:spacing w:line="360" w:lineRule="auto"/>
      <w:ind w:firstLine="516" w:firstLineChars="215"/>
    </w:pPr>
    <w:rPr>
      <w:sz w:val="24"/>
    </w:rPr>
  </w:style>
  <w:style w:type="character" w:customStyle="1" w:styleId="19">
    <w:name w:val="批注框文本 字符"/>
    <w:basedOn w:val="11"/>
    <w:link w:val="5"/>
    <w:semiHidden/>
    <w:qFormat/>
    <w:uiPriority w:val="99"/>
    <w:rPr>
      <w:rFonts w:ascii="Times New Roman" w:hAnsi="Times New Roman" w:eastAsia="宋体" w:cs="Times New Roman"/>
      <w:kern w:val="2"/>
      <w:sz w:val="18"/>
      <w:szCs w:val="18"/>
    </w:rPr>
  </w:style>
  <w:style w:type="character" w:customStyle="1" w:styleId="20">
    <w:name w:val="批注文字 字符"/>
    <w:basedOn w:val="11"/>
    <w:link w:val="2"/>
    <w:qFormat/>
    <w:uiPriority w:val="99"/>
    <w:rPr>
      <w:rFonts w:ascii="Times New Roman" w:hAnsi="Times New Roman" w:eastAsia="宋体" w:cs="Times New Roman"/>
      <w:kern w:val="2"/>
      <w:sz w:val="21"/>
      <w:szCs w:val="24"/>
    </w:rPr>
  </w:style>
  <w:style w:type="character" w:customStyle="1" w:styleId="21">
    <w:name w:val="批注主题 字符"/>
    <w:basedOn w:val="20"/>
    <w:link w:val="8"/>
    <w:semiHidden/>
    <w:qFormat/>
    <w:uiPriority w:val="99"/>
    <w:rPr>
      <w:rFonts w:ascii="Times New Roman" w:hAnsi="Times New Roman" w:eastAsia="宋体" w:cs="Times New Roman"/>
      <w:b/>
      <w:bCs/>
      <w:kern w:val="2"/>
      <w:sz w:val="21"/>
      <w:szCs w:val="24"/>
    </w:rPr>
  </w:style>
  <w:style w:type="character" w:customStyle="1" w:styleId="22">
    <w:name w:val="正文文本 字符"/>
    <w:basedOn w:val="11"/>
    <w:link w:val="3"/>
    <w:qFormat/>
    <w:uiPriority w:val="0"/>
    <w:rPr>
      <w:rFonts w:ascii="宋体" w:hAnsi="Times New Roman" w:eastAsia="宋体" w:cs="Times New Roman"/>
      <w:bCs/>
      <w:kern w:val="2"/>
      <w:sz w:val="28"/>
      <w:szCs w:val="24"/>
    </w:rPr>
  </w:style>
  <w:style w:type="paragraph" w:customStyle="1" w:styleId="23">
    <w:name w:val="正文 A"/>
    <w:qFormat/>
    <w:uiPriority w:val="0"/>
    <w:pPr>
      <w:framePr w:wrap="around" w:vAnchor="margin" w:hAnchor="text" w:y="1"/>
      <w:widowControl w:val="0"/>
    </w:pPr>
    <w:rPr>
      <w:rFonts w:ascii="Microsoft JhengHei UI Light" w:hAnsi="Microsoft JhengHei UI Light" w:eastAsia="Microsoft JhengHei UI Light" w:cs="Microsoft JhengHei UI Light"/>
      <w:color w:val="000000"/>
      <w:sz w:val="22"/>
      <w:szCs w:val="22"/>
      <w:u w:color="000000"/>
      <w:lang w:val="en-US" w:eastAsia="zh-CN" w:bidi="ar-SA"/>
    </w:rPr>
  </w:style>
  <w:style w:type="paragraph" w:customStyle="1" w:styleId="24">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4701</Words>
  <Characters>4821</Characters>
  <Lines>36</Lines>
  <Paragraphs>10</Paragraphs>
  <TotalTime>2</TotalTime>
  <ScaleCrop>false</ScaleCrop>
  <LinksUpToDate>false</LinksUpToDate>
  <CharactersWithSpaces>4876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2025-09-02T07:50:00Z</dcterms:created>
  <dc:creator>陈蕾</dc:creator>
  <cp:lastModifiedBy>吴静仪</cp:lastModifiedBy>
  <dcterms:modified xsi:type="dcterms:W3CDTF">2025-12-10T01:53:41Z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69565C819512476A9CF9DEC74752307C</vt:lpwstr>
  </property>
  <property fmtid="{D5CDD505-2E9C-101B-9397-08002B2CF9AE}" pid="4" name="KSOTemplateDocerSaveRecord">
    <vt:lpwstr>eyJoZGlkIjoiNDhkOTQyYjdlZmMyMzc0YzJkN2U3MGRiMmVkNjlmZjQiLCJ1c2VySWQiOiI0MDk2MjcxNDUifQ==</vt:lpwstr>
  </property>
</Properties>
</file>