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8"/>
        <w:gridCol w:w="2711"/>
        <w:gridCol w:w="4259"/>
        <w:gridCol w:w="2570"/>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lang w:eastAsia="zh-CN"/>
              </w:rPr>
              <w:t>2025年第81期医用耗材</w:t>
            </w:r>
          </w:p>
        </w:tc>
      </w:tr>
      <w:tr w14:paraId="3C3781CA">
        <w:tblPrEx>
          <w:tblCellMar>
            <w:top w:w="0" w:type="dxa"/>
            <w:left w:w="108" w:type="dxa"/>
            <w:bottom w:w="0" w:type="dxa"/>
            <w:right w:w="108" w:type="dxa"/>
          </w:tblCellMar>
        </w:tblPrEx>
        <w:trPr>
          <w:trHeight w:val="4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4"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8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713" w:type="dxa"/>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ZCB2025-HC81-394</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lang w:val="en-US" w:eastAsia="zh-CN"/>
              </w:rPr>
            </w:pPr>
            <w:r>
              <w:rPr>
                <w:rFonts w:hint="eastAsia" w:eastAsia="宋体"/>
                <w:color w:val="000000"/>
                <w:sz w:val="22"/>
                <w:lang w:val="en-US" w:eastAsia="zh-CN"/>
              </w:rPr>
              <w:t>彭氏多功能手术解剖器（电凝切割器）</w:t>
            </w:r>
          </w:p>
        </w:tc>
        <w:tc>
          <w:tcPr>
            <w:tcW w:w="2564" w:type="dxa"/>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鼻科</w:t>
            </w:r>
          </w:p>
        </w:tc>
      </w:tr>
      <w:tr w14:paraId="76B6B453">
        <w:tblPrEx>
          <w:tblCellMar>
            <w:top w:w="0" w:type="dxa"/>
            <w:left w:w="108" w:type="dxa"/>
            <w:bottom w:w="0" w:type="dxa"/>
            <w:right w:w="108" w:type="dxa"/>
          </w:tblCellMar>
        </w:tblPrEx>
        <w:trPr>
          <w:trHeight w:val="460"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713" w:type="dxa"/>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ZCB2025-HC81-395</w:t>
            </w:r>
          </w:p>
        </w:tc>
        <w:tc>
          <w:tcPr>
            <w:tcW w:w="4261" w:type="dxa"/>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lang w:val="en-US" w:eastAsia="zh-CN"/>
              </w:rPr>
            </w:pPr>
            <w:r>
              <w:rPr>
                <w:rFonts w:hint="default" w:eastAsia="宋体"/>
                <w:color w:val="000000"/>
                <w:sz w:val="22"/>
                <w:lang w:val="en-US" w:eastAsia="zh-CN"/>
              </w:rPr>
              <w:t>灭菌医用棉签（含五官科、妇科棉签）</w:t>
            </w:r>
          </w:p>
        </w:tc>
        <w:tc>
          <w:tcPr>
            <w:tcW w:w="2564" w:type="dxa"/>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lang w:val="en-US" w:eastAsia="zh-CN"/>
              </w:rPr>
            </w:pPr>
            <w:r>
              <w:rPr>
                <w:rFonts w:hint="eastAsia" w:eastAsia="宋体"/>
                <w:color w:val="000000"/>
                <w:sz w:val="22"/>
                <w:lang w:val="en-US" w:eastAsia="zh-CN"/>
              </w:rPr>
              <w:t>护理部</w:t>
            </w:r>
          </w:p>
        </w:tc>
      </w:tr>
      <w:tr w14:paraId="399B031C">
        <w:tblPrEx>
          <w:tblCellMar>
            <w:top w:w="0" w:type="dxa"/>
            <w:left w:w="108" w:type="dxa"/>
            <w:bottom w:w="0" w:type="dxa"/>
            <w:right w:w="108" w:type="dxa"/>
          </w:tblCellMar>
        </w:tblPrEx>
        <w:trPr>
          <w:trHeight w:val="54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3-1</w:t>
            </w:r>
          </w:p>
        </w:tc>
        <w:tc>
          <w:tcPr>
            <w:tcW w:w="2713" w:type="dxa"/>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default" w:eastAsia="宋体"/>
                <w:color w:val="000000"/>
                <w:sz w:val="22"/>
                <w:lang w:val="en-US" w:eastAsia="zh-CN"/>
              </w:rPr>
            </w:pPr>
            <w:r>
              <w:rPr>
                <w:rFonts w:hint="eastAsia" w:eastAsia="宋体"/>
                <w:color w:val="000000"/>
                <w:sz w:val="22"/>
                <w:lang w:val="en-US" w:eastAsia="zh-CN"/>
              </w:rPr>
              <w:t>ZCB2025-HC81-396-A</w:t>
            </w:r>
          </w:p>
        </w:tc>
        <w:tc>
          <w:tcPr>
            <w:tcW w:w="4261" w:type="dxa"/>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default" w:eastAsia="宋体"/>
                <w:color w:val="000000"/>
                <w:sz w:val="22"/>
                <w:lang w:val="en-US" w:eastAsia="zh-CN"/>
              </w:rPr>
            </w:pPr>
            <w:r>
              <w:rPr>
                <w:rFonts w:hint="default" w:eastAsia="宋体"/>
                <w:color w:val="000000"/>
                <w:sz w:val="22"/>
                <w:lang w:val="en-US" w:eastAsia="zh-CN"/>
              </w:rPr>
              <w:t>切割球囊系统</w:t>
            </w:r>
            <w:r>
              <w:rPr>
                <w:rFonts w:hint="eastAsia" w:eastAsia="宋体"/>
                <w:color w:val="000000"/>
                <w:sz w:val="22"/>
                <w:lang w:val="en-US" w:eastAsia="zh-CN"/>
              </w:rPr>
              <w:t>（A包）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eastAsia"/>
              </w:rPr>
              <w:t>介入心脏病专科</w:t>
            </w:r>
          </w:p>
        </w:tc>
      </w:tr>
      <w:tr w14:paraId="577765B6">
        <w:tblPrEx>
          <w:tblCellMar>
            <w:top w:w="0" w:type="dxa"/>
            <w:left w:w="108" w:type="dxa"/>
            <w:bottom w:w="0" w:type="dxa"/>
            <w:right w:w="108" w:type="dxa"/>
          </w:tblCellMar>
        </w:tblPrEx>
        <w:trPr>
          <w:trHeight w:val="555"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3-2</w:t>
            </w:r>
          </w:p>
        </w:tc>
        <w:tc>
          <w:tcPr>
            <w:tcW w:w="2713" w:type="dxa"/>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default" w:eastAsia="宋体"/>
                <w:color w:val="000000"/>
                <w:sz w:val="22"/>
                <w:lang w:val="en-US" w:eastAsia="zh-CN"/>
              </w:rPr>
            </w:pPr>
            <w:r>
              <w:rPr>
                <w:rFonts w:hint="eastAsia" w:eastAsia="宋体"/>
                <w:color w:val="000000"/>
                <w:sz w:val="22"/>
                <w:lang w:val="en-US" w:eastAsia="zh-CN"/>
              </w:rPr>
              <w:t>ZCB2025-HC81-396-B</w:t>
            </w:r>
          </w:p>
        </w:tc>
        <w:tc>
          <w:tcPr>
            <w:tcW w:w="4261" w:type="dxa"/>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default" w:eastAsia="宋体"/>
                <w:color w:val="000000"/>
                <w:sz w:val="22"/>
                <w:lang w:val="en-US" w:eastAsia="zh-CN"/>
              </w:rPr>
              <w:t>切割球囊系统</w:t>
            </w:r>
            <w:r>
              <w:rPr>
                <w:rFonts w:hint="eastAsia" w:eastAsia="宋体"/>
                <w:color w:val="000000"/>
                <w:sz w:val="22"/>
                <w:lang w:val="en-US" w:eastAsia="zh-CN"/>
              </w:rPr>
              <w:t>（B包）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eastAsia"/>
              </w:rPr>
              <w:t>介入心脏病专科</w:t>
            </w:r>
          </w:p>
        </w:tc>
      </w:tr>
      <w:tr w14:paraId="1E69CD6A">
        <w:tblPrEx>
          <w:tblCellMar>
            <w:top w:w="0" w:type="dxa"/>
            <w:left w:w="108" w:type="dxa"/>
            <w:bottom w:w="0" w:type="dxa"/>
            <w:right w:w="108" w:type="dxa"/>
          </w:tblCellMar>
        </w:tblPrEx>
        <w:trPr>
          <w:trHeight w:val="568"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w:t>
            </w:r>
          </w:p>
        </w:tc>
        <w:tc>
          <w:tcPr>
            <w:tcW w:w="2713" w:type="dxa"/>
            <w:tcBorders>
              <w:top w:val="single" w:color="auto" w:sz="4" w:space="0"/>
              <w:left w:val="nil"/>
              <w:bottom w:val="single" w:color="auto" w:sz="4" w:space="0"/>
              <w:right w:val="single" w:color="auto" w:sz="4" w:space="0"/>
            </w:tcBorders>
            <w:shd w:val="clear" w:color="auto" w:fill="auto"/>
            <w:vAlign w:val="center"/>
          </w:tcPr>
          <w:p w14:paraId="2D01805D">
            <w:pPr>
              <w:jc w:val="center"/>
              <w:rPr>
                <w:rFonts w:hint="default" w:eastAsia="宋体"/>
                <w:color w:val="000000"/>
                <w:sz w:val="22"/>
                <w:lang w:val="en-US" w:eastAsia="zh-CN"/>
              </w:rPr>
            </w:pPr>
            <w:r>
              <w:rPr>
                <w:rFonts w:hint="eastAsia" w:eastAsia="宋体"/>
                <w:color w:val="000000"/>
                <w:sz w:val="22"/>
                <w:lang w:val="en-US" w:eastAsia="zh-CN"/>
              </w:rPr>
              <w:t>ZCB2025-HC81-397</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19CDC4">
            <w:pPr>
              <w:jc w:val="center"/>
              <w:rPr>
                <w:rFonts w:hint="eastAsia" w:eastAsia="宋体"/>
                <w:color w:val="000000"/>
                <w:sz w:val="22"/>
                <w:lang w:val="en-US" w:eastAsia="zh-CN"/>
              </w:rPr>
            </w:pPr>
            <w:r>
              <w:rPr>
                <w:rFonts w:hint="default" w:eastAsia="宋体"/>
                <w:color w:val="000000"/>
                <w:sz w:val="22"/>
                <w:lang w:val="en-US" w:eastAsia="zh-CN"/>
              </w:rPr>
              <w:t>压力导丝</w:t>
            </w:r>
          </w:p>
        </w:tc>
        <w:tc>
          <w:tcPr>
            <w:tcW w:w="2564" w:type="dxa"/>
            <w:tcBorders>
              <w:top w:val="single" w:color="auto" w:sz="4" w:space="0"/>
              <w:left w:val="nil"/>
              <w:bottom w:val="single" w:color="auto" w:sz="4" w:space="0"/>
              <w:right w:val="single" w:color="auto" w:sz="4" w:space="0"/>
            </w:tcBorders>
            <w:shd w:val="clear" w:color="auto" w:fill="auto"/>
            <w:vAlign w:val="center"/>
          </w:tcPr>
          <w:p w14:paraId="26FA915C">
            <w:pPr>
              <w:jc w:val="center"/>
              <w:rPr>
                <w:rFonts w:hint="eastAsia"/>
                <w:lang w:val="en-US" w:eastAsia="zh-CN"/>
              </w:rPr>
            </w:pPr>
            <w:r>
              <w:rPr>
                <w:rFonts w:hint="default"/>
                <w:lang w:val="en-US" w:eastAsia="zh-CN"/>
              </w:rPr>
              <w:t>介入心脏病专科</w:t>
            </w:r>
          </w:p>
        </w:tc>
      </w:tr>
      <w:tr w14:paraId="00EF35C8">
        <w:tblPrEx>
          <w:tblCellMar>
            <w:top w:w="0" w:type="dxa"/>
            <w:left w:w="108" w:type="dxa"/>
            <w:bottom w:w="0" w:type="dxa"/>
            <w:right w:w="108" w:type="dxa"/>
          </w:tblCellMar>
        </w:tblPrEx>
        <w:trPr>
          <w:trHeight w:val="5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5</w:t>
            </w:r>
          </w:p>
        </w:tc>
        <w:tc>
          <w:tcPr>
            <w:tcW w:w="2713" w:type="dxa"/>
            <w:tcBorders>
              <w:top w:val="single" w:color="auto" w:sz="4" w:space="0"/>
              <w:left w:val="nil"/>
              <w:bottom w:val="single" w:color="auto" w:sz="4" w:space="0"/>
              <w:right w:val="single" w:color="auto" w:sz="4" w:space="0"/>
            </w:tcBorders>
            <w:shd w:val="clear" w:color="auto" w:fill="auto"/>
            <w:vAlign w:val="center"/>
          </w:tcPr>
          <w:p w14:paraId="17452CF0">
            <w:pPr>
              <w:jc w:val="center"/>
              <w:rPr>
                <w:rFonts w:hint="default" w:eastAsia="宋体"/>
                <w:color w:val="000000"/>
                <w:sz w:val="22"/>
                <w:lang w:val="en-US" w:eastAsia="zh-CN"/>
              </w:rPr>
            </w:pPr>
            <w:r>
              <w:rPr>
                <w:rFonts w:hint="eastAsia" w:eastAsia="宋体"/>
                <w:color w:val="000000"/>
                <w:sz w:val="22"/>
                <w:lang w:val="en-US" w:eastAsia="zh-CN"/>
              </w:rPr>
              <w:t>ZCB2025-HC81-398</w:t>
            </w:r>
          </w:p>
        </w:tc>
        <w:tc>
          <w:tcPr>
            <w:tcW w:w="4261" w:type="dxa"/>
            <w:tcBorders>
              <w:top w:val="single" w:color="auto" w:sz="4" w:space="0"/>
              <w:left w:val="nil"/>
              <w:bottom w:val="single" w:color="auto" w:sz="4" w:space="0"/>
              <w:right w:val="single" w:color="auto" w:sz="4" w:space="0"/>
            </w:tcBorders>
            <w:shd w:val="clear" w:color="auto" w:fill="auto"/>
            <w:vAlign w:val="center"/>
          </w:tcPr>
          <w:p w14:paraId="2860A0EF">
            <w:pPr>
              <w:jc w:val="center"/>
              <w:rPr>
                <w:rFonts w:hint="eastAsia" w:eastAsia="宋体"/>
                <w:color w:val="000000"/>
                <w:sz w:val="22"/>
                <w:lang w:val="en-US" w:eastAsia="zh-CN"/>
              </w:rPr>
            </w:pPr>
            <w:r>
              <w:rPr>
                <w:rFonts w:hint="default" w:eastAsia="宋体"/>
                <w:color w:val="000000"/>
                <w:sz w:val="22"/>
                <w:lang w:val="en-US" w:eastAsia="zh-CN"/>
              </w:rPr>
              <w:t>冠脉棘突球囊导管</w:t>
            </w:r>
          </w:p>
        </w:tc>
        <w:tc>
          <w:tcPr>
            <w:tcW w:w="2570" w:type="dxa"/>
            <w:tcBorders>
              <w:top w:val="single" w:color="auto" w:sz="4" w:space="0"/>
              <w:left w:val="nil"/>
              <w:bottom w:val="single" w:color="auto" w:sz="4" w:space="0"/>
              <w:right w:val="single" w:color="auto" w:sz="4" w:space="0"/>
            </w:tcBorders>
            <w:shd w:val="clear" w:color="auto" w:fill="auto"/>
            <w:vAlign w:val="center"/>
          </w:tcPr>
          <w:p w14:paraId="14D9761B">
            <w:pPr>
              <w:jc w:val="center"/>
              <w:rPr>
                <w:rFonts w:hint="eastAsia"/>
                <w:lang w:val="en-US" w:eastAsia="zh-CN"/>
              </w:rPr>
            </w:pPr>
            <w:r>
              <w:rPr>
                <w:rFonts w:hint="default"/>
                <w:lang w:val="en-US" w:eastAsia="zh-CN"/>
              </w:rPr>
              <w:t>介入心脏病专科</w:t>
            </w:r>
          </w:p>
        </w:tc>
      </w:tr>
      <w:tr w14:paraId="3CF01D72">
        <w:tblPrEx>
          <w:tblCellMar>
            <w:top w:w="0" w:type="dxa"/>
            <w:left w:w="108" w:type="dxa"/>
            <w:bottom w:w="0" w:type="dxa"/>
            <w:right w:w="108" w:type="dxa"/>
          </w:tblCellMar>
        </w:tblPrEx>
        <w:trPr>
          <w:trHeight w:val="5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39002790">
            <w:pPr>
              <w:jc w:val="center"/>
              <w:rPr>
                <w:rFonts w:hint="default" w:eastAsia="宋体"/>
                <w:color w:val="000000"/>
                <w:sz w:val="22"/>
                <w:lang w:val="en-US" w:eastAsia="zh-CN"/>
              </w:rPr>
            </w:pPr>
            <w:r>
              <w:rPr>
                <w:rFonts w:hint="eastAsia" w:eastAsia="宋体"/>
                <w:color w:val="000000"/>
                <w:sz w:val="22"/>
                <w:lang w:val="en-US" w:eastAsia="zh-CN"/>
              </w:rPr>
              <w:t>6</w:t>
            </w:r>
          </w:p>
        </w:tc>
        <w:tc>
          <w:tcPr>
            <w:tcW w:w="2713" w:type="dxa"/>
            <w:tcBorders>
              <w:top w:val="single" w:color="auto" w:sz="4" w:space="0"/>
              <w:left w:val="nil"/>
              <w:bottom w:val="single" w:color="auto" w:sz="4" w:space="0"/>
              <w:right w:val="single" w:color="auto" w:sz="4" w:space="0"/>
            </w:tcBorders>
            <w:shd w:val="clear" w:color="auto" w:fill="auto"/>
            <w:vAlign w:val="center"/>
          </w:tcPr>
          <w:p w14:paraId="344A1762">
            <w:pPr>
              <w:jc w:val="center"/>
              <w:rPr>
                <w:rFonts w:hint="default" w:eastAsia="宋体"/>
                <w:color w:val="000000"/>
                <w:sz w:val="22"/>
                <w:lang w:val="en-US" w:eastAsia="zh-CN"/>
              </w:rPr>
            </w:pPr>
            <w:r>
              <w:rPr>
                <w:rFonts w:hint="eastAsia" w:eastAsia="宋体"/>
                <w:color w:val="000000"/>
                <w:sz w:val="22"/>
                <w:lang w:val="en-US" w:eastAsia="zh-CN"/>
              </w:rPr>
              <w:t>ZCB2025-HC81-399</w:t>
            </w:r>
          </w:p>
        </w:tc>
        <w:tc>
          <w:tcPr>
            <w:tcW w:w="4261" w:type="dxa"/>
            <w:tcBorders>
              <w:top w:val="single" w:color="auto" w:sz="4" w:space="0"/>
              <w:left w:val="nil"/>
              <w:bottom w:val="single" w:color="auto" w:sz="4" w:space="0"/>
              <w:right w:val="single" w:color="auto" w:sz="4" w:space="0"/>
            </w:tcBorders>
            <w:shd w:val="clear" w:color="auto" w:fill="auto"/>
            <w:vAlign w:val="center"/>
          </w:tcPr>
          <w:p w14:paraId="3ADB0596">
            <w:pPr>
              <w:jc w:val="center"/>
              <w:rPr>
                <w:rFonts w:hint="eastAsia" w:eastAsia="宋体"/>
                <w:color w:val="000000"/>
                <w:sz w:val="22"/>
                <w:lang w:val="en-US" w:eastAsia="zh-CN"/>
              </w:rPr>
            </w:pPr>
            <w:r>
              <w:rPr>
                <w:rFonts w:hint="eastAsia" w:eastAsia="宋体"/>
                <w:color w:val="000000"/>
                <w:sz w:val="22"/>
                <w:lang w:val="en-US" w:eastAsia="zh-CN"/>
              </w:rPr>
              <w:t>一次性无菌胸腹腔引流导管及附件</w:t>
            </w:r>
          </w:p>
        </w:tc>
        <w:tc>
          <w:tcPr>
            <w:tcW w:w="1252" w:type="pct"/>
            <w:tcBorders>
              <w:top w:val="single" w:color="auto" w:sz="4" w:space="0"/>
              <w:left w:val="nil"/>
              <w:bottom w:val="single" w:color="auto" w:sz="4" w:space="0"/>
              <w:right w:val="single" w:color="auto" w:sz="4" w:space="0"/>
            </w:tcBorders>
            <w:shd w:val="clear" w:color="auto" w:fill="auto"/>
            <w:vAlign w:val="center"/>
          </w:tcPr>
          <w:p w14:paraId="33AE17FA">
            <w:pPr>
              <w:jc w:val="center"/>
              <w:rPr>
                <w:rFonts w:hint="eastAsia" w:eastAsia="宋体"/>
                <w:color w:val="000000"/>
                <w:sz w:val="22"/>
                <w:lang w:val="en-US" w:eastAsia="zh-CN"/>
              </w:rPr>
            </w:pPr>
            <w:r>
              <w:rPr>
                <w:rFonts w:hint="eastAsia" w:eastAsia="宋体"/>
                <w:color w:val="000000"/>
                <w:sz w:val="22"/>
                <w:lang w:val="en-US" w:eastAsia="zh-CN"/>
              </w:rPr>
              <w:t>超声医学科护理组</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2025年第81期医用耗材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2025年第81期医用耗材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pPr>
      <w:r>
        <w:rPr>
          <w:rFonts w:hint="eastAsia"/>
          <w:b/>
          <w:bCs w:val="0"/>
          <w:highlight w:val="yellow"/>
          <w:lang w:val="en-US" w:eastAsia="zh-CN"/>
        </w:rPr>
        <w:t>重要提示：“ZCB2025-HC81-396切割球囊系统”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：2026年1月8日14点30分，</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5"/>
        <w:gridCol w:w="978"/>
        <w:gridCol w:w="1304"/>
        <w:gridCol w:w="1754"/>
        <w:gridCol w:w="842"/>
        <w:gridCol w:w="1132"/>
        <w:gridCol w:w="455"/>
        <w:gridCol w:w="1828"/>
        <w:gridCol w:w="734"/>
      </w:tblGrid>
      <w:tr w14:paraId="3D85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45"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11"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0"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27"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843"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405"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4"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8" w:type="pct"/>
            <w:vAlign w:val="center"/>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79" w:type="pct"/>
            <w:vAlign w:val="center"/>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c>
          <w:tcPr>
            <w:tcW w:w="353" w:type="pct"/>
            <w:vAlign w:val="center"/>
          </w:tcPr>
          <w:p w14:paraId="5E32F31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11DF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45"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11"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ZCB2025-HC81-394</w:t>
            </w:r>
          </w:p>
        </w:tc>
        <w:tc>
          <w:tcPr>
            <w:tcW w:w="470"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彭氏多功能手术解剖器（电凝切割器）</w:t>
            </w:r>
          </w:p>
        </w:tc>
        <w:tc>
          <w:tcPr>
            <w:tcW w:w="627" w:type="pct"/>
            <w:shd w:val="clear" w:color="auto" w:fill="auto"/>
            <w:vAlign w:val="center"/>
          </w:tcPr>
          <w:p w14:paraId="688C52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78.15-860</w:t>
            </w:r>
          </w:p>
        </w:tc>
        <w:tc>
          <w:tcPr>
            <w:tcW w:w="843"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用于手术时与高频电凝设备或吸引器配套进行电凝、钝切、照明、刮爬和吸除用。仅需耳鼻喉手术专用型号。</w:t>
            </w:r>
          </w:p>
        </w:tc>
        <w:tc>
          <w:tcPr>
            <w:tcW w:w="405" w:type="pct"/>
            <w:shd w:val="clear" w:color="auto" w:fill="auto"/>
            <w:vAlign w:val="center"/>
          </w:tcPr>
          <w:p w14:paraId="244C394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44" w:type="pct"/>
            <w:vAlign w:val="center"/>
          </w:tcPr>
          <w:p w14:paraId="552897C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3454627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鼻科</w:t>
            </w:r>
          </w:p>
        </w:tc>
        <w:tc>
          <w:tcPr>
            <w:tcW w:w="879" w:type="pct"/>
            <w:vAlign w:val="center"/>
          </w:tcPr>
          <w:p w14:paraId="2E7A1C5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与原在库规格SY-VIIC(Q)-6相对应的产品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c>
          <w:tcPr>
            <w:tcW w:w="353" w:type="pct"/>
            <w:vAlign w:val="center"/>
          </w:tcPr>
          <w:p w14:paraId="7B9ECFB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0669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45"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11"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ZCB2025-HC81-395</w:t>
            </w:r>
          </w:p>
        </w:tc>
        <w:tc>
          <w:tcPr>
            <w:tcW w:w="470"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灭菌医用棉签（含五官科、妇科棉签）</w:t>
            </w:r>
          </w:p>
        </w:tc>
        <w:tc>
          <w:tcPr>
            <w:tcW w:w="627" w:type="pct"/>
            <w:shd w:val="clear" w:color="auto" w:fill="auto"/>
            <w:vAlign w:val="center"/>
          </w:tcPr>
          <w:p w14:paraId="15200DF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0.34-1.2</w:t>
            </w:r>
          </w:p>
        </w:tc>
        <w:tc>
          <w:tcPr>
            <w:tcW w:w="843"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用于对皮肤、创面进行清洁、消毒和涂抹药水等处理，20支/包。</w:t>
            </w:r>
          </w:p>
        </w:tc>
        <w:tc>
          <w:tcPr>
            <w:tcW w:w="405" w:type="pct"/>
            <w:shd w:val="clear" w:color="auto" w:fill="auto"/>
            <w:vAlign w:val="center"/>
          </w:tcPr>
          <w:p w14:paraId="01E6C83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5811507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218" w:type="pct"/>
            <w:shd w:val="clear" w:color="auto" w:fill="auto"/>
            <w:vAlign w:val="center"/>
          </w:tcPr>
          <w:p w14:paraId="7886359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护理部</w:t>
            </w:r>
          </w:p>
        </w:tc>
        <w:tc>
          <w:tcPr>
            <w:tcW w:w="879" w:type="pct"/>
            <w:vAlign w:val="center"/>
          </w:tcPr>
          <w:p w14:paraId="5C35A73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34ABFF6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4CD0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3-1</w:t>
            </w:r>
          </w:p>
        </w:tc>
        <w:tc>
          <w:tcPr>
            <w:tcW w:w="411"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ZCB2025-HC81-396-A</w:t>
            </w:r>
          </w:p>
        </w:tc>
        <w:tc>
          <w:tcPr>
            <w:tcW w:w="470"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切割球囊系统</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（A包）</w:t>
            </w:r>
          </w:p>
        </w:tc>
        <w:tc>
          <w:tcPr>
            <w:tcW w:w="627" w:type="pct"/>
            <w:shd w:val="clear" w:color="auto" w:fill="auto"/>
            <w:vAlign w:val="center"/>
          </w:tcPr>
          <w:p w14:paraId="31B3BB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5610</w:t>
            </w:r>
          </w:p>
        </w:tc>
        <w:tc>
          <w:tcPr>
            <w:tcW w:w="843"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球囊上有纵向三片或四片刀片，用于患有冠状动脉血管存在粥样硬化斑块需要切割处理的患者。</w:t>
            </w:r>
          </w:p>
        </w:tc>
        <w:tc>
          <w:tcPr>
            <w:tcW w:w="405" w:type="pct"/>
            <w:shd w:val="clear" w:color="auto" w:fill="auto"/>
            <w:vAlign w:val="center"/>
          </w:tcPr>
          <w:p w14:paraId="3C03D58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5546F01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5B9360D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4677CFD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172EDB2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7369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3-2</w:t>
            </w:r>
          </w:p>
        </w:tc>
        <w:tc>
          <w:tcPr>
            <w:tcW w:w="411"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ZCB2025-HC81-396-B</w:t>
            </w:r>
          </w:p>
        </w:tc>
        <w:tc>
          <w:tcPr>
            <w:tcW w:w="470"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切割球囊系统</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（B包）</w:t>
            </w:r>
          </w:p>
        </w:tc>
        <w:tc>
          <w:tcPr>
            <w:tcW w:w="627" w:type="pct"/>
            <w:shd w:val="clear" w:color="auto" w:fill="auto"/>
            <w:vAlign w:val="center"/>
          </w:tcPr>
          <w:p w14:paraId="61C9C86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 xml:space="preserve">5691.7 </w:t>
            </w:r>
          </w:p>
        </w:tc>
        <w:tc>
          <w:tcPr>
            <w:tcW w:w="843" w:type="pct"/>
            <w:shd w:val="clear" w:color="auto" w:fill="auto"/>
            <w:vAlign w:val="center"/>
          </w:tcPr>
          <w:p w14:paraId="122AEC7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球囊上有纵向三片或四片刀片，用于患有冠状动脉血管存在粥样硬化斑块需要切割处理的患者。</w:t>
            </w:r>
          </w:p>
        </w:tc>
        <w:tc>
          <w:tcPr>
            <w:tcW w:w="405" w:type="pct"/>
            <w:shd w:val="clear" w:color="auto" w:fill="auto"/>
            <w:vAlign w:val="center"/>
          </w:tcPr>
          <w:p w14:paraId="3CAA459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47194C6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425E5AF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23A5079E">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0F124D7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2624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411"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ZCB2025-HC81-397</w:t>
            </w:r>
          </w:p>
        </w:tc>
        <w:tc>
          <w:tcPr>
            <w:tcW w:w="470"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压力导丝</w:t>
            </w:r>
          </w:p>
        </w:tc>
        <w:tc>
          <w:tcPr>
            <w:tcW w:w="627" w:type="pct"/>
            <w:shd w:val="clear" w:color="auto" w:fill="auto"/>
            <w:vAlign w:val="center"/>
          </w:tcPr>
          <w:p w14:paraId="586E69C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10500</w:t>
            </w:r>
          </w:p>
        </w:tc>
        <w:tc>
          <w:tcPr>
            <w:tcW w:w="843"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由经皮导管穿过血管，用于测量心脏、冠状血管的血压和血温。</w:t>
            </w:r>
          </w:p>
        </w:tc>
        <w:tc>
          <w:tcPr>
            <w:tcW w:w="405" w:type="pct"/>
            <w:shd w:val="clear" w:color="auto" w:fill="auto"/>
            <w:vAlign w:val="center"/>
          </w:tcPr>
          <w:p w14:paraId="4CAADE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138CBFD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06677A3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3277DC30">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62715C0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1292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24C2415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411" w:type="pct"/>
            <w:shd w:val="clear" w:color="auto" w:fill="auto"/>
            <w:vAlign w:val="center"/>
          </w:tcPr>
          <w:p w14:paraId="11724C9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ZCB2025-HC81-398</w:t>
            </w:r>
          </w:p>
        </w:tc>
        <w:tc>
          <w:tcPr>
            <w:tcW w:w="470" w:type="pct"/>
            <w:shd w:val="clear" w:color="auto" w:fill="auto"/>
            <w:vAlign w:val="center"/>
          </w:tcPr>
          <w:p w14:paraId="79186C2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冠脉棘突球囊导管</w:t>
            </w:r>
          </w:p>
        </w:tc>
        <w:tc>
          <w:tcPr>
            <w:tcW w:w="627" w:type="pct"/>
            <w:shd w:val="clear" w:color="auto" w:fill="auto"/>
            <w:vAlign w:val="center"/>
          </w:tcPr>
          <w:p w14:paraId="12855AD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4500</w:t>
            </w:r>
          </w:p>
        </w:tc>
        <w:tc>
          <w:tcPr>
            <w:tcW w:w="843" w:type="pct"/>
            <w:shd w:val="clear" w:color="auto" w:fill="auto"/>
            <w:vAlign w:val="center"/>
          </w:tcPr>
          <w:p w14:paraId="241506E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含棘突棱。用于冠状动脉血管系统狭窄部位的扩张。</w:t>
            </w:r>
          </w:p>
        </w:tc>
        <w:tc>
          <w:tcPr>
            <w:tcW w:w="405" w:type="pct"/>
            <w:shd w:val="clear" w:color="auto" w:fill="auto"/>
            <w:vAlign w:val="center"/>
          </w:tcPr>
          <w:p w14:paraId="1AD741C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2A782FE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4BDEECB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07C0BE0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4289316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2B96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71DBAAC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w:t>
            </w:r>
          </w:p>
        </w:tc>
        <w:tc>
          <w:tcPr>
            <w:tcW w:w="411" w:type="pct"/>
            <w:shd w:val="clear" w:color="auto" w:fill="auto"/>
            <w:vAlign w:val="center"/>
          </w:tcPr>
          <w:p w14:paraId="5A82C50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ZCB2025-HC81-399</w:t>
            </w:r>
          </w:p>
        </w:tc>
        <w:tc>
          <w:tcPr>
            <w:tcW w:w="470" w:type="pct"/>
            <w:shd w:val="clear" w:color="auto" w:fill="auto"/>
            <w:vAlign w:val="center"/>
          </w:tcPr>
          <w:p w14:paraId="274493E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一次性无菌胸腹腔引流导管及附件</w:t>
            </w:r>
          </w:p>
        </w:tc>
        <w:tc>
          <w:tcPr>
            <w:tcW w:w="627" w:type="pct"/>
            <w:shd w:val="clear" w:color="auto" w:fill="auto"/>
            <w:vAlign w:val="center"/>
          </w:tcPr>
          <w:p w14:paraId="5194931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300</w:t>
            </w:r>
          </w:p>
        </w:tc>
        <w:tc>
          <w:tcPr>
            <w:tcW w:w="843" w:type="pct"/>
            <w:shd w:val="clear" w:color="auto" w:fill="auto"/>
            <w:vAlign w:val="center"/>
          </w:tcPr>
          <w:p w14:paraId="0D22720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主要技术和参数要求：</w:t>
            </w:r>
          </w:p>
          <w:p w14:paraId="42FD28E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1.产品由导管和导丝、扩张器等组成：导管材质为聚氨酯；</w:t>
            </w:r>
          </w:p>
          <w:p w14:paraId="3E93A77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2.导管前端具有直形和弯形等型号，具有防堵多侧孔特点；</w:t>
            </w:r>
          </w:p>
          <w:p w14:paraId="4DEC269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3.导管具有多种型号可满足临床需求。管径6F--12F，长度20--30cm±1mm；导丝直径范围0.018--0.035inch；导管管体：有相应的刻度标志，易于掌握置管深度；扩张器：（1-2）5-12F；导引穿刺针：18G；</w:t>
            </w:r>
          </w:p>
          <w:p w14:paraId="226F316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4.产品以无菌形式提供，一次性使用，有效期不小于36个月。</w:t>
            </w:r>
          </w:p>
        </w:tc>
        <w:tc>
          <w:tcPr>
            <w:tcW w:w="405" w:type="pct"/>
            <w:shd w:val="clear" w:color="auto" w:fill="auto"/>
            <w:vAlign w:val="center"/>
          </w:tcPr>
          <w:p w14:paraId="305BA76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21031D4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7F6AE85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超声医学科护理组</w:t>
            </w:r>
          </w:p>
        </w:tc>
        <w:tc>
          <w:tcPr>
            <w:tcW w:w="879" w:type="pct"/>
            <w:vAlign w:val="center"/>
          </w:tcPr>
          <w:p w14:paraId="4DF6B3D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442B91D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tbl>
    <w:p w14:paraId="43EB3505">
      <w:pPr>
        <w:widowControl/>
        <w:wordWrap w:val="0"/>
        <w:spacing w:line="420" w:lineRule="exact"/>
        <w:ind w:right="420"/>
        <w:rPr>
          <w:rFonts w:hint="eastAsia"/>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附件4：2025年第81期医用耗材原在库目录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12月16日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1EC82A6">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对协议到期以及</w:t>
      </w:r>
      <w:r>
        <w:rPr>
          <w:rFonts w:hint="eastAsia" w:ascii="宋体" w:hAnsi="宋体" w:eastAsia="宋体" w:cs="宋体"/>
          <w:color w:val="000000" w:themeColor="text1"/>
          <w:kern w:val="0"/>
          <w:sz w:val="24"/>
          <w:lang w:val="en-US" w:eastAsia="zh-CN"/>
          <w14:textFill>
            <w14:solidFill>
              <w14:schemeClr w14:val="tx1"/>
            </w14:solidFill>
          </w14:textFill>
        </w:rPr>
        <w:t>新准入</w:t>
      </w:r>
      <w:r>
        <w:rPr>
          <w:rFonts w:hint="eastAsia" w:ascii="宋体" w:hAnsi="宋体" w:eastAsia="宋体" w:cs="宋体"/>
          <w:color w:val="000000" w:themeColor="text1"/>
          <w:kern w:val="0"/>
          <w:sz w:val="24"/>
          <w:highlight w:val="none"/>
          <w:lang w:val="en-US" w:eastAsia="zh-CN"/>
          <w14:textFill>
            <w14:solidFill>
              <w14:schemeClr w14:val="tx1"/>
            </w14:solidFill>
          </w14:textFill>
        </w:rPr>
        <w:t>的项目</w:t>
      </w:r>
      <w:r>
        <w:rPr>
          <w:rFonts w:hint="eastAsia" w:ascii="宋体" w:hAnsi="宋体" w:eastAsia="宋体" w:cs="宋体"/>
          <w:color w:val="000000" w:themeColor="text1"/>
          <w:kern w:val="0"/>
          <w:sz w:val="24"/>
          <w14:textFill>
            <w14:solidFill>
              <w14:schemeClr w14:val="tx1"/>
            </w14:solidFill>
          </w14:textFill>
        </w:rPr>
        <w:t>进行招采</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5"/>
        <w:gridCol w:w="978"/>
        <w:gridCol w:w="1304"/>
        <w:gridCol w:w="1754"/>
        <w:gridCol w:w="842"/>
        <w:gridCol w:w="1132"/>
        <w:gridCol w:w="455"/>
        <w:gridCol w:w="1828"/>
        <w:gridCol w:w="734"/>
      </w:tblGrid>
      <w:tr w14:paraId="5414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45" w:type="pct"/>
            <w:vAlign w:val="center"/>
          </w:tcPr>
          <w:p w14:paraId="17D57D38">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11" w:type="pct"/>
            <w:vAlign w:val="center"/>
          </w:tcPr>
          <w:p w14:paraId="1F12B2F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0" w:type="pct"/>
            <w:vAlign w:val="center"/>
          </w:tcPr>
          <w:p w14:paraId="68E09B9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27" w:type="pct"/>
            <w:vAlign w:val="center"/>
          </w:tcPr>
          <w:p w14:paraId="359D3AB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843" w:type="pct"/>
            <w:vAlign w:val="center"/>
          </w:tcPr>
          <w:p w14:paraId="00E6147D">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405" w:type="pct"/>
            <w:vAlign w:val="center"/>
          </w:tcPr>
          <w:p w14:paraId="0448F20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4" w:type="pct"/>
            <w:vAlign w:val="center"/>
          </w:tcPr>
          <w:p w14:paraId="5AF369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8" w:type="pct"/>
            <w:vAlign w:val="center"/>
          </w:tcPr>
          <w:p w14:paraId="47AF037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79" w:type="pct"/>
            <w:vAlign w:val="center"/>
          </w:tcPr>
          <w:p w14:paraId="6C4837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c>
          <w:tcPr>
            <w:tcW w:w="353" w:type="pct"/>
            <w:vAlign w:val="center"/>
          </w:tcPr>
          <w:p w14:paraId="09C6322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687B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45" w:type="pct"/>
            <w:vAlign w:val="center"/>
          </w:tcPr>
          <w:p w14:paraId="43BA688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11" w:type="pct"/>
            <w:shd w:val="clear" w:color="auto" w:fill="auto"/>
            <w:vAlign w:val="center"/>
          </w:tcPr>
          <w:p w14:paraId="19285AF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ZCB2025-HC81-394</w:t>
            </w:r>
          </w:p>
        </w:tc>
        <w:tc>
          <w:tcPr>
            <w:tcW w:w="470" w:type="pct"/>
            <w:shd w:val="clear" w:color="auto" w:fill="auto"/>
            <w:vAlign w:val="center"/>
          </w:tcPr>
          <w:p w14:paraId="32B0CB5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彭氏多功能手术解剖器（电凝切割器）</w:t>
            </w:r>
          </w:p>
        </w:tc>
        <w:tc>
          <w:tcPr>
            <w:tcW w:w="627" w:type="pct"/>
            <w:shd w:val="clear" w:color="auto" w:fill="auto"/>
            <w:vAlign w:val="center"/>
          </w:tcPr>
          <w:p w14:paraId="626F500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78.15-860</w:t>
            </w:r>
          </w:p>
        </w:tc>
        <w:tc>
          <w:tcPr>
            <w:tcW w:w="843" w:type="pct"/>
            <w:shd w:val="clear" w:color="auto" w:fill="auto"/>
            <w:vAlign w:val="center"/>
          </w:tcPr>
          <w:p w14:paraId="7335B87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用于手术时与高频电凝设备或吸引器配套进行电凝、钝切、照明、刮爬和吸除用。仅需耳鼻喉手术专用型号。</w:t>
            </w:r>
          </w:p>
        </w:tc>
        <w:tc>
          <w:tcPr>
            <w:tcW w:w="405" w:type="pct"/>
            <w:shd w:val="clear" w:color="auto" w:fill="auto"/>
            <w:vAlign w:val="center"/>
          </w:tcPr>
          <w:p w14:paraId="6A2B041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44" w:type="pct"/>
            <w:vAlign w:val="center"/>
          </w:tcPr>
          <w:p w14:paraId="3AA7441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73C122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鼻科</w:t>
            </w:r>
          </w:p>
        </w:tc>
        <w:tc>
          <w:tcPr>
            <w:tcW w:w="879" w:type="pct"/>
            <w:vAlign w:val="center"/>
          </w:tcPr>
          <w:p w14:paraId="02BF93EB">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与原在库规格SY-VIIC(Q)-6相对应的产品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c>
          <w:tcPr>
            <w:tcW w:w="353" w:type="pct"/>
            <w:vAlign w:val="center"/>
          </w:tcPr>
          <w:p w14:paraId="3699C45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3350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45" w:type="pct"/>
            <w:vAlign w:val="center"/>
          </w:tcPr>
          <w:p w14:paraId="18AD559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11" w:type="pct"/>
            <w:shd w:val="clear" w:color="auto" w:fill="auto"/>
            <w:vAlign w:val="center"/>
          </w:tcPr>
          <w:p w14:paraId="2DF19CA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ZCB2025-HC81-395</w:t>
            </w:r>
          </w:p>
        </w:tc>
        <w:tc>
          <w:tcPr>
            <w:tcW w:w="470" w:type="pct"/>
            <w:shd w:val="clear" w:color="auto" w:fill="auto"/>
            <w:vAlign w:val="center"/>
          </w:tcPr>
          <w:p w14:paraId="1D8576E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灭菌医用棉签（含五官科、妇科棉签）</w:t>
            </w:r>
          </w:p>
        </w:tc>
        <w:tc>
          <w:tcPr>
            <w:tcW w:w="627" w:type="pct"/>
            <w:shd w:val="clear" w:color="auto" w:fill="auto"/>
            <w:vAlign w:val="center"/>
          </w:tcPr>
          <w:p w14:paraId="5859171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0.34-1.2</w:t>
            </w:r>
          </w:p>
        </w:tc>
        <w:tc>
          <w:tcPr>
            <w:tcW w:w="843" w:type="pct"/>
            <w:shd w:val="clear" w:color="auto" w:fill="auto"/>
            <w:vAlign w:val="center"/>
          </w:tcPr>
          <w:p w14:paraId="2820986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用于对皮肤、创面进行清洁、消毒和涂抹药水等处理，20支/包。</w:t>
            </w:r>
          </w:p>
        </w:tc>
        <w:tc>
          <w:tcPr>
            <w:tcW w:w="405" w:type="pct"/>
            <w:shd w:val="clear" w:color="auto" w:fill="auto"/>
            <w:vAlign w:val="center"/>
          </w:tcPr>
          <w:p w14:paraId="15369F1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0AD5EAA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218" w:type="pct"/>
            <w:shd w:val="clear" w:color="auto" w:fill="auto"/>
            <w:vAlign w:val="center"/>
          </w:tcPr>
          <w:p w14:paraId="7F91A03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护理部</w:t>
            </w:r>
          </w:p>
        </w:tc>
        <w:tc>
          <w:tcPr>
            <w:tcW w:w="879" w:type="pct"/>
            <w:vAlign w:val="center"/>
          </w:tcPr>
          <w:p w14:paraId="3CE34AB4">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6C5C562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28D0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3206247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3-1</w:t>
            </w:r>
          </w:p>
        </w:tc>
        <w:tc>
          <w:tcPr>
            <w:tcW w:w="411" w:type="pct"/>
            <w:shd w:val="clear" w:color="auto" w:fill="auto"/>
            <w:vAlign w:val="center"/>
          </w:tcPr>
          <w:p w14:paraId="6CD1A44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ZCB2025-HC81-396-A</w:t>
            </w:r>
          </w:p>
        </w:tc>
        <w:tc>
          <w:tcPr>
            <w:tcW w:w="470" w:type="pct"/>
            <w:shd w:val="clear" w:color="auto" w:fill="auto"/>
            <w:vAlign w:val="center"/>
          </w:tcPr>
          <w:p w14:paraId="5B76286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切割球囊系统</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（A包）</w:t>
            </w:r>
          </w:p>
        </w:tc>
        <w:tc>
          <w:tcPr>
            <w:tcW w:w="627" w:type="pct"/>
            <w:shd w:val="clear" w:color="auto" w:fill="auto"/>
            <w:vAlign w:val="center"/>
          </w:tcPr>
          <w:p w14:paraId="35854DB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5610</w:t>
            </w:r>
          </w:p>
        </w:tc>
        <w:tc>
          <w:tcPr>
            <w:tcW w:w="843" w:type="pct"/>
            <w:shd w:val="clear" w:color="auto" w:fill="auto"/>
            <w:vAlign w:val="center"/>
          </w:tcPr>
          <w:p w14:paraId="2900576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球囊上有纵向三片或四片刀片，用于患有冠状动脉血管存在粥样硬化斑块需要切割处理的患者。</w:t>
            </w:r>
          </w:p>
        </w:tc>
        <w:tc>
          <w:tcPr>
            <w:tcW w:w="405" w:type="pct"/>
            <w:shd w:val="clear" w:color="auto" w:fill="auto"/>
            <w:vAlign w:val="center"/>
          </w:tcPr>
          <w:p w14:paraId="6934E3FA">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4743D848">
            <w:pPr>
              <w:widowControl/>
              <w:jc w:val="center"/>
              <w:rPr>
                <w:rFonts w:hint="default" w:asciiTheme="majorEastAsia" w:hAnsiTheme="majorEastAsia" w:eastAsiaTheme="majorEastAsia" w:cstheme="majorEastAsia"/>
                <w:kern w:val="0"/>
                <w:sz w:val="20"/>
                <w:szCs w:val="20"/>
                <w:lang w:val="en-US" w:eastAsia="zh-CN"/>
              </w:rPr>
            </w:pPr>
            <w:bookmarkStart w:id="30" w:name="_GoBack"/>
            <w:bookmarkEnd w:id="30"/>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6BEEA22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05D9D2CB">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689EF3C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78D5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04BAE4D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3-2</w:t>
            </w:r>
          </w:p>
        </w:tc>
        <w:tc>
          <w:tcPr>
            <w:tcW w:w="411" w:type="pct"/>
            <w:shd w:val="clear" w:color="auto" w:fill="auto"/>
            <w:vAlign w:val="center"/>
          </w:tcPr>
          <w:p w14:paraId="57071C1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ZCB2025-HC81-396-B</w:t>
            </w:r>
          </w:p>
        </w:tc>
        <w:tc>
          <w:tcPr>
            <w:tcW w:w="470" w:type="pct"/>
            <w:shd w:val="clear" w:color="auto" w:fill="auto"/>
            <w:vAlign w:val="center"/>
          </w:tcPr>
          <w:p w14:paraId="4D101EC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切割球囊系统</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（B包）</w:t>
            </w:r>
          </w:p>
        </w:tc>
        <w:tc>
          <w:tcPr>
            <w:tcW w:w="627" w:type="pct"/>
            <w:shd w:val="clear" w:color="auto" w:fill="auto"/>
            <w:vAlign w:val="center"/>
          </w:tcPr>
          <w:p w14:paraId="43098CD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 xml:space="preserve">5691.7 </w:t>
            </w:r>
          </w:p>
        </w:tc>
        <w:tc>
          <w:tcPr>
            <w:tcW w:w="843" w:type="pct"/>
            <w:shd w:val="clear" w:color="auto" w:fill="auto"/>
            <w:vAlign w:val="center"/>
          </w:tcPr>
          <w:p w14:paraId="6521546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球囊上有纵向三片或四片刀片，用于患有冠状动脉血管存在粥样硬化斑块需要切割处理的患者。</w:t>
            </w:r>
          </w:p>
        </w:tc>
        <w:tc>
          <w:tcPr>
            <w:tcW w:w="405" w:type="pct"/>
            <w:shd w:val="clear" w:color="auto" w:fill="auto"/>
            <w:vAlign w:val="center"/>
          </w:tcPr>
          <w:p w14:paraId="6B162D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43EB4665">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3C7C889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52E97DC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6E2A272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2445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2D31956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411" w:type="pct"/>
            <w:shd w:val="clear" w:color="auto" w:fill="auto"/>
            <w:vAlign w:val="center"/>
          </w:tcPr>
          <w:p w14:paraId="24457F1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ZCB2025-HC81-397</w:t>
            </w:r>
          </w:p>
        </w:tc>
        <w:tc>
          <w:tcPr>
            <w:tcW w:w="470" w:type="pct"/>
            <w:shd w:val="clear" w:color="auto" w:fill="auto"/>
            <w:vAlign w:val="center"/>
          </w:tcPr>
          <w:p w14:paraId="0AD11D5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压力导丝</w:t>
            </w:r>
          </w:p>
        </w:tc>
        <w:tc>
          <w:tcPr>
            <w:tcW w:w="627" w:type="pct"/>
            <w:shd w:val="clear" w:color="auto" w:fill="auto"/>
            <w:vAlign w:val="center"/>
          </w:tcPr>
          <w:p w14:paraId="3B49C84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10500</w:t>
            </w:r>
          </w:p>
        </w:tc>
        <w:tc>
          <w:tcPr>
            <w:tcW w:w="843" w:type="pct"/>
            <w:shd w:val="clear" w:color="auto" w:fill="auto"/>
            <w:vAlign w:val="center"/>
          </w:tcPr>
          <w:p w14:paraId="6FC3DDE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由经皮导管穿过血管，用于测量心脏、冠状血管的血压和血温。</w:t>
            </w:r>
          </w:p>
        </w:tc>
        <w:tc>
          <w:tcPr>
            <w:tcW w:w="405" w:type="pct"/>
            <w:shd w:val="clear" w:color="auto" w:fill="auto"/>
            <w:vAlign w:val="center"/>
          </w:tcPr>
          <w:p w14:paraId="6F13C9B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2EAB40C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62F45B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46B276F4">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044DAB5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1201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677704D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411" w:type="pct"/>
            <w:shd w:val="clear" w:color="auto" w:fill="auto"/>
            <w:vAlign w:val="center"/>
          </w:tcPr>
          <w:p w14:paraId="3F50F20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ZCB2025-HC81-398</w:t>
            </w:r>
          </w:p>
        </w:tc>
        <w:tc>
          <w:tcPr>
            <w:tcW w:w="470" w:type="pct"/>
            <w:shd w:val="clear" w:color="auto" w:fill="auto"/>
            <w:vAlign w:val="center"/>
          </w:tcPr>
          <w:p w14:paraId="3444AD4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冠脉棘突球囊导管</w:t>
            </w:r>
          </w:p>
        </w:tc>
        <w:tc>
          <w:tcPr>
            <w:tcW w:w="627" w:type="pct"/>
            <w:shd w:val="clear" w:color="auto" w:fill="auto"/>
            <w:vAlign w:val="center"/>
          </w:tcPr>
          <w:p w14:paraId="2EB0F42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4500</w:t>
            </w:r>
          </w:p>
        </w:tc>
        <w:tc>
          <w:tcPr>
            <w:tcW w:w="843" w:type="pct"/>
            <w:shd w:val="clear" w:color="auto" w:fill="auto"/>
            <w:vAlign w:val="center"/>
          </w:tcPr>
          <w:p w14:paraId="38885D0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含棘突棱。用于冠状动脉血管系统狭窄部位的扩张。</w:t>
            </w:r>
          </w:p>
        </w:tc>
        <w:tc>
          <w:tcPr>
            <w:tcW w:w="405" w:type="pct"/>
            <w:shd w:val="clear" w:color="auto" w:fill="auto"/>
            <w:vAlign w:val="center"/>
          </w:tcPr>
          <w:p w14:paraId="314C5C5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w:t>
            </w:r>
            <w:r>
              <w:rPr>
                <w:rFonts w:hint="default" w:asciiTheme="majorEastAsia" w:hAnsiTheme="majorEastAsia" w:eastAsiaTheme="majorEastAsia" w:cstheme="majorEastAsia"/>
                <w:kern w:val="0"/>
                <w:sz w:val="20"/>
                <w:szCs w:val="20"/>
                <w:lang w:val="en-US" w:eastAsia="zh-CN"/>
              </w:rPr>
              <w:t>进口</w:t>
            </w:r>
          </w:p>
        </w:tc>
        <w:tc>
          <w:tcPr>
            <w:tcW w:w="544" w:type="pct"/>
            <w:vAlign w:val="center"/>
          </w:tcPr>
          <w:p w14:paraId="60E479D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22C67DF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介入心脏病专科</w:t>
            </w:r>
          </w:p>
        </w:tc>
        <w:tc>
          <w:tcPr>
            <w:tcW w:w="879" w:type="pct"/>
            <w:vAlign w:val="center"/>
          </w:tcPr>
          <w:p w14:paraId="203646B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7862D0C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协议到期重新采购</w:t>
            </w:r>
          </w:p>
        </w:tc>
      </w:tr>
      <w:tr w14:paraId="5EBB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vAlign w:val="center"/>
          </w:tcPr>
          <w:p w14:paraId="1360517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w:t>
            </w:r>
          </w:p>
        </w:tc>
        <w:tc>
          <w:tcPr>
            <w:tcW w:w="411" w:type="pct"/>
            <w:shd w:val="clear" w:color="auto" w:fill="auto"/>
            <w:vAlign w:val="center"/>
          </w:tcPr>
          <w:p w14:paraId="2398493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ZCB2025-HC81-399</w:t>
            </w:r>
          </w:p>
        </w:tc>
        <w:tc>
          <w:tcPr>
            <w:tcW w:w="470" w:type="pct"/>
            <w:shd w:val="clear" w:color="auto" w:fill="auto"/>
            <w:vAlign w:val="center"/>
          </w:tcPr>
          <w:p w14:paraId="68FEA23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一次性无菌胸腹腔引流导管及附件</w:t>
            </w:r>
          </w:p>
        </w:tc>
        <w:tc>
          <w:tcPr>
            <w:tcW w:w="627" w:type="pct"/>
            <w:shd w:val="clear" w:color="auto" w:fill="auto"/>
            <w:vAlign w:val="center"/>
          </w:tcPr>
          <w:p w14:paraId="5851F71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300</w:t>
            </w:r>
          </w:p>
        </w:tc>
        <w:tc>
          <w:tcPr>
            <w:tcW w:w="843" w:type="pct"/>
            <w:shd w:val="clear" w:color="auto" w:fill="auto"/>
            <w:vAlign w:val="center"/>
          </w:tcPr>
          <w:p w14:paraId="3AC1722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主要技术和参数要求：</w:t>
            </w:r>
          </w:p>
          <w:p w14:paraId="5C973C3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1.产品由导管和导丝、扩张器等组成：导管材质为聚氨酯；</w:t>
            </w:r>
          </w:p>
          <w:p w14:paraId="75DE786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2.导管前端具有直形和弯形等型号，具有防堵多侧孔特点；</w:t>
            </w:r>
          </w:p>
          <w:p w14:paraId="4BC2AD8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3.导管具有多种型号可满足临床需求。管径6F--12F，长度20--30cm±1mm；导丝直径范围0.018--0.035inch；导管管体：有相应的刻度标志，易于掌握置管深度；扩张器：（1-2）5-12F；导引穿刺针：18G；</w:t>
            </w:r>
          </w:p>
          <w:p w14:paraId="29EB809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4.产品以无菌形式提供，一次性使用，有效期不小于36个月。</w:t>
            </w:r>
          </w:p>
        </w:tc>
        <w:tc>
          <w:tcPr>
            <w:tcW w:w="405" w:type="pct"/>
            <w:shd w:val="clear" w:color="auto" w:fill="auto"/>
            <w:vAlign w:val="center"/>
          </w:tcPr>
          <w:p w14:paraId="32A79A7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国产</w:t>
            </w:r>
          </w:p>
        </w:tc>
        <w:tc>
          <w:tcPr>
            <w:tcW w:w="544" w:type="pct"/>
            <w:vAlign w:val="center"/>
          </w:tcPr>
          <w:p w14:paraId="78B2E67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kern w:val="0"/>
                <w:sz w:val="20"/>
                <w:szCs w:val="20"/>
                <w:lang w:val="en-US" w:eastAsia="zh-CN"/>
              </w:rPr>
              <w:t>是</w:t>
            </w:r>
          </w:p>
        </w:tc>
        <w:tc>
          <w:tcPr>
            <w:tcW w:w="218" w:type="pct"/>
            <w:shd w:val="clear" w:color="auto" w:fill="auto"/>
            <w:vAlign w:val="center"/>
          </w:tcPr>
          <w:p w14:paraId="1D774F2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超声医学科护理组</w:t>
            </w:r>
          </w:p>
        </w:tc>
        <w:tc>
          <w:tcPr>
            <w:tcW w:w="879" w:type="pct"/>
            <w:vAlign w:val="center"/>
          </w:tcPr>
          <w:p w14:paraId="45B5F7B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c>
          <w:tcPr>
            <w:tcW w:w="353" w:type="pct"/>
            <w:vAlign w:val="center"/>
          </w:tcPr>
          <w:p w14:paraId="3C43CD5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tbl>
    <w:p w14:paraId="356B2801">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100052408"/>
      <w:bookmarkStart w:id="13" w:name="_Toc73518157"/>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73521587"/>
      <w:bookmarkStart w:id="19" w:name="_Toc73517680"/>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21677"/>
      <w:bookmarkStart w:id="24" w:name="_Toc73517682"/>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58290F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4D792EF-3420-4EC1-B2EB-4BB9A79780A3}"/>
  </w:font>
  <w:font w:name="黑体">
    <w:panose1 w:val="02010609060101010101"/>
    <w:charset w:val="86"/>
    <w:family w:val="auto"/>
    <w:pitch w:val="default"/>
    <w:sig w:usb0="800002BF" w:usb1="38CF7CFA" w:usb2="00000016" w:usb3="00000000" w:csb0="00040001" w:csb1="00000000"/>
    <w:embedRegular r:id="rId2" w:fontKey="{6DDFBE68-A846-4AAE-8FA4-D05178015D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AF487F8-63E3-4A4D-A995-869C42682BD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BF7AD0A-9658-4D77-81CD-4682E008EA71}"/>
  </w:font>
  <w:font w:name="华文中宋">
    <w:panose1 w:val="02010600040101010101"/>
    <w:charset w:val="86"/>
    <w:family w:val="auto"/>
    <w:pitch w:val="default"/>
    <w:sig w:usb0="00000287" w:usb1="080F0000" w:usb2="00000000" w:usb3="00000000" w:csb0="0004009F" w:csb1="DFD70000"/>
    <w:embedRegular r:id="rId5" w:fontKey="{3CA01EE5-ECEA-4472-A26C-C3B24C20EEC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D70CB13-8CCE-40AF-8331-7FC1DFBF21A3}"/>
  </w:font>
  <w:font w:name="方正小标宋简体">
    <w:panose1 w:val="03000509000000000000"/>
    <w:charset w:val="86"/>
    <w:family w:val="auto"/>
    <w:pitch w:val="default"/>
    <w:sig w:usb0="00000001" w:usb1="080E0000" w:usb2="00000000" w:usb3="00000000" w:csb0="00040000" w:csb1="00000000"/>
    <w:embedRegular r:id="rId7" w:fontKey="{62AE2BB3-C02F-4475-9EBD-B93B8801F435}"/>
  </w:font>
  <w:font w:name="微软雅黑">
    <w:panose1 w:val="020B0503020204020204"/>
    <w:charset w:val="86"/>
    <w:family w:val="swiss"/>
    <w:pitch w:val="default"/>
    <w:sig w:usb0="80000287" w:usb1="2ACF3C50" w:usb2="00000016" w:usb3="00000000" w:csb0="0004001F" w:csb1="00000000"/>
    <w:embedRegular r:id="rId8" w:fontKey="{C46ADAE9-E1E1-4B49-8E31-9486BA1D0158}"/>
  </w:font>
  <w:font w:name="仿宋">
    <w:panose1 w:val="02010609060101010101"/>
    <w:charset w:val="86"/>
    <w:family w:val="modern"/>
    <w:pitch w:val="default"/>
    <w:sig w:usb0="800002BF" w:usb1="38CF7CFA" w:usb2="00000016" w:usb3="00000000" w:csb0="00040001" w:csb1="00000000"/>
    <w:embedRegular r:id="rId9" w:fontKey="{B9FD3FAB-5764-4AD9-B78B-13269BC081CD}"/>
  </w:font>
  <w:font w:name="方正小标宋_GBK">
    <w:panose1 w:val="02000000000000000000"/>
    <w:charset w:val="86"/>
    <w:family w:val="script"/>
    <w:pitch w:val="default"/>
    <w:sig w:usb0="A00002BF" w:usb1="38CF7CFA" w:usb2="00082016" w:usb3="00000000" w:csb0="00040001" w:csb1="00000000"/>
    <w:embedRegular r:id="rId10" w:fontKey="{28FD9FCA-C388-4298-A395-75FF13343D3D}"/>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5366"/>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20FE6"/>
    <w:rsid w:val="02104022"/>
    <w:rsid w:val="030E2569"/>
    <w:rsid w:val="03641714"/>
    <w:rsid w:val="03BD1657"/>
    <w:rsid w:val="04C609C8"/>
    <w:rsid w:val="04CE3D21"/>
    <w:rsid w:val="04E35A1E"/>
    <w:rsid w:val="05715D6E"/>
    <w:rsid w:val="057523EE"/>
    <w:rsid w:val="05AC5740"/>
    <w:rsid w:val="062A4F87"/>
    <w:rsid w:val="066426AB"/>
    <w:rsid w:val="06CE7C54"/>
    <w:rsid w:val="070C6AB3"/>
    <w:rsid w:val="0722284A"/>
    <w:rsid w:val="072458B8"/>
    <w:rsid w:val="07683527"/>
    <w:rsid w:val="079B25E0"/>
    <w:rsid w:val="07A05F2C"/>
    <w:rsid w:val="08403A7A"/>
    <w:rsid w:val="085546C8"/>
    <w:rsid w:val="08C9422C"/>
    <w:rsid w:val="08EE6740"/>
    <w:rsid w:val="09181A0E"/>
    <w:rsid w:val="09303623"/>
    <w:rsid w:val="09491AC5"/>
    <w:rsid w:val="09FA4319"/>
    <w:rsid w:val="0A012879"/>
    <w:rsid w:val="0A243FBF"/>
    <w:rsid w:val="0A263C68"/>
    <w:rsid w:val="0A2F0DBE"/>
    <w:rsid w:val="0A5667CD"/>
    <w:rsid w:val="0AFD710E"/>
    <w:rsid w:val="0B4A6058"/>
    <w:rsid w:val="0B512C73"/>
    <w:rsid w:val="0B677C63"/>
    <w:rsid w:val="0BE95409"/>
    <w:rsid w:val="0C69274A"/>
    <w:rsid w:val="0C985340"/>
    <w:rsid w:val="0C9B1CCF"/>
    <w:rsid w:val="0CB57F62"/>
    <w:rsid w:val="0CC558CE"/>
    <w:rsid w:val="0CCE2622"/>
    <w:rsid w:val="0CD563F7"/>
    <w:rsid w:val="0D240982"/>
    <w:rsid w:val="0D7C07BE"/>
    <w:rsid w:val="0E085C48"/>
    <w:rsid w:val="0EBB3AA4"/>
    <w:rsid w:val="0FAD08ED"/>
    <w:rsid w:val="0FC224C3"/>
    <w:rsid w:val="100D0676"/>
    <w:rsid w:val="106F34D8"/>
    <w:rsid w:val="108F0808"/>
    <w:rsid w:val="10A23C41"/>
    <w:rsid w:val="11113C16"/>
    <w:rsid w:val="119A47CB"/>
    <w:rsid w:val="120732E1"/>
    <w:rsid w:val="12B66C1C"/>
    <w:rsid w:val="136C6BDF"/>
    <w:rsid w:val="13A63ACA"/>
    <w:rsid w:val="13C24A51"/>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285BF1"/>
    <w:rsid w:val="193F08F1"/>
    <w:rsid w:val="19A23C56"/>
    <w:rsid w:val="19B61E14"/>
    <w:rsid w:val="19E93F2E"/>
    <w:rsid w:val="19EA176D"/>
    <w:rsid w:val="19EE77E2"/>
    <w:rsid w:val="1A0231EB"/>
    <w:rsid w:val="1A845156"/>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980D5B"/>
    <w:rsid w:val="1F9F0833"/>
    <w:rsid w:val="1FB5190D"/>
    <w:rsid w:val="1FFB05D4"/>
    <w:rsid w:val="1FFE32B4"/>
    <w:rsid w:val="20B25CBE"/>
    <w:rsid w:val="20D81D57"/>
    <w:rsid w:val="21951A7A"/>
    <w:rsid w:val="21C127EB"/>
    <w:rsid w:val="21DC5877"/>
    <w:rsid w:val="21F55351"/>
    <w:rsid w:val="22327245"/>
    <w:rsid w:val="227616EA"/>
    <w:rsid w:val="237034B9"/>
    <w:rsid w:val="23AF490C"/>
    <w:rsid w:val="23E206E4"/>
    <w:rsid w:val="241F1A4B"/>
    <w:rsid w:val="24442CF2"/>
    <w:rsid w:val="249E5BD9"/>
    <w:rsid w:val="24B05A43"/>
    <w:rsid w:val="24B353A1"/>
    <w:rsid w:val="251F58B8"/>
    <w:rsid w:val="25335A76"/>
    <w:rsid w:val="257965BE"/>
    <w:rsid w:val="25897742"/>
    <w:rsid w:val="25AC5565"/>
    <w:rsid w:val="25B85CB3"/>
    <w:rsid w:val="26013AFE"/>
    <w:rsid w:val="262A4E03"/>
    <w:rsid w:val="26CD4B45"/>
    <w:rsid w:val="274E2D73"/>
    <w:rsid w:val="27565784"/>
    <w:rsid w:val="277677B1"/>
    <w:rsid w:val="27AB0837"/>
    <w:rsid w:val="281B3EE1"/>
    <w:rsid w:val="283C2E70"/>
    <w:rsid w:val="28700A17"/>
    <w:rsid w:val="28A54C15"/>
    <w:rsid w:val="292C4690"/>
    <w:rsid w:val="296A3769"/>
    <w:rsid w:val="29B33674"/>
    <w:rsid w:val="2A04596B"/>
    <w:rsid w:val="2A1E2AB2"/>
    <w:rsid w:val="2A29419B"/>
    <w:rsid w:val="2A7D4161"/>
    <w:rsid w:val="2BBE4A09"/>
    <w:rsid w:val="2C4E4E7B"/>
    <w:rsid w:val="2D305785"/>
    <w:rsid w:val="2DF5037E"/>
    <w:rsid w:val="2EBE628C"/>
    <w:rsid w:val="2FA22E86"/>
    <w:rsid w:val="2FEC137B"/>
    <w:rsid w:val="310D5099"/>
    <w:rsid w:val="31321010"/>
    <w:rsid w:val="3162492F"/>
    <w:rsid w:val="31AF0359"/>
    <w:rsid w:val="31EE248D"/>
    <w:rsid w:val="324D05C0"/>
    <w:rsid w:val="33097BA0"/>
    <w:rsid w:val="33126195"/>
    <w:rsid w:val="33833DA5"/>
    <w:rsid w:val="340B487E"/>
    <w:rsid w:val="34627E5E"/>
    <w:rsid w:val="34876E3B"/>
    <w:rsid w:val="34D53509"/>
    <w:rsid w:val="35974E7C"/>
    <w:rsid w:val="359F045A"/>
    <w:rsid w:val="362F5B1E"/>
    <w:rsid w:val="36607729"/>
    <w:rsid w:val="36DB2EFD"/>
    <w:rsid w:val="37295B73"/>
    <w:rsid w:val="373E02C1"/>
    <w:rsid w:val="37781747"/>
    <w:rsid w:val="37B27395"/>
    <w:rsid w:val="37F23808"/>
    <w:rsid w:val="37FA4B2D"/>
    <w:rsid w:val="38273E27"/>
    <w:rsid w:val="383107CC"/>
    <w:rsid w:val="38AA4085"/>
    <w:rsid w:val="38DD5D05"/>
    <w:rsid w:val="39363BE6"/>
    <w:rsid w:val="393B77E3"/>
    <w:rsid w:val="3988482D"/>
    <w:rsid w:val="399D0437"/>
    <w:rsid w:val="3A736BBC"/>
    <w:rsid w:val="3AA52CC3"/>
    <w:rsid w:val="3B7E6DB2"/>
    <w:rsid w:val="3B83690E"/>
    <w:rsid w:val="3C355E58"/>
    <w:rsid w:val="3C594CA6"/>
    <w:rsid w:val="3C781B12"/>
    <w:rsid w:val="3CA01A83"/>
    <w:rsid w:val="3CFF2D9A"/>
    <w:rsid w:val="3D0D4208"/>
    <w:rsid w:val="3D186F6A"/>
    <w:rsid w:val="3D22593A"/>
    <w:rsid w:val="3D5460D2"/>
    <w:rsid w:val="3DEB2C72"/>
    <w:rsid w:val="3E237E24"/>
    <w:rsid w:val="3E4D1237"/>
    <w:rsid w:val="3E9F68DA"/>
    <w:rsid w:val="3F2B286B"/>
    <w:rsid w:val="3F446ADE"/>
    <w:rsid w:val="3FED5CCD"/>
    <w:rsid w:val="400D4BB3"/>
    <w:rsid w:val="403C750D"/>
    <w:rsid w:val="408221E1"/>
    <w:rsid w:val="40CF687B"/>
    <w:rsid w:val="416D6A0E"/>
    <w:rsid w:val="417D1DC2"/>
    <w:rsid w:val="42AE24C0"/>
    <w:rsid w:val="42B82E08"/>
    <w:rsid w:val="430B1690"/>
    <w:rsid w:val="43B4696F"/>
    <w:rsid w:val="43E443EC"/>
    <w:rsid w:val="446B68BB"/>
    <w:rsid w:val="44CF7374"/>
    <w:rsid w:val="44E42F3B"/>
    <w:rsid w:val="4579783B"/>
    <w:rsid w:val="459E0642"/>
    <w:rsid w:val="45BB73CE"/>
    <w:rsid w:val="45C06792"/>
    <w:rsid w:val="45F33725"/>
    <w:rsid w:val="45FA003E"/>
    <w:rsid w:val="45FB24E5"/>
    <w:rsid w:val="46756E72"/>
    <w:rsid w:val="46813D02"/>
    <w:rsid w:val="473A07C7"/>
    <w:rsid w:val="474A1318"/>
    <w:rsid w:val="47612B80"/>
    <w:rsid w:val="480037BE"/>
    <w:rsid w:val="4923137F"/>
    <w:rsid w:val="4963275E"/>
    <w:rsid w:val="498F35C1"/>
    <w:rsid w:val="49C12AD9"/>
    <w:rsid w:val="4A0A5CC7"/>
    <w:rsid w:val="4A307253"/>
    <w:rsid w:val="4A6C0158"/>
    <w:rsid w:val="4AA94FD6"/>
    <w:rsid w:val="4AB41B33"/>
    <w:rsid w:val="4B6824FD"/>
    <w:rsid w:val="4B7D6F91"/>
    <w:rsid w:val="4BDF11B3"/>
    <w:rsid w:val="4C800A2A"/>
    <w:rsid w:val="4CBB3066"/>
    <w:rsid w:val="4CD51A8F"/>
    <w:rsid w:val="4D473FEB"/>
    <w:rsid w:val="4D537CF5"/>
    <w:rsid w:val="4D66253B"/>
    <w:rsid w:val="4D69758C"/>
    <w:rsid w:val="4D942511"/>
    <w:rsid w:val="4DAC584E"/>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7457C4"/>
    <w:rsid w:val="53844041"/>
    <w:rsid w:val="53F0286B"/>
    <w:rsid w:val="550310E3"/>
    <w:rsid w:val="55631BDD"/>
    <w:rsid w:val="5577489C"/>
    <w:rsid w:val="55AE5F67"/>
    <w:rsid w:val="55BA07E5"/>
    <w:rsid w:val="55E9653E"/>
    <w:rsid w:val="562543F0"/>
    <w:rsid w:val="562E13A7"/>
    <w:rsid w:val="56CF2CD9"/>
    <w:rsid w:val="57177BE7"/>
    <w:rsid w:val="573E4B0A"/>
    <w:rsid w:val="577E687E"/>
    <w:rsid w:val="57E119D2"/>
    <w:rsid w:val="57ED67F5"/>
    <w:rsid w:val="57F15209"/>
    <w:rsid w:val="58254B7B"/>
    <w:rsid w:val="58501BF8"/>
    <w:rsid w:val="588D13BE"/>
    <w:rsid w:val="58C252AC"/>
    <w:rsid w:val="58E024C3"/>
    <w:rsid w:val="592E63F2"/>
    <w:rsid w:val="59462FFB"/>
    <w:rsid w:val="5991071A"/>
    <w:rsid w:val="59F44805"/>
    <w:rsid w:val="59F6057D"/>
    <w:rsid w:val="5A292701"/>
    <w:rsid w:val="5AC3366B"/>
    <w:rsid w:val="5AD869DE"/>
    <w:rsid w:val="5AFB10E6"/>
    <w:rsid w:val="5B0248D7"/>
    <w:rsid w:val="5B546834"/>
    <w:rsid w:val="5B5515FE"/>
    <w:rsid w:val="5BDA3C8D"/>
    <w:rsid w:val="5C3E7FB9"/>
    <w:rsid w:val="5C467E02"/>
    <w:rsid w:val="5C4725F5"/>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045122"/>
    <w:rsid w:val="60121E89"/>
    <w:rsid w:val="606721D5"/>
    <w:rsid w:val="60C42704"/>
    <w:rsid w:val="60FE4811"/>
    <w:rsid w:val="614D1FB2"/>
    <w:rsid w:val="61DB5207"/>
    <w:rsid w:val="61F44F53"/>
    <w:rsid w:val="625B3C89"/>
    <w:rsid w:val="627B3857"/>
    <w:rsid w:val="62EF4D77"/>
    <w:rsid w:val="63147DC8"/>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7292C52"/>
    <w:rsid w:val="67714DB8"/>
    <w:rsid w:val="677E3D99"/>
    <w:rsid w:val="679747C8"/>
    <w:rsid w:val="67BA3663"/>
    <w:rsid w:val="682146A2"/>
    <w:rsid w:val="682503E0"/>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C009DD"/>
    <w:rsid w:val="6E5B59D0"/>
    <w:rsid w:val="6E843F52"/>
    <w:rsid w:val="6E9758D2"/>
    <w:rsid w:val="6F046E40"/>
    <w:rsid w:val="6F3C1C7C"/>
    <w:rsid w:val="6FB631E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610B49"/>
    <w:rsid w:val="75886FA4"/>
    <w:rsid w:val="75AD3D2D"/>
    <w:rsid w:val="75BD19C2"/>
    <w:rsid w:val="7601057E"/>
    <w:rsid w:val="767E397C"/>
    <w:rsid w:val="77560455"/>
    <w:rsid w:val="78236896"/>
    <w:rsid w:val="784D29BC"/>
    <w:rsid w:val="791138AD"/>
    <w:rsid w:val="793D18CD"/>
    <w:rsid w:val="7956298E"/>
    <w:rsid w:val="79845204"/>
    <w:rsid w:val="79940985"/>
    <w:rsid w:val="79DE04A6"/>
    <w:rsid w:val="79E629C5"/>
    <w:rsid w:val="7A993117"/>
    <w:rsid w:val="7A9D4552"/>
    <w:rsid w:val="7B41150C"/>
    <w:rsid w:val="7BC260B9"/>
    <w:rsid w:val="7BD55D36"/>
    <w:rsid w:val="7BF37F79"/>
    <w:rsid w:val="7C7E1687"/>
    <w:rsid w:val="7CA36E25"/>
    <w:rsid w:val="7CD30F7E"/>
    <w:rsid w:val="7D6B4FCC"/>
    <w:rsid w:val="7D9628D3"/>
    <w:rsid w:val="7E6F077A"/>
    <w:rsid w:val="7E9F4271"/>
    <w:rsid w:val="7EF202FF"/>
    <w:rsid w:val="7F0F7867"/>
    <w:rsid w:val="7F4B611D"/>
    <w:rsid w:val="7F5C008E"/>
    <w:rsid w:val="7F6D1B1C"/>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189</Words>
  <Characters>310</Characters>
  <Lines>212</Lines>
  <Paragraphs>59</Paragraphs>
  <TotalTime>0</TotalTime>
  <ScaleCrop>false</ScaleCrop>
  <LinksUpToDate>false</LinksUpToDate>
  <CharactersWithSpaces>313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2025-12-31T03:15:09Z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