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20A0C">
      <w:pPr>
        <w:jc w:val="center"/>
        <w:rPr>
          <w:rFonts w:asciiTheme="majorEastAsia" w:hAnsiTheme="majorEastAsia" w:eastAsiaTheme="majorEastAsia"/>
          <w:b/>
        </w:rPr>
      </w:pPr>
      <w:r>
        <w:rPr>
          <w:rFonts w:hint="eastAsia" w:asciiTheme="majorEastAsia" w:hAnsiTheme="majorEastAsia" w:eastAsiaTheme="majorEastAsia"/>
          <w:b/>
          <w:sz w:val="44"/>
          <w:szCs w:val="44"/>
        </w:rPr>
        <w:t>中山大学附属第八医院（深圳福田）货物类</w:t>
      </w:r>
    </w:p>
    <w:p w14:paraId="026FC558">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采购需求书</w:t>
      </w:r>
    </w:p>
    <w:p w14:paraId="326B4E80">
      <w:pPr>
        <w:ind w:firstLine="240" w:firstLineChars="100"/>
        <w:rPr>
          <w:rFonts w:cs="方正小标宋简体" w:asciiTheme="majorEastAsia" w:hAnsiTheme="majorEastAsia" w:eastAsiaTheme="majorEastAsia"/>
          <w:sz w:val="36"/>
          <w:szCs w:val="36"/>
        </w:rPr>
      </w:pPr>
      <w:r>
        <w:rPr>
          <w:rFonts w:hint="eastAsia" w:cs="宋体" w:asciiTheme="majorEastAsia" w:hAnsiTheme="majorEastAsia" w:eastAsiaTheme="majorEastAsia"/>
          <w:sz w:val="24"/>
        </w:rPr>
        <w:t>说明：“★”号条款为实质性条款，必须完全满足，不满足则不予采购</w:t>
      </w:r>
    </w:p>
    <w:p w14:paraId="0634CDFA">
      <w:pPr>
        <w:ind w:firstLine="361" w:firstLineChars="100"/>
        <w:jc w:val="center"/>
        <w:rPr>
          <w:rFonts w:cs="方正小标宋简体" w:asciiTheme="majorEastAsia" w:hAnsiTheme="majorEastAsia" w:eastAsiaTheme="majorEastAsia"/>
          <w:b/>
          <w:sz w:val="36"/>
          <w:szCs w:val="36"/>
        </w:rPr>
      </w:pPr>
      <w:r>
        <w:rPr>
          <w:rFonts w:hint="eastAsia" w:cs="方正小标宋简体" w:asciiTheme="majorEastAsia" w:hAnsiTheme="majorEastAsia" w:eastAsiaTheme="majorEastAsia"/>
          <w:b/>
          <w:sz w:val="36"/>
          <w:szCs w:val="36"/>
        </w:rPr>
        <w:t>第一部分 项目基本要求</w:t>
      </w:r>
    </w:p>
    <w:p w14:paraId="3EFA4189">
      <w:pPr>
        <w:rPr>
          <w:rFonts w:cs="方正小标宋简体" w:asciiTheme="majorEastAsia" w:hAnsiTheme="majorEastAsia" w:eastAsiaTheme="majorEastAsia"/>
          <w:sz w:val="32"/>
          <w:szCs w:val="32"/>
        </w:rPr>
      </w:pPr>
      <w:r>
        <w:rPr>
          <w:rFonts w:hint="eastAsia" w:cs="方正小标宋简体" w:asciiTheme="majorEastAsia" w:hAnsiTheme="majorEastAsia" w:eastAsiaTheme="majorEastAsia"/>
          <w:sz w:val="32"/>
          <w:szCs w:val="32"/>
        </w:rPr>
        <w:t xml:space="preserve"> 一、项目基本信息</w:t>
      </w:r>
    </w:p>
    <w:p w14:paraId="24675D60">
      <w:pPr>
        <w:ind w:firstLine="482" w:firstLineChars="200"/>
        <w:rPr>
          <w:rFonts w:cs="方正小标宋简体" w:asciiTheme="majorEastAsia" w:hAnsiTheme="majorEastAsia" w:eastAsiaTheme="majorEastAsia"/>
          <w:sz w:val="24"/>
          <w:shd w:val="clear" w:color="auto" w:fill="FFFFFF"/>
        </w:rPr>
      </w:pPr>
      <w:r>
        <w:rPr>
          <w:rFonts w:hint="eastAsia" w:asciiTheme="majorEastAsia" w:hAnsiTheme="majorEastAsia" w:eastAsiaTheme="majorEastAsia"/>
          <w:b/>
          <w:color w:val="000000"/>
          <w:sz w:val="24"/>
          <w:szCs w:val="21"/>
        </w:rPr>
        <w:t xml:space="preserve">申请科室：检验科      </w:t>
      </w:r>
      <w:r>
        <w:rPr>
          <w:rFonts w:hint="eastAsia" w:cs="宋体" w:asciiTheme="majorEastAsia" w:hAnsiTheme="majorEastAsia" w:eastAsiaTheme="majorEastAsia"/>
          <w:b/>
          <w:color w:val="000000"/>
          <w:sz w:val="24"/>
          <w:szCs w:val="21"/>
        </w:rPr>
        <w:t>负责人姓名：</w:t>
      </w:r>
      <w:r>
        <w:rPr>
          <w:rFonts w:hint="eastAsia" w:asciiTheme="majorEastAsia" w:hAnsiTheme="majorEastAsia" w:eastAsiaTheme="majorEastAsia"/>
          <w:b/>
          <w:color w:val="000000"/>
          <w:sz w:val="24"/>
          <w:szCs w:val="21"/>
        </w:rPr>
        <w:t xml:space="preserve">        </w:t>
      </w:r>
      <w:r>
        <w:rPr>
          <w:rFonts w:hint="eastAsia" w:cs="宋体" w:asciiTheme="majorEastAsia" w:hAnsiTheme="majorEastAsia" w:eastAsiaTheme="majorEastAsia"/>
          <w:b/>
          <w:color w:val="000000"/>
          <w:sz w:val="24"/>
          <w:szCs w:val="21"/>
        </w:rPr>
        <w:t>负责人电话：</w:t>
      </w:r>
    </w:p>
    <w:tbl>
      <w:tblPr>
        <w:tblStyle w:val="9"/>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22"/>
        <w:gridCol w:w="1417"/>
        <w:gridCol w:w="206"/>
        <w:gridCol w:w="850"/>
        <w:gridCol w:w="503"/>
        <w:gridCol w:w="64"/>
        <w:gridCol w:w="567"/>
        <w:gridCol w:w="503"/>
        <w:gridCol w:w="348"/>
        <w:gridCol w:w="567"/>
        <w:gridCol w:w="567"/>
        <w:gridCol w:w="1417"/>
        <w:gridCol w:w="993"/>
        <w:gridCol w:w="1062"/>
      </w:tblGrid>
      <w:tr w14:paraId="0B14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0" w:type="dxa"/>
            <w:gridSpan w:val="3"/>
            <w:shd w:val="clear" w:color="auto" w:fill="auto"/>
          </w:tcPr>
          <w:p w14:paraId="75FAA9E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申请设备名称</w:t>
            </w:r>
          </w:p>
        </w:tc>
        <w:tc>
          <w:tcPr>
            <w:tcW w:w="1559" w:type="dxa"/>
            <w:gridSpan w:val="3"/>
            <w:shd w:val="clear" w:color="auto" w:fill="auto"/>
          </w:tcPr>
          <w:p w14:paraId="3B8655A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1134" w:type="dxa"/>
            <w:gridSpan w:val="3"/>
            <w:shd w:val="clear" w:color="auto" w:fill="auto"/>
          </w:tcPr>
          <w:p w14:paraId="5177D60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915" w:type="dxa"/>
            <w:gridSpan w:val="2"/>
            <w:shd w:val="clear" w:color="auto" w:fill="auto"/>
          </w:tcPr>
          <w:p w14:paraId="4662DC9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984" w:type="dxa"/>
            <w:gridSpan w:val="2"/>
            <w:shd w:val="clear" w:color="auto" w:fill="auto"/>
          </w:tcPr>
          <w:p w14:paraId="524F3A0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2055" w:type="dxa"/>
            <w:gridSpan w:val="2"/>
            <w:shd w:val="clear" w:color="auto" w:fill="auto"/>
          </w:tcPr>
          <w:p w14:paraId="1DEFF76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r>
      <w:tr w14:paraId="21D1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0" w:type="dxa"/>
            <w:gridSpan w:val="3"/>
            <w:shd w:val="clear" w:color="auto" w:fill="auto"/>
            <w:vAlign w:val="center"/>
          </w:tcPr>
          <w:p w14:paraId="0EB089D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流式细胞仪</w:t>
            </w:r>
          </w:p>
        </w:tc>
        <w:tc>
          <w:tcPr>
            <w:tcW w:w="1559" w:type="dxa"/>
            <w:gridSpan w:val="3"/>
            <w:shd w:val="clear" w:color="auto" w:fill="auto"/>
            <w:vAlign w:val="center"/>
          </w:tcPr>
          <w:p w14:paraId="05662A4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1134" w:type="dxa"/>
            <w:gridSpan w:val="3"/>
            <w:shd w:val="clear" w:color="auto" w:fill="auto"/>
            <w:vAlign w:val="center"/>
          </w:tcPr>
          <w:p w14:paraId="32F79EE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915" w:type="dxa"/>
            <w:gridSpan w:val="2"/>
            <w:shd w:val="clear" w:color="auto" w:fill="auto"/>
            <w:vAlign w:val="center"/>
          </w:tcPr>
          <w:p w14:paraId="573A4A1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984" w:type="dxa"/>
            <w:gridSpan w:val="2"/>
            <w:shd w:val="clear" w:color="auto" w:fill="auto"/>
          </w:tcPr>
          <w:p w14:paraId="74BA6B4F">
            <w:pPr>
              <w:jc w:val="center"/>
              <w:rPr>
                <w:rFonts w:asciiTheme="majorEastAsia" w:hAnsiTheme="majorEastAsia" w:eastAsiaTheme="majorEastAsia"/>
                <w:sz w:val="24"/>
                <w:szCs w:val="21"/>
              </w:rPr>
            </w:pPr>
            <w:r>
              <w:rPr>
                <w:rFonts w:asciiTheme="majorEastAsia" w:hAnsiTheme="majorEastAsia" w:eastAsiaTheme="majorEastAsia"/>
                <w:sz w:val="24"/>
                <w:szCs w:val="21"/>
              </w:rPr>
              <w:t>17</w:t>
            </w:r>
          </w:p>
        </w:tc>
        <w:tc>
          <w:tcPr>
            <w:tcW w:w="2055" w:type="dxa"/>
            <w:gridSpan w:val="2"/>
            <w:shd w:val="clear" w:color="auto" w:fill="auto"/>
            <w:vAlign w:val="center"/>
          </w:tcPr>
          <w:p w14:paraId="5F65FBB9">
            <w:pPr>
              <w:jc w:val="center"/>
              <w:rPr>
                <w:rFonts w:asciiTheme="majorEastAsia" w:hAnsiTheme="majorEastAsia" w:eastAsiaTheme="majorEastAsia"/>
                <w:sz w:val="24"/>
                <w:szCs w:val="21"/>
              </w:rPr>
            </w:pPr>
            <w:r>
              <w:rPr>
                <w:rFonts w:asciiTheme="majorEastAsia" w:hAnsiTheme="majorEastAsia" w:eastAsiaTheme="majorEastAsia"/>
                <w:sz w:val="24"/>
                <w:szCs w:val="21"/>
              </w:rPr>
              <w:t>17</w:t>
            </w:r>
          </w:p>
        </w:tc>
      </w:tr>
      <w:tr w14:paraId="4D18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3" w:type="dxa"/>
            <w:gridSpan w:val="2"/>
            <w:shd w:val="clear" w:color="auto" w:fill="auto"/>
            <w:vAlign w:val="center"/>
          </w:tcPr>
          <w:p w14:paraId="2E1AC89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项目背景</w:t>
            </w:r>
          </w:p>
        </w:tc>
        <w:tc>
          <w:tcPr>
            <w:tcW w:w="9064" w:type="dxa"/>
            <w:gridSpan w:val="13"/>
            <w:shd w:val="clear" w:color="auto" w:fill="auto"/>
          </w:tcPr>
          <w:p w14:paraId="68E3FC15">
            <w:pPr>
              <w:rPr>
                <w:rFonts w:asciiTheme="majorEastAsia" w:hAnsiTheme="majorEastAsia" w:eastAsiaTheme="majorEastAsia"/>
                <w:sz w:val="24"/>
                <w:szCs w:val="21"/>
              </w:rPr>
            </w:pPr>
            <w:r>
              <w:rPr>
                <w:rFonts w:hint="eastAsia" w:asciiTheme="majorEastAsia" w:hAnsiTheme="majorEastAsia" w:eastAsiaTheme="majorEastAsia"/>
                <w:sz w:val="24"/>
                <w:szCs w:val="21"/>
              </w:rPr>
              <w:t xml:space="preserve">    多色流式细胞仪可以应用于HLA-B7/HLA-B27（强直性脊柱炎），T/B/NK细胞等免疫功能测定，CD64检测，HIV的CD4/CD8检测，白血病、淋巴瘤、骨髓瘤等血液疾病的免疫分型，细胞因子检测，还能同时开展CD34+干细胞计数（造血干细胞移植需要）等临床诊断工作。</w:t>
            </w:r>
          </w:p>
          <w:p w14:paraId="0D4AA4CC">
            <w:pPr>
              <w:rPr>
                <w:rFonts w:asciiTheme="majorEastAsia" w:hAnsiTheme="majorEastAsia" w:eastAsiaTheme="majorEastAsia"/>
                <w:sz w:val="24"/>
                <w:szCs w:val="21"/>
              </w:rPr>
            </w:pPr>
            <w:r>
              <w:rPr>
                <w:rFonts w:hint="eastAsia" w:asciiTheme="majorEastAsia" w:hAnsiTheme="majorEastAsia" w:eastAsiaTheme="majorEastAsia"/>
                <w:sz w:val="24"/>
                <w:szCs w:val="21"/>
              </w:rPr>
              <w:t xml:space="preserve">    标本类型涵盖骨髓，外周血，脑脊液，胸水，腹水，支气管/肺泡灌洗液，淋巴结穿刺标本，淋巴结活检标本以及实体肿瘤活检标本等。</w:t>
            </w:r>
          </w:p>
          <w:p w14:paraId="03A0E08F">
            <w:pPr>
              <w:rPr>
                <w:rFonts w:asciiTheme="majorEastAsia" w:hAnsiTheme="majorEastAsia" w:eastAsiaTheme="majorEastAsia"/>
                <w:sz w:val="24"/>
                <w:szCs w:val="21"/>
              </w:rPr>
            </w:pPr>
            <w:r>
              <w:rPr>
                <w:rFonts w:hint="eastAsia" w:asciiTheme="majorEastAsia" w:hAnsiTheme="majorEastAsia" w:eastAsiaTheme="majorEastAsia"/>
                <w:sz w:val="24"/>
                <w:szCs w:val="21"/>
              </w:rPr>
              <w:t xml:space="preserve">    在此基础上，流式细胞仪还能用于红细胞/白细胞/血小板免疫球蛋白等自身免疫性疾病的筛查，肿瘤细胞周期与DNA倍体检测，细胞凋亡检测等科研项目的检测。</w:t>
            </w:r>
          </w:p>
          <w:p w14:paraId="1D7ADA18">
            <w:pPr>
              <w:rPr>
                <w:rFonts w:asciiTheme="majorEastAsia" w:hAnsiTheme="majorEastAsia" w:eastAsiaTheme="majorEastAsia"/>
                <w:sz w:val="24"/>
                <w:szCs w:val="21"/>
              </w:rPr>
            </w:pPr>
            <w:r>
              <w:rPr>
                <w:rFonts w:hint="eastAsia" w:asciiTheme="majorEastAsia" w:hAnsiTheme="majorEastAsia" w:eastAsiaTheme="majorEastAsia"/>
                <w:sz w:val="24"/>
                <w:szCs w:val="21"/>
              </w:rPr>
              <w:t xml:space="preserve">    近年，开展流式细胞检测项目能大大提高检验科技术水平，提高科室社会声誉，为广大患者造福，更好的服务临床科室，对今后医院科室开展科研提高平台。</w:t>
            </w:r>
          </w:p>
        </w:tc>
      </w:tr>
      <w:tr w14:paraId="1ED8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7" w:type="dxa"/>
            <w:gridSpan w:val="15"/>
            <w:shd w:val="clear" w:color="auto" w:fill="auto"/>
          </w:tcPr>
          <w:p w14:paraId="17397FE9">
            <w:pPr>
              <w:rPr>
                <w:rFonts w:cs="宋体" w:asciiTheme="majorEastAsia" w:hAnsiTheme="majorEastAsia" w:eastAsiaTheme="majorEastAsia"/>
                <w:b/>
                <w:bCs/>
                <w:sz w:val="24"/>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r>
      <w:tr w14:paraId="70BB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shd w:val="clear" w:color="auto" w:fill="auto"/>
            <w:vAlign w:val="center"/>
          </w:tcPr>
          <w:p w14:paraId="29848D3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gridSpan w:val="3"/>
            <w:shd w:val="clear" w:color="auto" w:fill="auto"/>
            <w:vAlign w:val="center"/>
          </w:tcPr>
          <w:p w14:paraId="0E90FE6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shd w:val="clear" w:color="auto" w:fill="auto"/>
            <w:vAlign w:val="center"/>
          </w:tcPr>
          <w:p w14:paraId="7DE1B1F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gridSpan w:val="2"/>
            <w:shd w:val="clear" w:color="auto" w:fill="auto"/>
            <w:vAlign w:val="center"/>
          </w:tcPr>
          <w:p w14:paraId="1206125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shd w:val="clear" w:color="auto" w:fill="auto"/>
            <w:vAlign w:val="center"/>
          </w:tcPr>
          <w:p w14:paraId="3777829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851" w:type="dxa"/>
            <w:gridSpan w:val="2"/>
            <w:shd w:val="clear" w:color="auto" w:fill="auto"/>
            <w:vAlign w:val="center"/>
          </w:tcPr>
          <w:p w14:paraId="59FBC57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gridSpan w:val="2"/>
            <w:shd w:val="clear" w:color="auto" w:fill="auto"/>
            <w:vAlign w:val="center"/>
          </w:tcPr>
          <w:p w14:paraId="5BC2550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417" w:type="dxa"/>
            <w:shd w:val="clear" w:color="auto" w:fill="auto"/>
            <w:vAlign w:val="center"/>
          </w:tcPr>
          <w:p w14:paraId="77E0230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93" w:type="dxa"/>
            <w:shd w:val="clear" w:color="auto" w:fill="auto"/>
            <w:vAlign w:val="center"/>
          </w:tcPr>
          <w:p w14:paraId="734200D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c>
          <w:tcPr>
            <w:tcW w:w="1062" w:type="dxa"/>
            <w:shd w:val="clear" w:color="auto" w:fill="auto"/>
            <w:vAlign w:val="center"/>
          </w:tcPr>
          <w:p w14:paraId="0D99C85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是否需要单独报价</w:t>
            </w:r>
          </w:p>
        </w:tc>
      </w:tr>
      <w:tr w14:paraId="08A2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shd w:val="clear" w:color="auto" w:fill="auto"/>
            <w:vAlign w:val="center"/>
          </w:tcPr>
          <w:p w14:paraId="220172A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845" w:type="dxa"/>
            <w:gridSpan w:val="3"/>
            <w:shd w:val="clear" w:color="auto" w:fill="auto"/>
          </w:tcPr>
          <w:p w14:paraId="7B0602B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流式细胞仪（两激光）</w:t>
            </w:r>
          </w:p>
        </w:tc>
        <w:tc>
          <w:tcPr>
            <w:tcW w:w="850" w:type="dxa"/>
            <w:shd w:val="clear" w:color="auto" w:fill="auto"/>
            <w:vAlign w:val="center"/>
          </w:tcPr>
          <w:p w14:paraId="311FAFE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auto"/>
          </w:tcPr>
          <w:p w14:paraId="1E1C1F7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auto"/>
          </w:tcPr>
          <w:p w14:paraId="10F6EDBD">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shd w:val="clear" w:color="auto" w:fill="auto"/>
            <w:vAlign w:val="center"/>
          </w:tcPr>
          <w:p w14:paraId="1B5B0BA4">
            <w:pPr>
              <w:jc w:val="center"/>
              <w:rPr>
                <w:rFonts w:asciiTheme="majorEastAsia" w:hAnsiTheme="majorEastAsia" w:eastAsiaTheme="majorEastAsia"/>
                <w:sz w:val="24"/>
                <w:szCs w:val="21"/>
              </w:rPr>
            </w:pPr>
            <w:r>
              <w:rPr>
                <w:rFonts w:asciiTheme="majorEastAsia" w:hAnsiTheme="majorEastAsia" w:eastAsiaTheme="majorEastAsia"/>
                <w:sz w:val="24"/>
                <w:szCs w:val="21"/>
              </w:rPr>
              <w:t>17</w:t>
            </w:r>
          </w:p>
        </w:tc>
        <w:tc>
          <w:tcPr>
            <w:tcW w:w="1134" w:type="dxa"/>
            <w:gridSpan w:val="2"/>
            <w:shd w:val="clear" w:color="auto" w:fill="auto"/>
            <w:vAlign w:val="center"/>
          </w:tcPr>
          <w:p w14:paraId="4087B9B5">
            <w:pPr>
              <w:jc w:val="center"/>
              <w:rPr>
                <w:rFonts w:asciiTheme="majorEastAsia" w:hAnsiTheme="majorEastAsia" w:eastAsiaTheme="majorEastAsia"/>
                <w:sz w:val="24"/>
                <w:szCs w:val="21"/>
              </w:rPr>
            </w:pPr>
            <w:r>
              <w:rPr>
                <w:rFonts w:asciiTheme="majorEastAsia" w:hAnsiTheme="majorEastAsia" w:eastAsiaTheme="majorEastAsia"/>
                <w:sz w:val="24"/>
                <w:szCs w:val="21"/>
              </w:rPr>
              <w:t>17</w:t>
            </w:r>
          </w:p>
        </w:tc>
        <w:tc>
          <w:tcPr>
            <w:tcW w:w="1417" w:type="dxa"/>
            <w:shd w:val="clear" w:color="auto" w:fill="auto"/>
            <w:vAlign w:val="center"/>
          </w:tcPr>
          <w:p w14:paraId="163392C1">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993" w:type="dxa"/>
            <w:shd w:val="clear" w:color="auto" w:fill="auto"/>
            <w:vAlign w:val="center"/>
          </w:tcPr>
          <w:p w14:paraId="6FCA903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 xml:space="preserve">否 </w:t>
            </w:r>
          </w:p>
        </w:tc>
        <w:tc>
          <w:tcPr>
            <w:tcW w:w="1062" w:type="dxa"/>
            <w:shd w:val="clear" w:color="auto" w:fill="auto"/>
            <w:vAlign w:val="center"/>
          </w:tcPr>
          <w:p w14:paraId="35A7DF5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r>
      <w:tr w14:paraId="38BC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shd w:val="clear" w:color="auto" w:fill="auto"/>
            <w:vAlign w:val="center"/>
          </w:tcPr>
          <w:p w14:paraId="5242BED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2845" w:type="dxa"/>
            <w:gridSpan w:val="3"/>
            <w:shd w:val="clear" w:color="auto" w:fill="auto"/>
          </w:tcPr>
          <w:p w14:paraId="188330FF">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数据采集分析软件</w:t>
            </w:r>
          </w:p>
        </w:tc>
        <w:tc>
          <w:tcPr>
            <w:tcW w:w="850" w:type="dxa"/>
            <w:shd w:val="clear" w:color="auto" w:fill="auto"/>
            <w:vAlign w:val="center"/>
          </w:tcPr>
          <w:p w14:paraId="1BCD438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auto"/>
          </w:tcPr>
          <w:p w14:paraId="35D1FB8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auto"/>
          </w:tcPr>
          <w:p w14:paraId="40FD64B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851" w:type="dxa"/>
            <w:gridSpan w:val="2"/>
            <w:shd w:val="clear" w:color="auto" w:fill="auto"/>
            <w:vAlign w:val="center"/>
          </w:tcPr>
          <w:p w14:paraId="429FCA6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134" w:type="dxa"/>
            <w:gridSpan w:val="2"/>
            <w:shd w:val="clear" w:color="auto" w:fill="auto"/>
            <w:vAlign w:val="center"/>
          </w:tcPr>
          <w:p w14:paraId="0C9D776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417" w:type="dxa"/>
            <w:shd w:val="clear" w:color="auto" w:fill="auto"/>
            <w:vAlign w:val="center"/>
          </w:tcPr>
          <w:p w14:paraId="429631F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shd w:val="clear" w:color="auto" w:fill="auto"/>
            <w:vAlign w:val="center"/>
          </w:tcPr>
          <w:p w14:paraId="43D7F83B">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auto"/>
            <w:vAlign w:val="center"/>
          </w:tcPr>
          <w:p w14:paraId="46CC315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14:paraId="4D29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shd w:val="clear" w:color="auto" w:fill="auto"/>
            <w:vAlign w:val="center"/>
          </w:tcPr>
          <w:p w14:paraId="1BD9FE7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2845" w:type="dxa"/>
            <w:gridSpan w:val="3"/>
            <w:shd w:val="clear" w:color="auto" w:fill="auto"/>
          </w:tcPr>
          <w:p w14:paraId="1034C04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自动进样器</w:t>
            </w:r>
          </w:p>
        </w:tc>
        <w:tc>
          <w:tcPr>
            <w:tcW w:w="850" w:type="dxa"/>
            <w:shd w:val="clear" w:color="auto" w:fill="auto"/>
            <w:vAlign w:val="center"/>
          </w:tcPr>
          <w:p w14:paraId="08FEF67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auto"/>
          </w:tcPr>
          <w:p w14:paraId="355994B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auto"/>
          </w:tcPr>
          <w:p w14:paraId="4D7D682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851" w:type="dxa"/>
            <w:gridSpan w:val="2"/>
            <w:shd w:val="clear" w:color="auto" w:fill="auto"/>
            <w:vAlign w:val="center"/>
          </w:tcPr>
          <w:p w14:paraId="3531E9E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134" w:type="dxa"/>
            <w:gridSpan w:val="2"/>
            <w:shd w:val="clear" w:color="auto" w:fill="auto"/>
            <w:vAlign w:val="center"/>
          </w:tcPr>
          <w:p w14:paraId="3B0196D0">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417" w:type="dxa"/>
            <w:shd w:val="clear" w:color="auto" w:fill="auto"/>
            <w:vAlign w:val="center"/>
          </w:tcPr>
          <w:p w14:paraId="1B96DB31">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shd w:val="clear" w:color="auto" w:fill="auto"/>
            <w:vAlign w:val="center"/>
          </w:tcPr>
          <w:p w14:paraId="04BCDA6D">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auto"/>
            <w:vAlign w:val="center"/>
          </w:tcPr>
          <w:p w14:paraId="26A60EE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14:paraId="34B0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shd w:val="clear" w:color="auto" w:fill="auto"/>
            <w:vAlign w:val="center"/>
          </w:tcPr>
          <w:p w14:paraId="5C87269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2845" w:type="dxa"/>
            <w:gridSpan w:val="3"/>
            <w:shd w:val="clear" w:color="auto" w:fill="auto"/>
          </w:tcPr>
          <w:p w14:paraId="4C460BA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装机配套试剂</w:t>
            </w:r>
          </w:p>
        </w:tc>
        <w:tc>
          <w:tcPr>
            <w:tcW w:w="850" w:type="dxa"/>
            <w:shd w:val="clear" w:color="auto" w:fill="auto"/>
            <w:vAlign w:val="center"/>
          </w:tcPr>
          <w:p w14:paraId="229923A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auto"/>
          </w:tcPr>
          <w:p w14:paraId="2F94A9B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auto"/>
          </w:tcPr>
          <w:p w14:paraId="71AD344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851" w:type="dxa"/>
            <w:gridSpan w:val="2"/>
            <w:shd w:val="clear" w:color="auto" w:fill="auto"/>
            <w:vAlign w:val="center"/>
          </w:tcPr>
          <w:p w14:paraId="67A633B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134" w:type="dxa"/>
            <w:gridSpan w:val="2"/>
            <w:shd w:val="clear" w:color="auto" w:fill="auto"/>
            <w:vAlign w:val="center"/>
          </w:tcPr>
          <w:p w14:paraId="56CE39D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417" w:type="dxa"/>
            <w:shd w:val="clear" w:color="auto" w:fill="auto"/>
            <w:vAlign w:val="center"/>
          </w:tcPr>
          <w:p w14:paraId="5798B674">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shd w:val="clear" w:color="auto" w:fill="auto"/>
            <w:vAlign w:val="center"/>
          </w:tcPr>
          <w:p w14:paraId="7210D4E1">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auto"/>
            <w:vAlign w:val="center"/>
          </w:tcPr>
          <w:p w14:paraId="3355E3E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14:paraId="371E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shd w:val="clear" w:color="auto" w:fill="auto"/>
            <w:vAlign w:val="center"/>
          </w:tcPr>
          <w:p w14:paraId="6964353D">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5</w:t>
            </w:r>
          </w:p>
        </w:tc>
        <w:tc>
          <w:tcPr>
            <w:tcW w:w="2845" w:type="dxa"/>
            <w:gridSpan w:val="3"/>
            <w:shd w:val="clear" w:color="auto" w:fill="auto"/>
          </w:tcPr>
          <w:p w14:paraId="2053813A">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工作站</w:t>
            </w:r>
          </w:p>
        </w:tc>
        <w:tc>
          <w:tcPr>
            <w:tcW w:w="850" w:type="dxa"/>
            <w:shd w:val="clear" w:color="auto" w:fill="auto"/>
            <w:vAlign w:val="center"/>
          </w:tcPr>
          <w:p w14:paraId="4E0EFC5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67" w:type="dxa"/>
            <w:gridSpan w:val="2"/>
            <w:shd w:val="clear" w:color="auto" w:fill="auto"/>
          </w:tcPr>
          <w:p w14:paraId="090C0FB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67" w:type="dxa"/>
            <w:shd w:val="clear" w:color="auto" w:fill="auto"/>
          </w:tcPr>
          <w:p w14:paraId="731B8288">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851" w:type="dxa"/>
            <w:gridSpan w:val="2"/>
            <w:shd w:val="clear" w:color="auto" w:fill="auto"/>
            <w:vAlign w:val="center"/>
          </w:tcPr>
          <w:p w14:paraId="77952F72">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134" w:type="dxa"/>
            <w:gridSpan w:val="2"/>
            <w:shd w:val="clear" w:color="auto" w:fill="auto"/>
            <w:vAlign w:val="center"/>
          </w:tcPr>
          <w:p w14:paraId="6595CC7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417" w:type="dxa"/>
            <w:shd w:val="clear" w:color="auto" w:fill="auto"/>
            <w:vAlign w:val="center"/>
          </w:tcPr>
          <w:p w14:paraId="5587F541">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993" w:type="dxa"/>
            <w:shd w:val="clear" w:color="auto" w:fill="auto"/>
            <w:vAlign w:val="center"/>
          </w:tcPr>
          <w:p w14:paraId="529918C6">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062" w:type="dxa"/>
            <w:shd w:val="clear" w:color="auto" w:fill="auto"/>
            <w:vAlign w:val="center"/>
          </w:tcPr>
          <w:p w14:paraId="53008C2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bl>
    <w:p w14:paraId="163AC7D6">
      <w:pPr>
        <w:ind w:firstLine="480" w:firstLineChars="150"/>
        <w:rPr>
          <w:rFonts w:cs="方正小标宋简体" w:asciiTheme="majorEastAsia" w:hAnsiTheme="majorEastAsia" w:eastAsiaTheme="majorEastAsia"/>
          <w:sz w:val="32"/>
          <w:szCs w:val="32"/>
        </w:rPr>
      </w:pPr>
      <w:r>
        <w:rPr>
          <w:rFonts w:hint="eastAsia" w:cs="方正小标宋简体" w:asciiTheme="majorEastAsia" w:hAnsiTheme="majorEastAsia" w:eastAsiaTheme="majorEastAsia"/>
          <w:sz w:val="32"/>
          <w:szCs w:val="32"/>
        </w:rPr>
        <w:t>二、特殊资格要求说明</w:t>
      </w:r>
    </w:p>
    <w:p w14:paraId="58252387">
      <w:pPr>
        <w:pStyle w:val="16"/>
        <w:ind w:left="400" w:firstLine="0" w:firstLineChars="0"/>
        <w:rPr>
          <w:rFonts w:asciiTheme="majorEastAsia" w:hAnsiTheme="majorEastAsia" w:eastAsiaTheme="majorEastAsia"/>
          <w:bCs/>
          <w:color w:val="FF0000"/>
          <w:szCs w:val="21"/>
        </w:rPr>
      </w:pPr>
      <w:r>
        <w:rPr>
          <w:rFonts w:hint="eastAsia" w:cs="宋体" w:asciiTheme="majorEastAsia" w:hAnsiTheme="majorEastAsia" w:eastAsiaTheme="majorEastAsia"/>
          <w:sz w:val="24"/>
        </w:rPr>
        <w:t>本项目属于医疗器械目录管理,需提供：</w:t>
      </w:r>
    </w:p>
    <w:p w14:paraId="2A7ABC7B">
      <w:pPr>
        <w:pStyle w:val="16"/>
        <w:adjustRightInd w:val="0"/>
        <w:snapToGrid w:val="0"/>
        <w:ind w:firstLine="480"/>
        <w:rPr>
          <w:rFonts w:cs="宋体" w:asciiTheme="majorEastAsia" w:hAnsiTheme="majorEastAsia" w:eastAsiaTheme="majorEastAsia"/>
          <w:sz w:val="24"/>
        </w:rPr>
      </w:pPr>
      <w:r>
        <w:rPr>
          <w:rFonts w:hint="eastAsia" w:cs="宋体" w:asciiTheme="majorEastAsia" w:hAnsiTheme="majorEastAsia" w:eastAsiaTheme="majorEastAsia"/>
          <w:sz w:val="24"/>
        </w:rPr>
        <w:t>若投标供应商为所投产品的生产企业，必须提供《医疗器械生产企业许可（备案）证》且生产范围包含该产品，不在住所或者生产地址所在地销售的厂家还需提供医疗器械经营许可证/（第一类/二类）医疗器械经营备案凭证;若投标供应商为所投产品的代理商或授权供应商，必须提供《医疗器械经营企业许可(备案)证》 且经营范围包含该产品。</w:t>
      </w:r>
    </w:p>
    <w:p w14:paraId="692022E4">
      <w:pPr>
        <w:numPr>
          <w:ilvl w:val="0"/>
          <w:numId w:val="1"/>
        </w:numPr>
        <w:jc w:val="center"/>
        <w:rPr>
          <w:rFonts w:cs="方正小标宋简体" w:asciiTheme="majorEastAsia" w:hAnsiTheme="majorEastAsia" w:eastAsiaTheme="majorEastAsia"/>
          <w:b/>
          <w:sz w:val="36"/>
          <w:szCs w:val="36"/>
        </w:rPr>
      </w:pPr>
      <w:r>
        <w:rPr>
          <w:rFonts w:hint="eastAsia" w:cs="方正小标宋简体" w:asciiTheme="majorEastAsia" w:hAnsiTheme="majorEastAsia" w:eastAsiaTheme="majorEastAsia"/>
          <w:b/>
          <w:sz w:val="36"/>
          <w:szCs w:val="36"/>
        </w:rPr>
        <w:t>技术与商务需求</w:t>
      </w:r>
    </w:p>
    <w:p w14:paraId="2EAA1E94">
      <w:pPr>
        <w:ind w:firstLine="241" w:firstLineChars="100"/>
        <w:rPr>
          <w:rFonts w:cs="方正小标宋简体" w:asciiTheme="majorEastAsia" w:hAnsiTheme="majorEastAsia" w:eastAsiaTheme="majorEastAsia"/>
          <w:sz w:val="24"/>
          <w:szCs w:val="36"/>
        </w:rPr>
      </w:pPr>
      <w:r>
        <w:rPr>
          <w:rFonts w:hint="eastAsia" w:cs="宋体" w:asciiTheme="majorEastAsia" w:hAnsiTheme="majorEastAsia" w:eastAsiaTheme="majorEastAsia"/>
          <w:b/>
          <w:bCs/>
          <w:sz w:val="24"/>
        </w:rPr>
        <w:t>说明：</w:t>
      </w:r>
      <w:r>
        <w:rPr>
          <w:rFonts w:hint="eastAsia" w:cs="宋体" w:asciiTheme="majorEastAsia" w:hAnsiTheme="majorEastAsia" w:eastAsiaTheme="majorEastAsia"/>
          <w:b/>
          <w:sz w:val="24"/>
        </w:rPr>
        <w:t>1.“★”号条款为实质性条款，必须完全满足，不满足则不予采购。</w:t>
      </w:r>
      <w:r>
        <w:rPr>
          <w:rFonts w:hint="eastAsia" w:cs="宋体" w:asciiTheme="majorEastAsia" w:hAnsiTheme="majorEastAsia" w:eastAsiaTheme="majorEastAsia"/>
          <w:sz w:val="20"/>
        </w:rPr>
        <w:t>（核心技术要求（以</w:t>
      </w:r>
      <w:r>
        <w:rPr>
          <w:rFonts w:hint="eastAsia" w:cs="宋体" w:asciiTheme="majorEastAsia" w:hAnsiTheme="majorEastAsia" w:eastAsiaTheme="majorEastAsia"/>
          <w:sz w:val="20"/>
          <w:szCs w:val="20"/>
        </w:rPr>
        <w:t>★</w:t>
      </w:r>
      <w:r>
        <w:rPr>
          <w:rFonts w:hint="eastAsia" w:cs="宋体" w:asciiTheme="majorEastAsia" w:hAnsiTheme="majorEastAsia" w:eastAsiaTheme="majorEastAsia"/>
          <w:sz w:val="20"/>
        </w:rPr>
        <w:t>号标注）为技术条款实质性要求不允许负偏离;否则将被否决。其数量≤5条，且必须有不少于3个品牌满足，并在第四部分作出承诺。）</w:t>
      </w:r>
    </w:p>
    <w:p w14:paraId="6B882019">
      <w:pPr>
        <w:ind w:firstLine="360" w:firstLineChars="100"/>
        <w:rPr>
          <w:rFonts w:cs="宋体" w:asciiTheme="majorEastAsia" w:hAnsiTheme="majorEastAsia" w:eastAsiaTheme="majorEastAsia"/>
          <w:bCs/>
          <w:sz w:val="20"/>
          <w:szCs w:val="20"/>
        </w:rPr>
      </w:pPr>
      <w:r>
        <w:rPr>
          <w:rFonts w:hint="eastAsia" w:cs="方正小标宋简体" w:asciiTheme="majorEastAsia" w:hAnsiTheme="majorEastAsia" w:eastAsiaTheme="majorEastAsia"/>
          <w:sz w:val="36"/>
          <w:szCs w:val="36"/>
        </w:rPr>
        <w:t xml:space="preserve">   </w:t>
      </w:r>
      <w:r>
        <w:rPr>
          <w:rFonts w:hint="eastAsia" w:cs="宋体" w:asciiTheme="majorEastAsia" w:hAnsiTheme="majorEastAsia" w:eastAsiaTheme="majorEastAsia"/>
          <w:b/>
          <w:sz w:val="24"/>
        </w:rPr>
        <w:t xml:space="preserve"> 2.“▲”</w:t>
      </w:r>
      <w:r>
        <w:rPr>
          <w:rFonts w:hint="eastAsia" w:cs="宋体" w:asciiTheme="majorEastAsia" w:hAnsiTheme="majorEastAsia" w:eastAsiaTheme="majorEastAsia"/>
          <w:b/>
          <w:bCs/>
          <w:sz w:val="24"/>
        </w:rPr>
        <w:t>号条款为重要技术参数，需逐一确定是否满足。</w:t>
      </w:r>
      <w:r>
        <w:rPr>
          <w:rFonts w:hint="eastAsia" w:cs="宋体" w:asciiTheme="majorEastAsia" w:hAnsiTheme="majorEastAsia" w:eastAsiaTheme="majorEastAsia"/>
          <w:bCs/>
          <w:sz w:val="20"/>
          <w:szCs w:val="20"/>
        </w:rPr>
        <w:t>（</w:t>
      </w:r>
      <w:r>
        <w:rPr>
          <w:rFonts w:hint="eastAsia" w:cs="宋体" w:asciiTheme="majorEastAsia" w:hAnsiTheme="majorEastAsia" w:eastAsiaTheme="majorEastAsia"/>
          <w:sz w:val="20"/>
          <w:szCs w:val="20"/>
        </w:rPr>
        <w:t>重要技术要求（以▲号标注）数量≤全部技术要求的10%。</w:t>
      </w:r>
      <w:r>
        <w:rPr>
          <w:rFonts w:hint="eastAsia" w:cs="宋体" w:asciiTheme="majorEastAsia" w:hAnsiTheme="majorEastAsia" w:eastAsiaTheme="majorEastAsia"/>
          <w:bCs/>
          <w:sz w:val="20"/>
          <w:szCs w:val="20"/>
        </w:rPr>
        <w:t>）</w:t>
      </w:r>
    </w:p>
    <w:p w14:paraId="7DBE7494">
      <w:pPr>
        <w:ind w:firstLine="201" w:firstLineChars="100"/>
        <w:rPr>
          <w:rFonts w:cs="方正小标宋简体" w:asciiTheme="majorEastAsia" w:hAnsiTheme="majorEastAsia" w:eastAsiaTheme="majorEastAsia"/>
          <w:b/>
          <w:sz w:val="20"/>
          <w:szCs w:val="20"/>
        </w:rPr>
      </w:pPr>
      <w:r>
        <w:rPr>
          <w:rFonts w:hint="eastAsia" w:cs="方正小标宋简体" w:asciiTheme="majorEastAsia" w:hAnsiTheme="majorEastAsia" w:eastAsiaTheme="majorEastAsia"/>
          <w:b/>
          <w:sz w:val="20"/>
          <w:szCs w:val="20"/>
        </w:rPr>
        <w:t>“★”号条款:所投产品如纳入医疗器械管理，投标供应商必须提供所投产品的《医疗器械注册(备案)证》的扫描件。(如有效期不足6个月的，需提供审批部门的回执。)</w:t>
      </w:r>
    </w:p>
    <w:tbl>
      <w:tblPr>
        <w:tblStyle w:val="9"/>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120"/>
        <w:gridCol w:w="7444"/>
        <w:gridCol w:w="817"/>
      </w:tblGrid>
      <w:tr w14:paraId="6177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9" w:type="dxa"/>
            <w:gridSpan w:val="4"/>
            <w:shd w:val="clear" w:color="auto" w:fill="auto"/>
            <w:vAlign w:val="center"/>
          </w:tcPr>
          <w:p w14:paraId="5570EF72">
            <w:pPr>
              <w:adjustRightInd w:val="0"/>
              <w:snapToGrid w:val="0"/>
              <w:rPr>
                <w:rFonts w:asciiTheme="majorEastAsia" w:hAnsiTheme="majorEastAsia" w:eastAsiaTheme="majorEastAsia"/>
                <w:b/>
                <w:sz w:val="28"/>
                <w:szCs w:val="21"/>
              </w:rPr>
            </w:pPr>
            <w:r>
              <w:rPr>
                <w:rFonts w:hint="eastAsia" w:asciiTheme="majorEastAsia" w:hAnsiTheme="majorEastAsia" w:eastAsiaTheme="majorEastAsia"/>
                <w:b/>
                <w:sz w:val="28"/>
                <w:szCs w:val="21"/>
              </w:rPr>
              <w:t>一、技术部分</w:t>
            </w:r>
          </w:p>
        </w:tc>
        <w:tc>
          <w:tcPr>
            <w:tcW w:w="817" w:type="dxa"/>
            <w:shd w:val="clear" w:color="auto" w:fill="auto"/>
            <w:vAlign w:val="center"/>
          </w:tcPr>
          <w:p w14:paraId="671CED38">
            <w:pPr>
              <w:adjustRightInd w:val="0"/>
              <w:snapToGrid w:val="0"/>
              <w:jc w:val="center"/>
              <w:rPr>
                <w:rFonts w:asciiTheme="majorEastAsia" w:hAnsiTheme="majorEastAsia" w:eastAsiaTheme="majorEastAsia"/>
                <w:b/>
                <w:sz w:val="24"/>
                <w:szCs w:val="21"/>
              </w:rPr>
            </w:pPr>
          </w:p>
        </w:tc>
      </w:tr>
      <w:tr w14:paraId="69CD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shd w:val="clear" w:color="auto" w:fill="auto"/>
            <w:vAlign w:val="center"/>
          </w:tcPr>
          <w:p w14:paraId="2A2E4F91">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shd w:val="clear" w:color="auto" w:fill="auto"/>
            <w:vAlign w:val="center"/>
          </w:tcPr>
          <w:p w14:paraId="5FB9655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gridSpan w:val="2"/>
            <w:shd w:val="clear" w:color="auto" w:fill="auto"/>
            <w:vAlign w:val="center"/>
          </w:tcPr>
          <w:p w14:paraId="1C5A28C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shd w:val="clear" w:color="auto" w:fill="auto"/>
            <w:vAlign w:val="center"/>
          </w:tcPr>
          <w:p w14:paraId="2E328C1B">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A49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shd w:val="clear" w:color="auto" w:fill="auto"/>
          </w:tcPr>
          <w:p w14:paraId="44C6273D">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shd w:val="clear" w:color="auto" w:fill="auto"/>
          </w:tcPr>
          <w:p w14:paraId="0D376DAD">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流式细胞仪</w:t>
            </w:r>
          </w:p>
        </w:tc>
        <w:tc>
          <w:tcPr>
            <w:tcW w:w="7564" w:type="dxa"/>
            <w:gridSpan w:val="2"/>
            <w:shd w:val="clear" w:color="auto" w:fill="auto"/>
            <w:vAlign w:val="top"/>
          </w:tcPr>
          <w:p w14:paraId="2829C801">
            <w:pPr>
              <w:keepNext w:val="0"/>
              <w:keepLines w:val="0"/>
              <w:suppressLineNumbers w:val="0"/>
              <w:spacing w:before="0" w:beforeAutospacing="0" w:after="0" w:afterAutospacing="0"/>
              <w:ind w:left="0" w:leftChars="0" w:right="0" w:rightChars="0"/>
              <w:rPr>
                <w:rFonts w:asciiTheme="majorEastAsia" w:hAnsiTheme="majorEastAsia" w:eastAsiaTheme="majorEastAsia"/>
                <w:b/>
                <w:sz w:val="24"/>
                <w:szCs w:val="21"/>
              </w:rPr>
            </w:pPr>
            <w:r>
              <w:rPr>
                <w:rFonts w:hint="eastAsia"/>
                <w:sz w:val="24"/>
                <w:szCs w:val="24"/>
              </w:rPr>
              <w:t>1、</w:t>
            </w:r>
            <w:r>
              <w:rPr>
                <w:rFonts w:hint="eastAsia" w:ascii="宋体" w:hAnsi="宋体"/>
                <w:bCs/>
                <w:sz w:val="24"/>
                <w:szCs w:val="24"/>
              </w:rPr>
              <w:t>配置两个激光器，且至少8个荧光检测器</w:t>
            </w:r>
          </w:p>
        </w:tc>
        <w:tc>
          <w:tcPr>
            <w:tcW w:w="817" w:type="dxa"/>
            <w:shd w:val="clear" w:color="auto" w:fill="auto"/>
            <w:vAlign w:val="center"/>
          </w:tcPr>
          <w:p w14:paraId="2FA27CC9">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2895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1F81D23B">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5DEDC66C">
            <w:pPr>
              <w:adjustRightInd w:val="0"/>
              <w:snapToGrid w:val="0"/>
              <w:rPr>
                <w:rFonts w:asciiTheme="majorEastAsia" w:hAnsiTheme="majorEastAsia" w:eastAsiaTheme="majorEastAsia"/>
                <w:b/>
                <w:sz w:val="24"/>
                <w:szCs w:val="21"/>
              </w:rPr>
            </w:pPr>
          </w:p>
        </w:tc>
        <w:tc>
          <w:tcPr>
            <w:tcW w:w="7564" w:type="dxa"/>
            <w:gridSpan w:val="2"/>
            <w:shd w:val="clear" w:color="auto" w:fill="auto"/>
            <w:vAlign w:val="center"/>
          </w:tcPr>
          <w:p w14:paraId="2D3067EB">
            <w:pPr>
              <w:keepNext w:val="0"/>
              <w:keepLines w:val="0"/>
              <w:widowControl/>
              <w:suppressLineNumbers w:val="0"/>
              <w:spacing w:before="0" w:beforeAutospacing="0" w:after="0" w:afterAutospacing="0"/>
              <w:ind w:left="0" w:leftChars="0" w:right="0" w:rightChars="0"/>
              <w:textAlignment w:val="center"/>
              <w:rPr>
                <w:rFonts w:ascii="宋体" w:hAnsi="宋体" w:cs="宋体"/>
                <w:color w:val="000000" w:themeColor="text1"/>
                <w:szCs w:val="21"/>
                <w:highlight w:val="none"/>
                <w14:textFill>
                  <w14:solidFill>
                    <w14:schemeClr w14:val="tx1"/>
                  </w14:solidFill>
                </w14:textFill>
              </w:rPr>
            </w:pPr>
            <w:r>
              <w:rPr>
                <w:rFonts w:hint="eastAsia"/>
                <w:sz w:val="24"/>
                <w:szCs w:val="24"/>
                <w:highlight w:val="none"/>
              </w:rPr>
              <w:t>2、固态激光器功率均需≥48mw，激光功率可由软件实时监控，空间独立排列</w:t>
            </w:r>
          </w:p>
        </w:tc>
        <w:tc>
          <w:tcPr>
            <w:tcW w:w="817" w:type="dxa"/>
            <w:shd w:val="clear" w:color="auto" w:fill="auto"/>
            <w:vAlign w:val="center"/>
          </w:tcPr>
          <w:p w14:paraId="34C783C8">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27F3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5D6717C9">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477507C3">
            <w:pPr>
              <w:adjustRightInd w:val="0"/>
              <w:snapToGrid w:val="0"/>
              <w:rPr>
                <w:rFonts w:asciiTheme="majorEastAsia" w:hAnsiTheme="majorEastAsia" w:eastAsiaTheme="majorEastAsia"/>
                <w:b/>
                <w:sz w:val="24"/>
                <w:szCs w:val="21"/>
              </w:rPr>
            </w:pPr>
          </w:p>
        </w:tc>
        <w:tc>
          <w:tcPr>
            <w:tcW w:w="7564" w:type="dxa"/>
            <w:gridSpan w:val="2"/>
            <w:shd w:val="clear" w:color="auto" w:fill="auto"/>
            <w:vAlign w:val="center"/>
          </w:tcPr>
          <w:p w14:paraId="18117126">
            <w:pPr>
              <w:keepNext w:val="0"/>
              <w:keepLines w:val="0"/>
              <w:widowControl/>
              <w:suppressLineNumbers w:val="0"/>
              <w:spacing w:before="0" w:beforeAutospacing="0" w:after="0" w:afterAutospacing="0"/>
              <w:ind w:left="0" w:leftChars="0" w:right="0" w:rightChars="0"/>
              <w:jc w:val="left"/>
              <w:textAlignment w:val="center"/>
              <w:rPr>
                <w:rFonts w:ascii="宋体" w:hAnsi="宋体" w:cs="宋体"/>
                <w:color w:val="000000" w:themeColor="text1"/>
                <w:szCs w:val="21"/>
                <w:highlight w:val="none"/>
                <w14:textFill>
                  <w14:solidFill>
                    <w14:schemeClr w14:val="tx1"/>
                  </w14:solidFill>
                </w14:textFill>
              </w:rPr>
            </w:pPr>
            <w:r>
              <w:rPr>
                <w:rFonts w:hint="eastAsia"/>
                <w:sz w:val="24"/>
                <w:szCs w:val="24"/>
                <w:highlight w:val="none"/>
              </w:rPr>
              <w:t xml:space="preserve">3、检测通道设置：488nm激光至少可激发五色荧光，至少可以检测FITC、PE、 ECD、 </w:t>
            </w:r>
            <w:r>
              <w:rPr>
                <w:rFonts w:hint="default"/>
                <w:sz w:val="24"/>
                <w:szCs w:val="24"/>
                <w:highlight w:val="none"/>
              </w:rPr>
              <w:t>PC5.5</w:t>
            </w:r>
            <w:r>
              <w:rPr>
                <w:rFonts w:hint="eastAsia"/>
                <w:sz w:val="24"/>
                <w:szCs w:val="24"/>
                <w:highlight w:val="none"/>
              </w:rPr>
              <w:t>和</w:t>
            </w:r>
            <w:r>
              <w:rPr>
                <w:rFonts w:hint="default"/>
                <w:sz w:val="24"/>
                <w:szCs w:val="24"/>
                <w:highlight w:val="none"/>
              </w:rPr>
              <w:t>PC7</w:t>
            </w:r>
            <w:r>
              <w:rPr>
                <w:rFonts w:hint="eastAsia"/>
                <w:sz w:val="24"/>
                <w:szCs w:val="24"/>
                <w:highlight w:val="none"/>
              </w:rPr>
              <w:t>荧光染料，638nm激光至少可激发三色荧光，至少可以检测</w:t>
            </w:r>
            <w:r>
              <w:rPr>
                <w:rFonts w:hint="eastAsia"/>
                <w:sz w:val="24"/>
                <w:szCs w:val="24"/>
                <w:highlight w:val="none"/>
                <w:lang w:eastAsia="zh-CN"/>
              </w:rPr>
              <w:t>三种以上</w:t>
            </w:r>
            <w:r>
              <w:rPr>
                <w:rFonts w:hint="eastAsia"/>
                <w:sz w:val="24"/>
                <w:szCs w:val="24"/>
                <w:highlight w:val="none"/>
              </w:rPr>
              <w:t>荧光染料、前向角散射光检测通道和侧向角散射光检测通道。光路设计：</w:t>
            </w:r>
            <w:r>
              <w:rPr>
                <w:rFonts w:hint="default"/>
                <w:sz w:val="24"/>
                <w:szCs w:val="24"/>
                <w:highlight w:val="none"/>
              </w:rPr>
              <w:t>固定校准的光路设计，</w:t>
            </w:r>
            <w:r>
              <w:rPr>
                <w:rFonts w:hint="eastAsia"/>
                <w:sz w:val="24"/>
                <w:szCs w:val="24"/>
                <w:highlight w:val="none"/>
              </w:rPr>
              <w:t>每根激光间信号独立传播</w:t>
            </w:r>
          </w:p>
        </w:tc>
        <w:tc>
          <w:tcPr>
            <w:tcW w:w="817" w:type="dxa"/>
            <w:shd w:val="clear" w:color="auto" w:fill="auto"/>
            <w:vAlign w:val="center"/>
          </w:tcPr>
          <w:p w14:paraId="1AF82C31">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r>
              <w:rPr>
                <w:rFonts w:hint="default"/>
              </w:rPr>
              <w:t>▲</w:t>
            </w:r>
          </w:p>
        </w:tc>
      </w:tr>
      <w:tr w14:paraId="77A5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33B75D76">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7BD70521">
            <w:pPr>
              <w:adjustRightInd w:val="0"/>
              <w:snapToGrid w:val="0"/>
              <w:rPr>
                <w:rFonts w:asciiTheme="majorEastAsia" w:hAnsiTheme="majorEastAsia" w:eastAsiaTheme="majorEastAsia"/>
                <w:b/>
                <w:sz w:val="24"/>
                <w:szCs w:val="21"/>
              </w:rPr>
            </w:pPr>
          </w:p>
        </w:tc>
        <w:tc>
          <w:tcPr>
            <w:tcW w:w="7564" w:type="dxa"/>
            <w:gridSpan w:val="2"/>
            <w:shd w:val="clear" w:color="auto" w:fill="auto"/>
            <w:vAlign w:val="center"/>
          </w:tcPr>
          <w:p w14:paraId="621F507B">
            <w:pPr>
              <w:keepNext w:val="0"/>
              <w:keepLines w:val="0"/>
              <w:widowControl/>
              <w:suppressLineNumbers w:val="0"/>
              <w:spacing w:before="0" w:beforeAutospacing="0" w:after="0" w:afterAutospacing="0"/>
              <w:ind w:left="0" w:leftChars="0" w:right="0" w:rightChars="0"/>
              <w:jc w:val="left"/>
              <w:textAlignment w:val="center"/>
              <w:rPr>
                <w:rFonts w:ascii="宋体" w:hAnsi="宋体" w:cs="宋体"/>
                <w:color w:val="000000" w:themeColor="text1"/>
                <w:szCs w:val="21"/>
                <w:highlight w:val="none"/>
                <w14:textFill>
                  <w14:solidFill>
                    <w14:schemeClr w14:val="tx1"/>
                  </w14:solidFill>
                </w14:textFill>
              </w:rPr>
            </w:pPr>
            <w:r>
              <w:rPr>
                <w:rFonts w:hint="eastAsia"/>
                <w:sz w:val="24"/>
                <w:szCs w:val="24"/>
                <w:highlight w:val="none"/>
              </w:rPr>
              <w:t>4、</w:t>
            </w:r>
            <w:r>
              <w:rPr>
                <w:rFonts w:hint="eastAsia" w:ascii="宋体" w:hAnsi="宋体"/>
                <w:bCs/>
                <w:sz w:val="24"/>
                <w:szCs w:val="24"/>
                <w:highlight w:val="none"/>
              </w:rPr>
              <w:t>采用雪崩光电二极管阵列检测器或其他更优材料</w:t>
            </w:r>
          </w:p>
        </w:tc>
        <w:tc>
          <w:tcPr>
            <w:tcW w:w="817" w:type="dxa"/>
            <w:shd w:val="clear" w:color="auto" w:fill="auto"/>
            <w:vAlign w:val="center"/>
          </w:tcPr>
          <w:p w14:paraId="136D66CC">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15A4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0306BBA5">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4CFB974C">
            <w:pPr>
              <w:adjustRightInd w:val="0"/>
              <w:snapToGrid w:val="0"/>
              <w:rPr>
                <w:rFonts w:asciiTheme="majorEastAsia" w:hAnsiTheme="majorEastAsia" w:eastAsiaTheme="majorEastAsia"/>
                <w:b/>
                <w:sz w:val="24"/>
                <w:szCs w:val="21"/>
              </w:rPr>
            </w:pPr>
          </w:p>
        </w:tc>
        <w:tc>
          <w:tcPr>
            <w:tcW w:w="7564" w:type="dxa"/>
            <w:gridSpan w:val="2"/>
            <w:shd w:val="clear" w:color="auto" w:fill="auto"/>
            <w:vAlign w:val="center"/>
          </w:tcPr>
          <w:p w14:paraId="0C006EE7">
            <w:pPr>
              <w:keepNext w:val="0"/>
              <w:keepLines w:val="0"/>
              <w:widowControl/>
              <w:suppressLineNumbers w:val="0"/>
              <w:autoSpaceDE w:val="0"/>
              <w:autoSpaceDN w:val="0"/>
              <w:adjustRightInd w:val="0"/>
              <w:spacing w:before="0" w:beforeAutospacing="0" w:after="0" w:afterAutospacing="0"/>
              <w:ind w:left="0" w:leftChars="0" w:right="0" w:rightChars="0"/>
              <w:jc w:val="left"/>
              <w:textAlignment w:val="center"/>
              <w:rPr>
                <w:rFonts w:ascii="宋体" w:hAnsi="宋体" w:cs="宋体"/>
                <w:b/>
                <w:color w:val="000000"/>
                <w:szCs w:val="21"/>
              </w:rPr>
            </w:pPr>
            <w:r>
              <w:rPr>
                <w:rFonts w:hint="eastAsia"/>
                <w:sz w:val="24"/>
                <w:szCs w:val="24"/>
              </w:rPr>
              <w:t>5、荧光灵敏度：FITC的荧光灵敏度少于</w:t>
            </w:r>
            <w:r>
              <w:rPr>
                <w:rFonts w:hint="default"/>
                <w:sz w:val="24"/>
                <w:szCs w:val="24"/>
              </w:rPr>
              <w:t>30</w:t>
            </w:r>
            <w:r>
              <w:rPr>
                <w:rFonts w:hint="eastAsia"/>
                <w:sz w:val="24"/>
                <w:szCs w:val="24"/>
              </w:rPr>
              <w:t xml:space="preserve"> MESF，PE的荧光灵敏度少于20MESF。</w:t>
            </w:r>
          </w:p>
        </w:tc>
        <w:tc>
          <w:tcPr>
            <w:tcW w:w="817" w:type="dxa"/>
            <w:shd w:val="clear" w:color="auto" w:fill="auto"/>
            <w:vAlign w:val="top"/>
          </w:tcPr>
          <w:p w14:paraId="1E5CF8FC">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18C8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1CF3BFCF">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4C935FA3">
            <w:pPr>
              <w:adjustRightInd w:val="0"/>
              <w:snapToGrid w:val="0"/>
              <w:rPr>
                <w:rFonts w:asciiTheme="majorEastAsia" w:hAnsiTheme="majorEastAsia" w:eastAsiaTheme="majorEastAsia"/>
                <w:b/>
                <w:sz w:val="24"/>
                <w:szCs w:val="21"/>
              </w:rPr>
            </w:pPr>
          </w:p>
        </w:tc>
        <w:tc>
          <w:tcPr>
            <w:tcW w:w="7564" w:type="dxa"/>
            <w:gridSpan w:val="2"/>
            <w:shd w:val="clear" w:color="auto" w:fill="auto"/>
            <w:vAlign w:val="center"/>
          </w:tcPr>
          <w:p w14:paraId="396775C5">
            <w:pPr>
              <w:keepNext w:val="0"/>
              <w:keepLines w:val="0"/>
              <w:widowControl/>
              <w:suppressLineNumbers w:val="0"/>
              <w:spacing w:before="0" w:beforeAutospacing="0" w:after="0" w:afterAutospacing="0"/>
              <w:ind w:left="0" w:leftChars="0" w:right="0" w:rightChars="0"/>
              <w:jc w:val="left"/>
              <w:textAlignment w:val="center"/>
              <w:rPr>
                <w:rFonts w:ascii="宋体" w:hAnsi="宋体" w:cs="宋体"/>
                <w:color w:val="000000"/>
                <w:szCs w:val="21"/>
              </w:rPr>
            </w:pPr>
            <w:r>
              <w:rPr>
                <w:rFonts w:hint="eastAsia"/>
                <w:sz w:val="24"/>
                <w:szCs w:val="24"/>
              </w:rPr>
              <w:t>6、</w:t>
            </w:r>
            <w:r>
              <w:rPr>
                <w:rFonts w:hint="eastAsia" w:ascii="宋体" w:hAnsi="宋体"/>
                <w:bCs/>
                <w:sz w:val="24"/>
                <w:szCs w:val="24"/>
              </w:rPr>
              <w:t>荧光分辨率：CV</w:t>
            </w:r>
            <w:r>
              <w:rPr>
                <w:rFonts w:hint="eastAsia"/>
                <w:sz w:val="24"/>
                <w:szCs w:val="24"/>
              </w:rPr>
              <w:t>≥</w:t>
            </w:r>
            <w:r>
              <w:rPr>
                <w:rFonts w:hint="eastAsia" w:ascii="宋体" w:hAnsi="宋体"/>
                <w:bCs/>
                <w:sz w:val="24"/>
                <w:szCs w:val="24"/>
              </w:rPr>
              <w:t>2</w:t>
            </w:r>
            <w:r>
              <w:rPr>
                <w:rFonts w:hint="default" w:ascii="宋体" w:hAnsi="宋体"/>
                <w:bCs/>
                <w:sz w:val="24"/>
                <w:szCs w:val="24"/>
              </w:rPr>
              <w:t>%</w:t>
            </w:r>
            <w:r>
              <w:rPr>
                <w:rFonts w:hint="eastAsia" w:ascii="宋体" w:hAnsi="宋体"/>
                <w:bCs/>
                <w:sz w:val="24"/>
                <w:szCs w:val="24"/>
              </w:rPr>
              <w:t>（G0/G1期最高峰）</w:t>
            </w:r>
          </w:p>
        </w:tc>
        <w:tc>
          <w:tcPr>
            <w:tcW w:w="817" w:type="dxa"/>
            <w:shd w:val="clear" w:color="auto" w:fill="auto"/>
            <w:vAlign w:val="top"/>
          </w:tcPr>
          <w:p w14:paraId="6FBC9BBB">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r>
              <w:rPr>
                <w:rFonts w:hint="default"/>
              </w:rPr>
              <w:t>▲</w:t>
            </w:r>
          </w:p>
        </w:tc>
      </w:tr>
      <w:tr w14:paraId="35E3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5CC676AF">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711EC6D8">
            <w:pPr>
              <w:adjustRightInd w:val="0"/>
              <w:snapToGrid w:val="0"/>
              <w:rPr>
                <w:rFonts w:asciiTheme="majorEastAsia" w:hAnsiTheme="majorEastAsia" w:eastAsiaTheme="majorEastAsia"/>
                <w:b/>
                <w:sz w:val="24"/>
                <w:szCs w:val="21"/>
              </w:rPr>
            </w:pPr>
          </w:p>
        </w:tc>
        <w:tc>
          <w:tcPr>
            <w:tcW w:w="7564" w:type="dxa"/>
            <w:gridSpan w:val="2"/>
            <w:shd w:val="clear" w:color="auto" w:fill="auto"/>
            <w:vAlign w:val="center"/>
          </w:tcPr>
          <w:p w14:paraId="5CE9C6E3">
            <w:pPr>
              <w:keepNext w:val="0"/>
              <w:keepLines w:val="0"/>
              <w:widowControl/>
              <w:suppressLineNumbers w:val="0"/>
              <w:spacing w:before="0" w:beforeAutospacing="0" w:after="0" w:afterAutospacing="0"/>
              <w:ind w:left="0" w:leftChars="0" w:right="0" w:rightChars="0"/>
              <w:jc w:val="left"/>
              <w:textAlignment w:val="center"/>
              <w:rPr>
                <w:rFonts w:ascii="宋体" w:hAnsi="宋体" w:cs="宋体"/>
                <w:color w:val="000000"/>
                <w:szCs w:val="21"/>
                <w:highlight w:val="none"/>
              </w:rPr>
            </w:pPr>
            <w:r>
              <w:rPr>
                <w:rFonts w:hint="eastAsia" w:ascii="宋体" w:hAnsi="宋体"/>
                <w:bCs/>
                <w:sz w:val="24"/>
                <w:szCs w:val="24"/>
                <w:highlight w:val="none"/>
              </w:rPr>
              <w:t>7、信号处理精度：</w:t>
            </w:r>
            <w:r>
              <w:rPr>
                <w:rFonts w:hint="default" w:ascii="宋体" w:hAnsi="宋体"/>
                <w:bCs/>
                <w:sz w:val="24"/>
                <w:szCs w:val="24"/>
                <w:highlight w:val="none"/>
              </w:rPr>
              <w:t>16,</w:t>
            </w:r>
            <w:r>
              <w:rPr>
                <w:rFonts w:hint="eastAsia" w:ascii="宋体" w:hAnsi="宋体"/>
                <w:bCs/>
                <w:sz w:val="24"/>
                <w:szCs w:val="24"/>
                <w:highlight w:val="none"/>
              </w:rPr>
              <w:t>000</w:t>
            </w:r>
            <w:r>
              <w:rPr>
                <w:rFonts w:hint="default" w:ascii="宋体" w:hAnsi="宋体"/>
                <w:bCs/>
                <w:sz w:val="24"/>
                <w:szCs w:val="24"/>
                <w:highlight w:val="none"/>
              </w:rPr>
              <w:t>,</w:t>
            </w:r>
            <w:r>
              <w:rPr>
                <w:rFonts w:hint="eastAsia" w:ascii="宋体" w:hAnsi="宋体"/>
                <w:bCs/>
                <w:sz w:val="24"/>
                <w:szCs w:val="24"/>
                <w:highlight w:val="none"/>
              </w:rPr>
              <w:t>000</w:t>
            </w:r>
            <w:r>
              <w:rPr>
                <w:rFonts w:hint="eastAsia" w:ascii="Arial" w:hAnsi="Arial" w:cs="Arial" w:eastAsiaTheme="minorEastAsia"/>
                <w:kern w:val="0"/>
                <w:sz w:val="24"/>
                <w:szCs w:val="24"/>
                <w:highlight w:val="none"/>
              </w:rPr>
              <w:t>道数字信号精度以上</w:t>
            </w:r>
          </w:p>
        </w:tc>
        <w:tc>
          <w:tcPr>
            <w:tcW w:w="817" w:type="dxa"/>
            <w:shd w:val="clear" w:color="auto" w:fill="auto"/>
            <w:vAlign w:val="center"/>
          </w:tcPr>
          <w:p w14:paraId="61FDFCB5">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3FFA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2F8A1CA2">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7E0B4F94">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5447F61D">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b/>
                <w:sz w:val="24"/>
                <w:szCs w:val="21"/>
                <w:highlight w:val="none"/>
              </w:rPr>
            </w:pPr>
            <w:r>
              <w:rPr>
                <w:rFonts w:hint="eastAsia"/>
                <w:sz w:val="24"/>
                <w:szCs w:val="24"/>
                <w:highlight w:val="none"/>
              </w:rPr>
              <w:t>8、至少达到10的7次方线性动态范围，</w:t>
            </w:r>
            <w:r>
              <w:rPr>
                <w:rFonts w:hint="default"/>
                <w:sz w:val="24"/>
                <w:szCs w:val="24"/>
                <w:highlight w:val="none"/>
              </w:rPr>
              <w:t>可以将高信号和低信号都完全显示在一张图</w:t>
            </w:r>
            <w:r>
              <w:rPr>
                <w:rFonts w:hint="eastAsia" w:ascii="宋体" w:hAnsi="宋体" w:cs="宋体"/>
                <w:sz w:val="24"/>
                <w:szCs w:val="24"/>
                <w:highlight w:val="none"/>
              </w:rPr>
              <w:t>上，</w:t>
            </w:r>
            <w:r>
              <w:rPr>
                <w:rFonts w:hint="eastAsia"/>
                <w:sz w:val="24"/>
                <w:szCs w:val="24"/>
                <w:highlight w:val="none"/>
              </w:rPr>
              <w:t>支持多色荧光信号共同采集，信号获取速度（上样速度）≥30,000个/秒，检测器采用全反射光学组件传递荧光信号，每个检测器前面仅配有带通滤光片</w:t>
            </w:r>
          </w:p>
        </w:tc>
        <w:tc>
          <w:tcPr>
            <w:tcW w:w="817" w:type="dxa"/>
            <w:shd w:val="clear" w:color="auto" w:fill="auto"/>
            <w:vAlign w:val="center"/>
          </w:tcPr>
          <w:p w14:paraId="02FDBFC0">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r>
              <w:rPr>
                <w:rFonts w:hint="default"/>
              </w:rPr>
              <w:t>▲</w:t>
            </w:r>
          </w:p>
        </w:tc>
      </w:tr>
      <w:tr w14:paraId="68AD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25A03AFC">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1A3676FC">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4D5591FE">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9、自动化上样系统，至少配备30管轮转盘自动化进样器，具有单管自动混匀和内外管壁自动清洗功能</w:t>
            </w:r>
          </w:p>
        </w:tc>
        <w:tc>
          <w:tcPr>
            <w:tcW w:w="817" w:type="dxa"/>
            <w:shd w:val="clear" w:color="auto" w:fill="auto"/>
            <w:vAlign w:val="center"/>
          </w:tcPr>
          <w:p w14:paraId="20B1D757">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2464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150AB5E6">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40822D76">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34721038">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b/>
                <w:sz w:val="24"/>
                <w:szCs w:val="21"/>
                <w:highlight w:val="none"/>
              </w:rPr>
            </w:pPr>
            <w:r>
              <w:rPr>
                <w:rFonts w:hint="eastAsia"/>
                <w:sz w:val="24"/>
                <w:szCs w:val="24"/>
                <w:highlight w:val="none"/>
              </w:rPr>
              <w:t>10、可支持多种常用的进样管，如5 mL的聚苯乙烯和聚丙烯流式管</w:t>
            </w:r>
            <w:r>
              <w:rPr>
                <w:rFonts w:hint="default"/>
                <w:sz w:val="24"/>
                <w:szCs w:val="24"/>
                <w:highlight w:val="none"/>
              </w:rPr>
              <w:t>,</w:t>
            </w:r>
            <w:r>
              <w:rPr>
                <w:rFonts w:hint="eastAsia"/>
                <w:sz w:val="24"/>
                <w:szCs w:val="24"/>
                <w:highlight w:val="none"/>
              </w:rPr>
              <w:t>1.5 mL 和 2 mL EP管，</w:t>
            </w:r>
            <w:r>
              <w:rPr>
                <w:rFonts w:hint="eastAsia" w:ascii="宋体" w:hAnsi="宋体"/>
                <w:bCs/>
                <w:sz w:val="24"/>
                <w:szCs w:val="24"/>
                <w:highlight w:val="none"/>
              </w:rPr>
              <w:t>内置自动化的液流系统维护程序，例如开关机程序、启动（初始化）、每日清洗、排气泡、反冲等全部由自动软件控制。</w:t>
            </w:r>
          </w:p>
        </w:tc>
        <w:tc>
          <w:tcPr>
            <w:tcW w:w="817" w:type="dxa"/>
            <w:shd w:val="clear" w:color="auto" w:fill="auto"/>
            <w:vAlign w:val="center"/>
          </w:tcPr>
          <w:p w14:paraId="08884346">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5CFA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08F31211">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149C32DB">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7161A05D">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ascii="宋体" w:hAnsi="宋体"/>
                <w:bCs/>
                <w:sz w:val="24"/>
                <w:szCs w:val="24"/>
                <w:highlight w:val="none"/>
              </w:rPr>
              <w:t>11、</w:t>
            </w:r>
            <w:r>
              <w:rPr>
                <w:rFonts w:hint="eastAsia"/>
                <w:sz w:val="24"/>
                <w:szCs w:val="24"/>
                <w:highlight w:val="none"/>
              </w:rPr>
              <w:t>使用超低脉冲蠕动泵式鞘液和样本液流系统</w:t>
            </w:r>
          </w:p>
        </w:tc>
        <w:tc>
          <w:tcPr>
            <w:tcW w:w="817" w:type="dxa"/>
            <w:shd w:val="clear" w:color="auto" w:fill="auto"/>
            <w:vAlign w:val="center"/>
          </w:tcPr>
          <w:p w14:paraId="62102515">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02FE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4BDEED41">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6456DE19">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5E7144DE">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12、样本流速，可选10、30、60μL/min，或自定义流速10-240 μL/min（需涵盖此范围），以 1 μL为增量单位</w:t>
            </w:r>
          </w:p>
        </w:tc>
        <w:tc>
          <w:tcPr>
            <w:tcW w:w="817" w:type="dxa"/>
            <w:shd w:val="clear" w:color="auto" w:fill="auto"/>
            <w:vAlign w:val="center"/>
          </w:tcPr>
          <w:p w14:paraId="3393181A">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16AB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79B864AE">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47974CE3">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17535109">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13、操作系统：Window 7或以上版本</w:t>
            </w:r>
          </w:p>
        </w:tc>
        <w:tc>
          <w:tcPr>
            <w:tcW w:w="817" w:type="dxa"/>
            <w:shd w:val="clear" w:color="auto" w:fill="auto"/>
            <w:vAlign w:val="center"/>
          </w:tcPr>
          <w:p w14:paraId="7666FE14">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658D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4F8F88F2">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77924281">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04EFCDDC">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14、支持中英文操作界面，全部采用图形化参数调节</w:t>
            </w:r>
          </w:p>
        </w:tc>
        <w:tc>
          <w:tcPr>
            <w:tcW w:w="817" w:type="dxa"/>
            <w:shd w:val="clear" w:color="auto" w:fill="auto"/>
            <w:vAlign w:val="center"/>
          </w:tcPr>
          <w:p w14:paraId="4120F2DD">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31F5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23B26965">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67EA5483">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2C1F7E3A">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15、全自动质控程序：内置的质控程序自动检测仪器配置，激光器功率、激光延迟、每个通道的rCV值、增益值和平均荧光强度等</w:t>
            </w:r>
          </w:p>
        </w:tc>
        <w:tc>
          <w:tcPr>
            <w:tcW w:w="817" w:type="dxa"/>
            <w:shd w:val="clear" w:color="auto" w:fill="auto"/>
            <w:vAlign w:val="center"/>
          </w:tcPr>
          <w:p w14:paraId="5772F59F">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73A4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5E53E403">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73C67E67">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5E26509E">
            <w:pPr>
              <w:keepNext w:val="0"/>
              <w:keepLines w:val="0"/>
              <w:widowControl/>
              <w:suppressLineNumbers w:val="0"/>
              <w:autoSpaceDE w:val="0"/>
              <w:autoSpaceDN w:val="0"/>
              <w:adjustRightInd w:val="0"/>
              <w:snapToGrid w:val="0"/>
              <w:spacing w:before="0" w:beforeAutospacing="0" w:after="0" w:afterAutospacing="0"/>
              <w:ind w:left="0" w:leftChars="0" w:right="0" w:rightChars="0"/>
              <w:jc w:val="left"/>
              <w:rPr>
                <w:rFonts w:asciiTheme="majorEastAsia" w:hAnsiTheme="majorEastAsia" w:eastAsiaTheme="majorEastAsia"/>
                <w:b/>
                <w:sz w:val="24"/>
                <w:szCs w:val="21"/>
                <w:highlight w:val="none"/>
              </w:rPr>
            </w:pPr>
            <w:r>
              <w:rPr>
                <w:rFonts w:hint="eastAsia"/>
                <w:sz w:val="24"/>
                <w:szCs w:val="24"/>
                <w:highlight w:val="none"/>
              </w:rPr>
              <w:t>16、补偿调节：全矩阵荧光补偿，可脱机补偿，自动补偿。支持补偿库功能，可以存储多色实验中荧光染料的溢出值；在新的实验中，可以调用库中任一补偿值组合成新的补偿矩阵，不用再新建单标管上样调补偿</w:t>
            </w:r>
          </w:p>
        </w:tc>
        <w:tc>
          <w:tcPr>
            <w:tcW w:w="817" w:type="dxa"/>
            <w:shd w:val="clear" w:color="auto" w:fill="auto"/>
            <w:vAlign w:val="center"/>
          </w:tcPr>
          <w:p w14:paraId="338E3976">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21D4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5B03B406">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6F7A99E6">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5C730318">
            <w:pPr>
              <w:keepNext w:val="0"/>
              <w:keepLines w:val="0"/>
              <w:widowControl/>
              <w:suppressLineNumbers w:val="0"/>
              <w:autoSpaceDE w:val="0"/>
              <w:autoSpaceDN w:val="0"/>
              <w:adjustRightInd w:val="0"/>
              <w:snapToGrid w:val="0"/>
              <w:spacing w:before="0" w:beforeAutospacing="0" w:after="0" w:afterAutospacing="0"/>
              <w:ind w:left="0" w:leftChars="0" w:right="0" w:rightChars="0"/>
              <w:jc w:val="left"/>
              <w:rPr>
                <w:rFonts w:asciiTheme="majorEastAsia" w:hAnsiTheme="majorEastAsia" w:eastAsiaTheme="majorEastAsia"/>
                <w:b/>
                <w:sz w:val="24"/>
                <w:szCs w:val="21"/>
                <w:highlight w:val="none"/>
              </w:rPr>
            </w:pPr>
            <w:r>
              <w:rPr>
                <w:rFonts w:hint="eastAsia"/>
                <w:sz w:val="24"/>
                <w:szCs w:val="24"/>
                <w:highlight w:val="none"/>
              </w:rPr>
              <w:t>17、电压支持手动调节及自动调节，当电压改动后，补偿值会随之自动调整到正确的结果</w:t>
            </w:r>
          </w:p>
        </w:tc>
        <w:tc>
          <w:tcPr>
            <w:tcW w:w="817" w:type="dxa"/>
            <w:shd w:val="clear" w:color="auto" w:fill="auto"/>
            <w:vAlign w:val="center"/>
          </w:tcPr>
          <w:p w14:paraId="026066DA">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4B98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0D59CFD0">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6362531B">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437D3DA5">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18、基本分析软件功能：至少具备直方图及散点图形叠加功能；至少具备细胞绝对数分析、IQ自动GATE分析、伪彩色图分析、RATIO分析、去粘连分析功能</w:t>
            </w:r>
          </w:p>
        </w:tc>
        <w:tc>
          <w:tcPr>
            <w:tcW w:w="817" w:type="dxa"/>
            <w:shd w:val="clear" w:color="auto" w:fill="auto"/>
            <w:vAlign w:val="center"/>
          </w:tcPr>
          <w:p w14:paraId="124BFD34">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1524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shd w:val="clear" w:color="auto" w:fill="auto"/>
          </w:tcPr>
          <w:p w14:paraId="27080B6A">
            <w:pPr>
              <w:adjustRightInd w:val="0"/>
              <w:snapToGrid w:val="0"/>
              <w:rPr>
                <w:rFonts w:asciiTheme="majorEastAsia" w:hAnsiTheme="majorEastAsia" w:eastAsiaTheme="majorEastAsia"/>
                <w:b/>
                <w:sz w:val="24"/>
                <w:szCs w:val="21"/>
              </w:rPr>
            </w:pPr>
          </w:p>
        </w:tc>
        <w:tc>
          <w:tcPr>
            <w:tcW w:w="935" w:type="dxa"/>
            <w:vMerge w:val="continue"/>
            <w:shd w:val="clear" w:color="auto" w:fill="auto"/>
          </w:tcPr>
          <w:p w14:paraId="0881DCFD">
            <w:pPr>
              <w:adjustRightInd w:val="0"/>
              <w:snapToGrid w:val="0"/>
              <w:rPr>
                <w:rFonts w:asciiTheme="majorEastAsia" w:hAnsiTheme="majorEastAsia" w:eastAsiaTheme="majorEastAsia"/>
                <w:b/>
                <w:sz w:val="24"/>
                <w:szCs w:val="21"/>
              </w:rPr>
            </w:pPr>
          </w:p>
        </w:tc>
        <w:tc>
          <w:tcPr>
            <w:tcW w:w="7564" w:type="dxa"/>
            <w:gridSpan w:val="2"/>
            <w:shd w:val="clear" w:color="auto" w:fill="auto"/>
            <w:vAlign w:val="top"/>
          </w:tcPr>
          <w:p w14:paraId="1ED242C0">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highlight w:val="none"/>
              </w:rPr>
            </w:pPr>
            <w:r>
              <w:rPr>
                <w:rFonts w:hint="eastAsia"/>
                <w:sz w:val="24"/>
                <w:szCs w:val="24"/>
                <w:highlight w:val="none"/>
              </w:rPr>
              <w:t>19、软件分析报告：可导出PDF、电子表格、矢量图等多种文件格式，具有层级关系分析报告功能，能将所有荧光参数表达结果的各种组合全部显示在一张图上，具有批量处理报告的功能</w:t>
            </w:r>
          </w:p>
        </w:tc>
        <w:tc>
          <w:tcPr>
            <w:tcW w:w="817" w:type="dxa"/>
            <w:shd w:val="clear" w:color="auto" w:fill="auto"/>
            <w:vAlign w:val="center"/>
          </w:tcPr>
          <w:p w14:paraId="4F8AC33D">
            <w:pPr>
              <w:keepNext w:val="0"/>
              <w:keepLines w:val="0"/>
              <w:suppressLineNumbers w:val="0"/>
              <w:adjustRightInd w:val="0"/>
              <w:snapToGrid w:val="0"/>
              <w:spacing w:before="0" w:beforeAutospacing="0" w:after="0" w:afterAutospacing="0"/>
              <w:ind w:left="0" w:leftChars="0" w:right="0" w:rightChars="0"/>
              <w:rPr>
                <w:rFonts w:asciiTheme="majorEastAsia" w:hAnsiTheme="majorEastAsia" w:eastAsiaTheme="majorEastAsia"/>
                <w:b/>
                <w:sz w:val="24"/>
                <w:szCs w:val="21"/>
              </w:rPr>
            </w:pPr>
          </w:p>
        </w:tc>
      </w:tr>
      <w:tr w14:paraId="1693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6" w:type="dxa"/>
            <w:gridSpan w:val="5"/>
            <w:shd w:val="clear" w:color="auto" w:fill="auto"/>
          </w:tcPr>
          <w:p w14:paraId="3AEE16D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8"/>
                <w:szCs w:val="21"/>
              </w:rPr>
              <w:t>二、</w:t>
            </w:r>
            <w:r>
              <w:rPr>
                <w:rFonts w:hint="eastAsia" w:cs="宋体" w:asciiTheme="majorEastAsia" w:hAnsiTheme="majorEastAsia" w:eastAsiaTheme="majorEastAsia"/>
                <w:sz w:val="24"/>
              </w:rPr>
              <w:t>★</w:t>
            </w:r>
            <w:r>
              <w:rPr>
                <w:rFonts w:hint="eastAsia" w:asciiTheme="majorEastAsia" w:hAnsiTheme="majorEastAsia" w:eastAsiaTheme="majorEastAsia"/>
                <w:b/>
                <w:sz w:val="28"/>
                <w:szCs w:val="21"/>
              </w:rPr>
              <w:t>商务需求</w:t>
            </w:r>
          </w:p>
        </w:tc>
      </w:tr>
      <w:tr w14:paraId="3BD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5501EBE5">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gridSpan w:val="2"/>
            <w:shd w:val="clear" w:color="auto" w:fill="auto"/>
          </w:tcPr>
          <w:p w14:paraId="5838CB05">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合同签订后并接采购人通知</w:t>
            </w:r>
            <w:r>
              <w:rPr>
                <w:rFonts w:hint="eastAsia" w:asciiTheme="majorEastAsia" w:hAnsiTheme="majorEastAsia" w:eastAsiaTheme="majorEastAsia"/>
                <w:b/>
                <w:sz w:val="24"/>
                <w:szCs w:val="21"/>
                <w:u w:val="single"/>
              </w:rPr>
              <w:t>_30_</w:t>
            </w:r>
            <w:r>
              <w:rPr>
                <w:rFonts w:hint="eastAsia" w:asciiTheme="majorEastAsia" w:hAnsiTheme="majorEastAsia" w:eastAsiaTheme="majorEastAsia"/>
                <w:b/>
                <w:sz w:val="24"/>
                <w:szCs w:val="21"/>
              </w:rPr>
              <w:t>日历日内。</w:t>
            </w:r>
          </w:p>
        </w:tc>
      </w:tr>
      <w:tr w14:paraId="5AEB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011259F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gridSpan w:val="2"/>
            <w:shd w:val="clear" w:color="auto" w:fill="auto"/>
          </w:tcPr>
          <w:p w14:paraId="6F524F92">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5261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18C009F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gridSpan w:val="2"/>
            <w:shd w:val="clear" w:color="auto" w:fill="auto"/>
          </w:tcPr>
          <w:p w14:paraId="3F5AF9F3">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1E25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65" w:type="dxa"/>
            <w:gridSpan w:val="3"/>
            <w:shd w:val="clear" w:color="auto" w:fill="auto"/>
          </w:tcPr>
          <w:p w14:paraId="05E36DD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gridSpan w:val="2"/>
            <w:shd w:val="clear" w:color="auto" w:fill="auto"/>
          </w:tcPr>
          <w:p w14:paraId="3F69BFD5">
            <w:pPr>
              <w:adjustRightInd w:val="0"/>
              <w:snapToGrid w:val="0"/>
              <w:rPr>
                <w:rFonts w:asciiTheme="minorEastAsia" w:hAnsiTheme="minorEastAsia" w:eastAsiaTheme="minorEastAsia"/>
                <w:bCs/>
                <w:szCs w:val="21"/>
              </w:rPr>
            </w:pPr>
            <w:r>
              <w:rPr>
                <w:rFonts w:hint="eastAsia" w:asciiTheme="minorEastAsia" w:hAnsiTheme="minorEastAsia" w:eastAsiaTheme="minorEastAsia"/>
                <w:bCs/>
                <w:szCs w:val="21"/>
              </w:rPr>
              <w:t>合同总价≥3万付款方式：</w:t>
            </w:r>
          </w:p>
          <w:p w14:paraId="56F1345B">
            <w:pPr>
              <w:adjustRightInd w:val="0"/>
              <w:snapToGrid w:val="0"/>
              <w:rPr>
                <w:rFonts w:asciiTheme="minorEastAsia" w:hAnsiTheme="minorEastAsia" w:eastAsiaTheme="minorEastAsia"/>
                <w:bCs/>
                <w:szCs w:val="21"/>
              </w:rPr>
            </w:pPr>
            <w:r>
              <w:rPr>
                <w:rFonts w:hint="eastAsia" w:asciiTheme="minorEastAsia" w:hAnsiTheme="minorEastAsia" w:eastAsiaTheme="minorEastAsia"/>
                <w:bCs/>
                <w:szCs w:val="21"/>
              </w:rPr>
              <w:t>合同签订后三个工作日内，中标人将采购合同总价5%的履约保证金汇入采购人指定账户。货到清点、安装调试验收合格正常使用后，出具全额发票，采购人凭中标人提供的完整资料，自发票到达采购人财务之日起10个工作日内，支付100%合同货款到中标人指定账户。</w:t>
            </w:r>
          </w:p>
          <w:p w14:paraId="7E726910">
            <w:pPr>
              <w:adjustRightInd w:val="0"/>
              <w:snapToGrid w:val="0"/>
              <w:rPr>
                <w:rFonts w:asciiTheme="minorEastAsia" w:hAnsiTheme="minorEastAsia" w:eastAsiaTheme="minorEastAsia"/>
                <w:bCs/>
                <w:szCs w:val="21"/>
              </w:rPr>
            </w:pPr>
            <w:r>
              <w:rPr>
                <w:rFonts w:hint="eastAsia" w:asciiTheme="minorEastAsia" w:hAnsiTheme="minorEastAsia" w:eastAsiaTheme="minorEastAsia"/>
                <w:bCs/>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义务事项期间未发生中标人不履行或不妥善履行合同约定义务的情况，在中标人履行完毕合同约定义务事项后，中标人向采购人提供完整资料到达采购人财务之日起10个工作日内，采购人将履约保证金无息返还给中标人。</w:t>
            </w:r>
          </w:p>
          <w:p w14:paraId="06357B22">
            <w:pPr>
              <w:adjustRightInd w:val="0"/>
              <w:snapToGrid w:val="0"/>
              <w:rPr>
                <w:rFonts w:asciiTheme="minorEastAsia" w:hAnsiTheme="minorEastAsia" w:eastAsiaTheme="minorEastAsia"/>
                <w:bCs/>
                <w:szCs w:val="21"/>
              </w:rPr>
            </w:pPr>
            <w:r>
              <w:rPr>
                <w:rFonts w:hint="eastAsia" w:asciiTheme="minorEastAsia" w:hAnsiTheme="minorEastAsia" w:eastAsiaTheme="minorEastAsia"/>
                <w:bCs/>
                <w:szCs w:val="21"/>
              </w:rPr>
              <w:t>合同总价＜3万付款方式：</w:t>
            </w:r>
          </w:p>
          <w:p w14:paraId="22FD2A6B">
            <w:pPr>
              <w:adjustRightInd w:val="0"/>
              <w:snapToGrid w:val="0"/>
              <w:rPr>
                <w:rFonts w:asciiTheme="majorEastAsia" w:hAnsiTheme="majorEastAsia" w:eastAsiaTheme="majorEastAsia"/>
                <w:b/>
                <w:sz w:val="24"/>
                <w:szCs w:val="21"/>
              </w:rPr>
            </w:pPr>
            <w:r>
              <w:rPr>
                <w:rFonts w:hint="eastAsia" w:asciiTheme="minorEastAsia" w:hAnsiTheme="minorEastAsia" w:eastAsiaTheme="minorEastAsia"/>
                <w:bCs/>
                <w:szCs w:val="21"/>
              </w:rPr>
              <w:t>货到清点、安装调试验收合格正常使用后，出具全额发票，采购人凭中标人提供的完整资料，自发票到达采购人财务之日起10个工作日内，支付100%合同货款到中标人指定账户。</w:t>
            </w:r>
          </w:p>
        </w:tc>
      </w:tr>
      <w:tr w14:paraId="5DC2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466E14C9">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gridSpan w:val="2"/>
            <w:shd w:val="clear" w:color="auto" w:fill="auto"/>
          </w:tcPr>
          <w:p w14:paraId="3586B3A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维护手册（含维修密码及接口数据）等维护维修必需的材料和信息。所有外文资料需提供中文译本。文件应随货物一并交付至采购人指定地点。</w:t>
            </w:r>
          </w:p>
          <w:p w14:paraId="60364C9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若无法提供12个月内的产品，则采购人有权要求延长相应期限的产品保修期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317905E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39F23FC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4882652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14:paraId="4DD6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0D9AB9F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gridSpan w:val="2"/>
            <w:shd w:val="clear" w:color="auto" w:fill="auto"/>
          </w:tcPr>
          <w:p w14:paraId="0E4F620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304B8C4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1C8FD22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0C83238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5F116ED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266628A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1A6357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5792A7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1C904E1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14:paraId="5E41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5F8B5774">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30EB1DAE">
            <w:pPr>
              <w:adjustRightInd w:val="0"/>
              <w:snapToGrid w:val="0"/>
              <w:rPr>
                <w:rFonts w:asciiTheme="majorEastAsia" w:hAnsiTheme="majorEastAsia" w:eastAsiaTheme="majorEastAsia"/>
                <w:sz w:val="24"/>
                <w:szCs w:val="21"/>
              </w:rPr>
            </w:pPr>
          </w:p>
        </w:tc>
        <w:tc>
          <w:tcPr>
            <w:tcW w:w="8261" w:type="dxa"/>
            <w:gridSpan w:val="2"/>
            <w:shd w:val="clear" w:color="auto" w:fill="auto"/>
          </w:tcPr>
          <w:p w14:paraId="460EBE9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shd w:val="clear" w:color="auto" w:fill="FFFF00"/>
              </w:rPr>
              <w:t>各投标人应在投标文件中承诺</w:t>
            </w:r>
            <w:r>
              <w:rPr>
                <w:rFonts w:hint="eastAsia" w:ascii="宋体" w:hAnsi="宋体"/>
                <w:bCs/>
                <w:color w:val="0070C0"/>
                <w:szCs w:val="21"/>
                <w:shd w:val="clear" w:color="auto" w:fill="FFFF00"/>
              </w:rPr>
              <w:t>报价已包含提供整机原厂保修期</w:t>
            </w:r>
            <w:r>
              <w:rPr>
                <w:rFonts w:hint="eastAsia" w:asciiTheme="minorEastAsia" w:hAnsiTheme="minorEastAsia" w:eastAsiaTheme="minorEastAsia"/>
                <w:bCs/>
                <w:color w:val="FF0000"/>
                <w:szCs w:val="21"/>
                <w:u w:val="single"/>
                <w:shd w:val="clear" w:color="auto" w:fill="FFFF00"/>
              </w:rPr>
              <w:t xml:space="preserve"> </w:t>
            </w:r>
            <w:r>
              <w:rPr>
                <w:rFonts w:hint="eastAsia" w:asciiTheme="minorEastAsia" w:hAnsiTheme="minorEastAsia" w:eastAsiaTheme="minorEastAsia"/>
                <w:bCs/>
                <w:color w:val="FF0000"/>
                <w:szCs w:val="21"/>
                <w:u w:val="single"/>
                <w:shd w:val="clear" w:color="auto" w:fill="FFFF00"/>
                <w:lang w:val="en-US" w:eastAsia="zh-CN"/>
              </w:rPr>
              <w:t xml:space="preserve">   </w:t>
            </w:r>
            <w:r>
              <w:rPr>
                <w:rFonts w:hint="eastAsia" w:asciiTheme="minorEastAsia" w:hAnsiTheme="minorEastAsia" w:eastAsiaTheme="minorEastAsia"/>
                <w:bCs/>
                <w:color w:val="FF0000"/>
                <w:szCs w:val="21"/>
                <w:u w:val="single"/>
                <w:shd w:val="clear" w:color="auto" w:fill="FFFF00"/>
              </w:rPr>
              <w:t xml:space="preserve"> </w:t>
            </w:r>
            <w:r>
              <w:rPr>
                <w:rFonts w:hint="eastAsia" w:asciiTheme="minorEastAsia" w:hAnsiTheme="minorEastAsia" w:eastAsiaTheme="minorEastAsia"/>
                <w:bCs/>
                <w:color w:val="FF0000"/>
                <w:szCs w:val="21"/>
                <w:shd w:val="clear" w:color="auto" w:fill="FFFF00"/>
              </w:rPr>
              <w:t>年</w:t>
            </w:r>
            <w:bookmarkStart w:id="0" w:name="_GoBack"/>
            <w:r>
              <w:rPr>
                <w:rFonts w:hint="eastAsia" w:asciiTheme="minorEastAsia" w:hAnsiTheme="minorEastAsia" w:eastAsiaTheme="minorEastAsia"/>
                <w:bCs/>
                <w:color w:val="FF0000"/>
                <w:szCs w:val="21"/>
                <w:u w:val="none"/>
                <w:shd w:val="clear" w:color="auto" w:fill="FFFF00"/>
              </w:rPr>
              <w:t>（</w:t>
            </w:r>
            <w:r>
              <w:rPr>
                <w:rFonts w:hint="eastAsia" w:ascii="宋体" w:hAnsi="宋体"/>
                <w:bCs/>
                <w:color w:val="FF0000"/>
                <w:szCs w:val="21"/>
                <w:u w:val="none"/>
                <w:shd w:val="clear" w:color="auto" w:fill="FFFF00"/>
              </w:rPr>
              <w:t>填写的</w:t>
            </w:r>
            <w:r>
              <w:rPr>
                <w:rFonts w:hint="eastAsia" w:asciiTheme="minorEastAsia" w:hAnsiTheme="minorEastAsia" w:eastAsiaTheme="minorEastAsia"/>
                <w:bCs/>
                <w:color w:val="FF0000"/>
                <w:szCs w:val="21"/>
                <w:u w:val="none"/>
                <w:shd w:val="clear" w:color="auto" w:fill="FFFF00"/>
              </w:rPr>
              <w:t>数值≥3年）</w:t>
            </w:r>
            <w:bookmarkEnd w:id="0"/>
            <w:r>
              <w:rPr>
                <w:rFonts w:hint="eastAsia" w:asciiTheme="minorEastAsia" w:hAnsiTheme="minorEastAsia" w:eastAsiaTheme="minorEastAsia"/>
                <w:bCs/>
                <w:color w:val="FF0000"/>
                <w:szCs w:val="21"/>
                <w:lang w:eastAsia="zh-CN"/>
              </w:rPr>
              <w:t>，</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D7327B2">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360F80D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1A8914F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709F98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6CA66A7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05607CF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14:paraId="7E1C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3EAC91B6">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gridSpan w:val="2"/>
            <w:shd w:val="clear" w:color="auto" w:fill="auto"/>
          </w:tcPr>
          <w:p w14:paraId="3415EAF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7E31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shd w:val="clear" w:color="auto" w:fill="auto"/>
          </w:tcPr>
          <w:p w14:paraId="765D5D7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gridSpan w:val="2"/>
            <w:shd w:val="clear" w:color="auto" w:fill="auto"/>
          </w:tcPr>
          <w:p w14:paraId="4D1A8D6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848E80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14:paraId="4F9E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65" w:type="dxa"/>
            <w:gridSpan w:val="3"/>
            <w:tcBorders>
              <w:bottom w:val="single" w:color="auto" w:sz="4" w:space="0"/>
            </w:tcBorders>
            <w:shd w:val="clear" w:color="auto" w:fill="auto"/>
          </w:tcPr>
          <w:p w14:paraId="138FD26D">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gridSpan w:val="2"/>
            <w:tcBorders>
              <w:bottom w:val="single" w:color="auto" w:sz="4" w:space="0"/>
            </w:tcBorders>
            <w:shd w:val="clear" w:color="auto" w:fill="auto"/>
          </w:tcPr>
          <w:p w14:paraId="05BEF28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127CB13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D482D1D">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1CB5A7A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14:paraId="6F65A2C1">
      <w:pPr>
        <w:adjustRightInd w:val="0"/>
        <w:snapToGrid w:val="0"/>
        <w:jc w:val="center"/>
        <w:rPr>
          <w:rFonts w:hint="eastAsia" w:cs="方正小标宋简体" w:asciiTheme="majorEastAsia" w:hAnsiTheme="majorEastAsia" w:eastAsiaTheme="majorEastAsia"/>
          <w:b/>
          <w:sz w:val="36"/>
          <w:szCs w:val="36"/>
        </w:rPr>
      </w:pPr>
    </w:p>
    <w:sectPr>
      <w:footerReference r:id="rId3" w:type="default"/>
      <w:pgSz w:w="11906" w:h="16838"/>
      <w:pgMar w:top="284" w:right="851" w:bottom="284" w:left="851" w:header="0" w:footer="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A29490-8A61-42EC-B262-F3A2EAFB32CA}"/>
  </w:font>
  <w:font w:name="Arial">
    <w:panose1 w:val="020B0604020202020204"/>
    <w:charset w:val="01"/>
    <w:family w:val="swiss"/>
    <w:pitch w:val="default"/>
    <w:sig w:usb0="E0002EFF" w:usb1="C000785B" w:usb2="00000009" w:usb3="00000000" w:csb0="400001FF" w:csb1="FFFF0000"/>
    <w:embedRegular r:id="rId2" w:fontKey="{A6C81F46-60ED-4554-9BFD-A2F4692408F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5F4C7F0-5FA8-4BEB-8DEC-4359C018ED3E}"/>
  </w:font>
  <w:font w:name="Symbol">
    <w:panose1 w:val="05050102010706020507"/>
    <w:charset w:val="02"/>
    <w:family w:val="roman"/>
    <w:pitch w:val="default"/>
    <w:sig w:usb0="00000000" w:usb1="00000000" w:usb2="00000000" w:usb3="00000000" w:csb0="80000000" w:csb1="00000000"/>
    <w:embedRegular r:id="rId4" w:fontKey="{4F34355F-8F16-464D-AE8C-F0258D53E7C3}"/>
  </w:font>
  <w:font w:name="Calibri">
    <w:panose1 w:val="020F0502020204030204"/>
    <w:charset w:val="00"/>
    <w:family w:val="swiss"/>
    <w:pitch w:val="default"/>
    <w:sig w:usb0="E4002EFF" w:usb1="C000247B" w:usb2="00000009" w:usb3="00000000" w:csb0="200001FF" w:csb1="00000000"/>
    <w:embedRegular r:id="rId5" w:fontKey="{C79647B3-52A0-4120-B499-D2085A6E3172}"/>
  </w:font>
  <w:font w:name="Tahoma">
    <w:panose1 w:val="020B0604030504040204"/>
    <w:charset w:val="00"/>
    <w:family w:val="swiss"/>
    <w:pitch w:val="default"/>
    <w:sig w:usb0="E1002EFF" w:usb1="C000605B" w:usb2="00000029" w:usb3="00000000" w:csb0="200101FF" w:csb1="20280000"/>
    <w:embedRegular r:id="rId6" w:fontKey="{9ED8BA68-00AF-4B9A-9B40-81AA0E792CFB}"/>
  </w:font>
  <w:font w:name="Microsoft JhengHei UI Light">
    <w:panose1 w:val="020B0304030504040204"/>
    <w:charset w:val="88"/>
    <w:family w:val="swiss"/>
    <w:pitch w:val="default"/>
    <w:sig w:usb0="800002A7" w:usb1="28CF4400" w:usb2="00000016" w:usb3="00000000" w:csb0="00100009"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5192"/>
    </w:sdtPr>
    <w:sdtContent>
      <w:sdt>
        <w:sdtPr>
          <w:id w:val="171357217"/>
        </w:sdtPr>
        <w:sdtContent>
          <w:p w14:paraId="0B6A4B17">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w:t>
            </w:r>
            <w:r>
              <w:rPr>
                <w:b/>
                <w:sz w:val="24"/>
                <w:szCs w:val="24"/>
              </w:rPr>
              <w:fldChar w:fldCharType="end"/>
            </w:r>
          </w:p>
        </w:sdtContent>
      </w:sdt>
    </w:sdtContent>
  </w:sdt>
  <w:p w14:paraId="135FFA4D">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870740"/>
    <w:multiLevelType w:val="singleLevel"/>
    <w:tmpl w:val="5B870740"/>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403"/>
    <w:rsid w:val="00005907"/>
    <w:rsid w:val="00007F09"/>
    <w:rsid w:val="00014A66"/>
    <w:rsid w:val="000170C1"/>
    <w:rsid w:val="00021B63"/>
    <w:rsid w:val="00022431"/>
    <w:rsid w:val="00024E35"/>
    <w:rsid w:val="00027536"/>
    <w:rsid w:val="00027A10"/>
    <w:rsid w:val="0003257D"/>
    <w:rsid w:val="00047765"/>
    <w:rsid w:val="00056650"/>
    <w:rsid w:val="000910F0"/>
    <w:rsid w:val="00091320"/>
    <w:rsid w:val="00094BE5"/>
    <w:rsid w:val="000B173B"/>
    <w:rsid w:val="000C2EB1"/>
    <w:rsid w:val="000D332B"/>
    <w:rsid w:val="000D486B"/>
    <w:rsid w:val="000D528A"/>
    <w:rsid w:val="000E2EEF"/>
    <w:rsid w:val="000E61C2"/>
    <w:rsid w:val="000E6D84"/>
    <w:rsid w:val="00100E5F"/>
    <w:rsid w:val="00114A9B"/>
    <w:rsid w:val="00117159"/>
    <w:rsid w:val="00117B29"/>
    <w:rsid w:val="00122AB5"/>
    <w:rsid w:val="00133903"/>
    <w:rsid w:val="00141F0D"/>
    <w:rsid w:val="001475CE"/>
    <w:rsid w:val="00147AA8"/>
    <w:rsid w:val="00147DE0"/>
    <w:rsid w:val="00162C8C"/>
    <w:rsid w:val="00164210"/>
    <w:rsid w:val="0017347E"/>
    <w:rsid w:val="00173505"/>
    <w:rsid w:val="001755A1"/>
    <w:rsid w:val="0018628F"/>
    <w:rsid w:val="001B112F"/>
    <w:rsid w:val="001B29FF"/>
    <w:rsid w:val="001E1701"/>
    <w:rsid w:val="001F45BE"/>
    <w:rsid w:val="001F5D4E"/>
    <w:rsid w:val="00201CE8"/>
    <w:rsid w:val="00207531"/>
    <w:rsid w:val="00213A4E"/>
    <w:rsid w:val="00214240"/>
    <w:rsid w:val="0022066A"/>
    <w:rsid w:val="00223188"/>
    <w:rsid w:val="002243DF"/>
    <w:rsid w:val="0024191C"/>
    <w:rsid w:val="00244C7F"/>
    <w:rsid w:val="00262E90"/>
    <w:rsid w:val="002850D0"/>
    <w:rsid w:val="002956A8"/>
    <w:rsid w:val="0029701C"/>
    <w:rsid w:val="00297C31"/>
    <w:rsid w:val="002B3785"/>
    <w:rsid w:val="002B4AF0"/>
    <w:rsid w:val="002F5D5E"/>
    <w:rsid w:val="003033D8"/>
    <w:rsid w:val="00307648"/>
    <w:rsid w:val="003213BB"/>
    <w:rsid w:val="00321F08"/>
    <w:rsid w:val="00322AE6"/>
    <w:rsid w:val="00326BC1"/>
    <w:rsid w:val="00334AA0"/>
    <w:rsid w:val="00352B55"/>
    <w:rsid w:val="00354F4C"/>
    <w:rsid w:val="00376AC2"/>
    <w:rsid w:val="003942D3"/>
    <w:rsid w:val="0039648A"/>
    <w:rsid w:val="003D442D"/>
    <w:rsid w:val="003D7EF0"/>
    <w:rsid w:val="004164F9"/>
    <w:rsid w:val="00423853"/>
    <w:rsid w:val="00423C2F"/>
    <w:rsid w:val="00446E5F"/>
    <w:rsid w:val="00455236"/>
    <w:rsid w:val="00456EA0"/>
    <w:rsid w:val="00465CFB"/>
    <w:rsid w:val="00465E46"/>
    <w:rsid w:val="00472034"/>
    <w:rsid w:val="00497BF4"/>
    <w:rsid w:val="004B1081"/>
    <w:rsid w:val="004B3240"/>
    <w:rsid w:val="004B3CFF"/>
    <w:rsid w:val="004C1160"/>
    <w:rsid w:val="004C74AE"/>
    <w:rsid w:val="004D0A11"/>
    <w:rsid w:val="004E0D21"/>
    <w:rsid w:val="004F46AD"/>
    <w:rsid w:val="004F6661"/>
    <w:rsid w:val="00504B0F"/>
    <w:rsid w:val="00511DC2"/>
    <w:rsid w:val="00523CD5"/>
    <w:rsid w:val="005275A8"/>
    <w:rsid w:val="00535190"/>
    <w:rsid w:val="0053721B"/>
    <w:rsid w:val="00542363"/>
    <w:rsid w:val="00543959"/>
    <w:rsid w:val="0055112D"/>
    <w:rsid w:val="00553925"/>
    <w:rsid w:val="005666F4"/>
    <w:rsid w:val="005675B0"/>
    <w:rsid w:val="005772ED"/>
    <w:rsid w:val="00590721"/>
    <w:rsid w:val="00597CA2"/>
    <w:rsid w:val="005C211C"/>
    <w:rsid w:val="005C239D"/>
    <w:rsid w:val="005C57CC"/>
    <w:rsid w:val="005D1F81"/>
    <w:rsid w:val="00603257"/>
    <w:rsid w:val="0060593D"/>
    <w:rsid w:val="006231CE"/>
    <w:rsid w:val="00651D42"/>
    <w:rsid w:val="00654133"/>
    <w:rsid w:val="00662021"/>
    <w:rsid w:val="00662B11"/>
    <w:rsid w:val="0066327E"/>
    <w:rsid w:val="006C7CF0"/>
    <w:rsid w:val="006D3D0D"/>
    <w:rsid w:val="006D571D"/>
    <w:rsid w:val="007024B9"/>
    <w:rsid w:val="007130B5"/>
    <w:rsid w:val="00716C4F"/>
    <w:rsid w:val="007246DD"/>
    <w:rsid w:val="00750A3D"/>
    <w:rsid w:val="007554DF"/>
    <w:rsid w:val="007657E0"/>
    <w:rsid w:val="00793785"/>
    <w:rsid w:val="007A0C07"/>
    <w:rsid w:val="007A2E18"/>
    <w:rsid w:val="007A7BFE"/>
    <w:rsid w:val="007B1DF4"/>
    <w:rsid w:val="007C4096"/>
    <w:rsid w:val="007D196F"/>
    <w:rsid w:val="007D65D9"/>
    <w:rsid w:val="007E274A"/>
    <w:rsid w:val="0080050C"/>
    <w:rsid w:val="008120B0"/>
    <w:rsid w:val="00813523"/>
    <w:rsid w:val="00871F5E"/>
    <w:rsid w:val="00872D2F"/>
    <w:rsid w:val="00874934"/>
    <w:rsid w:val="00876B02"/>
    <w:rsid w:val="008802B6"/>
    <w:rsid w:val="008854FC"/>
    <w:rsid w:val="008964A3"/>
    <w:rsid w:val="008B74EE"/>
    <w:rsid w:val="008C28A8"/>
    <w:rsid w:val="008D2C79"/>
    <w:rsid w:val="008D3E82"/>
    <w:rsid w:val="008E56F3"/>
    <w:rsid w:val="0090107D"/>
    <w:rsid w:val="009122AA"/>
    <w:rsid w:val="00914B58"/>
    <w:rsid w:val="0092158D"/>
    <w:rsid w:val="00930B23"/>
    <w:rsid w:val="00936CEC"/>
    <w:rsid w:val="009376BC"/>
    <w:rsid w:val="00937D3D"/>
    <w:rsid w:val="00947CF3"/>
    <w:rsid w:val="00953822"/>
    <w:rsid w:val="00972C2D"/>
    <w:rsid w:val="009764EB"/>
    <w:rsid w:val="009908D7"/>
    <w:rsid w:val="00991D87"/>
    <w:rsid w:val="00991F74"/>
    <w:rsid w:val="00996AC8"/>
    <w:rsid w:val="009978E3"/>
    <w:rsid w:val="009A130E"/>
    <w:rsid w:val="009A1DE2"/>
    <w:rsid w:val="009B45A5"/>
    <w:rsid w:val="009B5AA8"/>
    <w:rsid w:val="009E6FD2"/>
    <w:rsid w:val="009F5BF6"/>
    <w:rsid w:val="00A043A8"/>
    <w:rsid w:val="00A0782D"/>
    <w:rsid w:val="00A17D1D"/>
    <w:rsid w:val="00A303A3"/>
    <w:rsid w:val="00A46C00"/>
    <w:rsid w:val="00A619BE"/>
    <w:rsid w:val="00A61C9C"/>
    <w:rsid w:val="00A903C7"/>
    <w:rsid w:val="00AA4B4A"/>
    <w:rsid w:val="00AA6962"/>
    <w:rsid w:val="00AB2610"/>
    <w:rsid w:val="00AF5FA9"/>
    <w:rsid w:val="00AF7A87"/>
    <w:rsid w:val="00B01564"/>
    <w:rsid w:val="00B06C01"/>
    <w:rsid w:val="00B21F51"/>
    <w:rsid w:val="00B22795"/>
    <w:rsid w:val="00B25EF8"/>
    <w:rsid w:val="00B63890"/>
    <w:rsid w:val="00B74119"/>
    <w:rsid w:val="00B82233"/>
    <w:rsid w:val="00BA17A1"/>
    <w:rsid w:val="00BA5B17"/>
    <w:rsid w:val="00BC2057"/>
    <w:rsid w:val="00BC4EC7"/>
    <w:rsid w:val="00BC5AE8"/>
    <w:rsid w:val="00BE78F2"/>
    <w:rsid w:val="00BF1CC2"/>
    <w:rsid w:val="00BF69AA"/>
    <w:rsid w:val="00C03748"/>
    <w:rsid w:val="00C05356"/>
    <w:rsid w:val="00C11198"/>
    <w:rsid w:val="00C13828"/>
    <w:rsid w:val="00C20C1B"/>
    <w:rsid w:val="00C32BEC"/>
    <w:rsid w:val="00C35949"/>
    <w:rsid w:val="00C46532"/>
    <w:rsid w:val="00C52EBE"/>
    <w:rsid w:val="00C55020"/>
    <w:rsid w:val="00C619DD"/>
    <w:rsid w:val="00C67D6C"/>
    <w:rsid w:val="00C77FD8"/>
    <w:rsid w:val="00CF09E5"/>
    <w:rsid w:val="00D05083"/>
    <w:rsid w:val="00D23F94"/>
    <w:rsid w:val="00D5343F"/>
    <w:rsid w:val="00D54D59"/>
    <w:rsid w:val="00D647C2"/>
    <w:rsid w:val="00D976F6"/>
    <w:rsid w:val="00DA6EC9"/>
    <w:rsid w:val="00DB1E59"/>
    <w:rsid w:val="00DB4D7A"/>
    <w:rsid w:val="00DB528F"/>
    <w:rsid w:val="00DC4CC7"/>
    <w:rsid w:val="00DC7DA0"/>
    <w:rsid w:val="00DF5E92"/>
    <w:rsid w:val="00E010EB"/>
    <w:rsid w:val="00E052D9"/>
    <w:rsid w:val="00E1520C"/>
    <w:rsid w:val="00E35AFC"/>
    <w:rsid w:val="00E93F8F"/>
    <w:rsid w:val="00ED7224"/>
    <w:rsid w:val="00EF0BF4"/>
    <w:rsid w:val="00F0149B"/>
    <w:rsid w:val="00F07294"/>
    <w:rsid w:val="00F07393"/>
    <w:rsid w:val="00F1549D"/>
    <w:rsid w:val="00F225D8"/>
    <w:rsid w:val="00F23DB0"/>
    <w:rsid w:val="00F30025"/>
    <w:rsid w:val="00F464BC"/>
    <w:rsid w:val="00F53795"/>
    <w:rsid w:val="00F55315"/>
    <w:rsid w:val="00F60CB5"/>
    <w:rsid w:val="00F65BCF"/>
    <w:rsid w:val="00F6788A"/>
    <w:rsid w:val="00F81403"/>
    <w:rsid w:val="00F82A6F"/>
    <w:rsid w:val="00F83533"/>
    <w:rsid w:val="00F945B0"/>
    <w:rsid w:val="00FB421E"/>
    <w:rsid w:val="00FC31A6"/>
    <w:rsid w:val="00FC40CA"/>
    <w:rsid w:val="00FD0656"/>
    <w:rsid w:val="00FD23ED"/>
    <w:rsid w:val="00FD5B7D"/>
    <w:rsid w:val="00FF30DB"/>
    <w:rsid w:val="024F0B77"/>
    <w:rsid w:val="0611217C"/>
    <w:rsid w:val="07AE3385"/>
    <w:rsid w:val="0A6273E5"/>
    <w:rsid w:val="0C6311B0"/>
    <w:rsid w:val="0F8E7447"/>
    <w:rsid w:val="119B6051"/>
    <w:rsid w:val="12A25084"/>
    <w:rsid w:val="142B2292"/>
    <w:rsid w:val="15FB47D0"/>
    <w:rsid w:val="17AE35F6"/>
    <w:rsid w:val="19A66D0D"/>
    <w:rsid w:val="1A385FE8"/>
    <w:rsid w:val="1A84032A"/>
    <w:rsid w:val="1BE54340"/>
    <w:rsid w:val="1E12700E"/>
    <w:rsid w:val="1F5E0AFF"/>
    <w:rsid w:val="21971856"/>
    <w:rsid w:val="22E10C1D"/>
    <w:rsid w:val="2B252436"/>
    <w:rsid w:val="33BA143D"/>
    <w:rsid w:val="35141CCE"/>
    <w:rsid w:val="359B56E2"/>
    <w:rsid w:val="366D6BB6"/>
    <w:rsid w:val="367F2EF3"/>
    <w:rsid w:val="36864498"/>
    <w:rsid w:val="3953127C"/>
    <w:rsid w:val="398529CC"/>
    <w:rsid w:val="3A4325AD"/>
    <w:rsid w:val="3C2C4C07"/>
    <w:rsid w:val="3EB2662C"/>
    <w:rsid w:val="445F60B6"/>
    <w:rsid w:val="4E280CF3"/>
    <w:rsid w:val="55982CAE"/>
    <w:rsid w:val="566D4594"/>
    <w:rsid w:val="5702434F"/>
    <w:rsid w:val="58242AE0"/>
    <w:rsid w:val="58AB396B"/>
    <w:rsid w:val="5943175D"/>
    <w:rsid w:val="595C4FBF"/>
    <w:rsid w:val="5BDE3A84"/>
    <w:rsid w:val="5C483C8E"/>
    <w:rsid w:val="602E23B3"/>
    <w:rsid w:val="663B31C1"/>
    <w:rsid w:val="66AC0259"/>
    <w:rsid w:val="67D57ABF"/>
    <w:rsid w:val="6AFD60D5"/>
    <w:rsid w:val="6C787A5C"/>
    <w:rsid w:val="6F633413"/>
    <w:rsid w:val="6F9E571F"/>
    <w:rsid w:val="72B83682"/>
    <w:rsid w:val="73374A1C"/>
    <w:rsid w:val="738F7392"/>
    <w:rsid w:val="762C283F"/>
    <w:rsid w:val="767D5D1E"/>
    <w:rsid w:val="76E03ABB"/>
    <w:rsid w:val="77E11D57"/>
    <w:rsid w:val="7A6F030F"/>
    <w:rsid w:val="7A89169D"/>
    <w:rsid w:val="7C612896"/>
    <w:rsid w:val="7E9D6A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unhideWhenUsed/>
    <w:qFormat/>
    <w:uiPriority w:val="99"/>
    <w:pPr>
      <w:jc w:val="left"/>
    </w:pPr>
  </w:style>
  <w:style w:type="paragraph" w:styleId="3">
    <w:name w:val="Body Text"/>
    <w:basedOn w:val="1"/>
    <w:link w:val="22"/>
    <w:qFormat/>
    <w:uiPriority w:val="0"/>
    <w:pPr>
      <w:adjustRightInd w:val="0"/>
      <w:snapToGrid w:val="0"/>
      <w:spacing w:line="500" w:lineRule="atLeast"/>
    </w:pPr>
    <w:rPr>
      <w:rFonts w:ascii="宋体"/>
      <w:bCs/>
      <w:sz w:val="28"/>
    </w:rPr>
  </w:style>
  <w:style w:type="paragraph" w:styleId="4">
    <w:name w:val="Plain Text"/>
    <w:basedOn w:val="1"/>
    <w:link w:val="17"/>
    <w:unhideWhenUsed/>
    <w:qFormat/>
    <w:uiPriority w:val="99"/>
    <w:rPr>
      <w:rFonts w:ascii="宋体" w:hAnsi="Courier New" w:cs="Courier New"/>
      <w:szCs w:val="21"/>
    </w:rPr>
  </w:style>
  <w:style w:type="paragraph" w:styleId="5">
    <w:name w:val="Balloon Text"/>
    <w:basedOn w:val="1"/>
    <w:link w:val="19"/>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1"/>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Tahoma" w:hAnsi="Tahoma" w:eastAsia="宋体"/>
      <w:b/>
      <w:bCs/>
      <w:spacing w:val="10"/>
      <w:kern w:val="2"/>
      <w:sz w:val="24"/>
      <w:szCs w:val="24"/>
      <w:lang w:val="en-US" w:eastAsia="zh-CN" w:bidi="ar-SA"/>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纯文本 字符"/>
    <w:basedOn w:val="11"/>
    <w:link w:val="4"/>
    <w:qFormat/>
    <w:uiPriority w:val="99"/>
    <w:rPr>
      <w:rFonts w:ascii="宋体" w:hAnsi="Courier New" w:eastAsia="宋体" w:cs="Courier New"/>
      <w:szCs w:val="21"/>
    </w:rPr>
  </w:style>
  <w:style w:type="paragraph" w:customStyle="1" w:styleId="18">
    <w:name w:val="样式1 Char Char"/>
    <w:basedOn w:val="1"/>
    <w:next w:val="4"/>
    <w:qFormat/>
    <w:uiPriority w:val="0"/>
    <w:pPr>
      <w:spacing w:line="360" w:lineRule="auto"/>
      <w:ind w:firstLine="516" w:firstLineChars="215"/>
    </w:pPr>
    <w:rPr>
      <w:sz w:val="24"/>
    </w:rPr>
  </w:style>
  <w:style w:type="character" w:customStyle="1" w:styleId="19">
    <w:name w:val="批注框文本 字符"/>
    <w:basedOn w:val="11"/>
    <w:link w:val="5"/>
    <w:semiHidden/>
    <w:qFormat/>
    <w:uiPriority w:val="99"/>
    <w:rPr>
      <w:rFonts w:ascii="Times New Roman" w:hAnsi="Times New Roman" w:eastAsia="宋体" w:cs="Times New Roman"/>
      <w:kern w:val="2"/>
      <w:sz w:val="18"/>
      <w:szCs w:val="18"/>
    </w:rPr>
  </w:style>
  <w:style w:type="character" w:customStyle="1" w:styleId="20">
    <w:name w:val="批注文字 字符"/>
    <w:basedOn w:val="11"/>
    <w:link w:val="2"/>
    <w:qFormat/>
    <w:uiPriority w:val="99"/>
    <w:rPr>
      <w:rFonts w:ascii="Times New Roman" w:hAnsi="Times New Roman" w:eastAsia="宋体" w:cs="Times New Roman"/>
      <w:kern w:val="2"/>
      <w:sz w:val="21"/>
      <w:szCs w:val="24"/>
    </w:rPr>
  </w:style>
  <w:style w:type="character" w:customStyle="1" w:styleId="21">
    <w:name w:val="批注主题 字符"/>
    <w:basedOn w:val="20"/>
    <w:link w:val="8"/>
    <w:semiHidden/>
    <w:qFormat/>
    <w:uiPriority w:val="99"/>
    <w:rPr>
      <w:rFonts w:ascii="Times New Roman" w:hAnsi="Times New Roman" w:eastAsia="宋体" w:cs="Times New Roman"/>
      <w:b/>
      <w:bCs/>
      <w:kern w:val="2"/>
      <w:sz w:val="21"/>
      <w:szCs w:val="24"/>
    </w:rPr>
  </w:style>
  <w:style w:type="character" w:customStyle="1" w:styleId="22">
    <w:name w:val="正文文本 字符"/>
    <w:basedOn w:val="11"/>
    <w:link w:val="3"/>
    <w:qFormat/>
    <w:uiPriority w:val="0"/>
    <w:rPr>
      <w:rFonts w:ascii="宋体" w:hAnsi="Times New Roman" w:eastAsia="宋体" w:cs="Times New Roman"/>
      <w:bCs/>
      <w:kern w:val="2"/>
      <w:sz w:val="28"/>
      <w:szCs w:val="24"/>
    </w:rPr>
  </w:style>
  <w:style w:type="paragraph" w:customStyle="1" w:styleId="23">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96C1-E81F-47F1-A104-5405CE1C0CD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5321</Words>
  <Characters>5544</Characters>
  <Lines>46</Lines>
  <Paragraphs>12</Paragraphs>
  <TotalTime>2</TotalTime>
  <ScaleCrop>false</ScaleCrop>
  <LinksUpToDate>false</LinksUpToDate>
  <CharactersWithSpaces>5625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2025-06-13T05:20:00Z</dcterms:created>
  <dc:creator>陈蕾</dc:creator>
  <cp:lastModifiedBy>招采办</cp:lastModifiedBy>
  <dcterms:modified xsi:type="dcterms:W3CDTF">2025-12-08T10:09:56Z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eyJoZGlkIjoiMTYzOTc0ZjU0NThhNjU0Y2ExMTNjNmE4Yzc0YjA3ZTAiLCJ1c2VySWQiOiIxMjM0Njk1MzQ0In0=</vt:lpwstr>
  </property>
  <property fmtid="{D5CDD505-2E9C-101B-9397-08002B2CF9AE}" pid="4" name="ICV">
    <vt:lpwstr>8EBBF8B9D0FF47738A7561A52F684F75_13</vt:lpwstr>
  </property>
  <property fmtid="{D5CDD505-2E9C-101B-9397-08002B2CF9AE}" pid="5" name="MSIP_Label_f48041ff-f5de-4583-8841-e2a1851ee5d2_Enabled">
    <vt:lpwstr>true</vt:lpwstr>
  </property>
  <property fmtid="{D5CDD505-2E9C-101B-9397-08002B2CF9AE}" pid="6" name="MSIP_Label_f48041ff-f5de-4583-8841-e2a1851ee5d2_SetDate">
    <vt:lpwstr>2025-06-17T13:53:15Z</vt:lpwstr>
  </property>
  <property fmtid="{D5CDD505-2E9C-101B-9397-08002B2CF9AE}" pid="7" name="MSIP_Label_f48041ff-f5de-4583-8841-e2a1851ee5d2_Method">
    <vt:lpwstr>Privileged</vt:lpwstr>
  </property>
  <property fmtid="{D5CDD505-2E9C-101B-9397-08002B2CF9AE}" pid="8" name="MSIP_Label_f48041ff-f5de-4583-8841-e2a1851ee5d2_Name">
    <vt:lpwstr>Confidential</vt:lpwstr>
  </property>
  <property fmtid="{D5CDD505-2E9C-101B-9397-08002B2CF9AE}" pid="9" name="MSIP_Label_f48041ff-f5de-4583-8841-e2a1851ee5d2_SiteId">
    <vt:lpwstr>771c9c47-7f24-44dc-958e-34f8713a8394</vt:lpwstr>
  </property>
  <property fmtid="{D5CDD505-2E9C-101B-9397-08002B2CF9AE}" pid="10" name="MSIP_Label_f48041ff-f5de-4583-8841-e2a1851ee5d2_ActionId">
    <vt:lpwstr>f7ad6833-4d9a-4b58-9da6-75e2331f27e1</vt:lpwstr>
  </property>
  <property fmtid="{D5CDD505-2E9C-101B-9397-08002B2CF9AE}" pid="11" name="MSIP_Label_f48041ff-f5de-4583-8841-e2a1851ee5d2_ContentBits">
    <vt:lpwstr>2</vt:lpwstr>
  </property>
  <property fmtid="{D5CDD505-2E9C-101B-9397-08002B2CF9AE}" pid="12" name="MSIP_Label_f48041ff-f5de-4583-8841-e2a1851ee5d2_Tag">
    <vt:lpwstr>10, 0, 1, 1</vt:lpwstr>
  </property>
</Properties>
</file>