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78CF4">
      <w:pPr>
        <w:spacing w:line="360" w:lineRule="auto"/>
        <w:jc w:val="center"/>
        <w:rPr>
          <w:rFonts w:hint="eastAsia" w:ascii="宋体" w:hAnsi="宋体" w:eastAsia="宋体" w:cs="Times New Roman"/>
          <w:b/>
          <w:bCs/>
          <w:sz w:val="32"/>
          <w:szCs w:val="32"/>
          <w:lang w:eastAsia="zh-CN"/>
        </w:rPr>
      </w:pPr>
      <w:r>
        <w:rPr>
          <w:rFonts w:hint="eastAsia" w:ascii="宋体" w:hAnsi="宋体" w:eastAsia="宋体" w:cs="Times New Roman"/>
          <w:b/>
          <w:bCs/>
          <w:sz w:val="32"/>
          <w:szCs w:val="32"/>
          <w:lang w:eastAsia="zh-CN"/>
        </w:rPr>
        <w:t>中山大学附属第八医院服务类</w:t>
      </w:r>
    </w:p>
    <w:p w14:paraId="030C2E4F">
      <w:pPr>
        <w:spacing w:line="360" w:lineRule="auto"/>
        <w:jc w:val="center"/>
        <w:rPr>
          <w:sz w:val="28"/>
          <w:szCs w:val="28"/>
          <w:u w:val="single"/>
        </w:rPr>
      </w:pPr>
      <w:r>
        <w:rPr>
          <w:rFonts w:hint="eastAsia" w:ascii="宋体" w:hAnsi="宋体" w:eastAsia="宋体" w:cs="Times New Roman"/>
          <w:b/>
          <w:bCs/>
          <w:sz w:val="32"/>
          <w:szCs w:val="32"/>
          <w:lang w:eastAsia="zh-CN"/>
        </w:rPr>
        <w:t>采购需求模板</w:t>
      </w:r>
    </w:p>
    <w:p w14:paraId="0646026E">
      <w:pPr>
        <w:spacing w:line="540" w:lineRule="exact"/>
        <w:ind w:firstLine="320" w:firstLineChars="10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第一部分 项目基本要求</w:t>
      </w:r>
    </w:p>
    <w:p w14:paraId="03B1BF29">
      <w:pPr>
        <w:widowControl/>
        <w:spacing w:before="100" w:beforeAutospacing="1" w:after="100" w:afterAutospacing="1" w:line="360" w:lineRule="auto"/>
        <w:ind w:firstLine="440" w:firstLineChars="200"/>
        <w:rPr>
          <w:rFonts w:hint="eastAsia" w:ascii="方正小标宋简体" w:hAnsi="方正小标宋简体" w:eastAsia="方正小标宋简体" w:cs="方正小标宋简体"/>
          <w:b w:val="0"/>
          <w:bCs w:val="0"/>
          <w:kern w:val="0"/>
          <w:sz w:val="22"/>
          <w:szCs w:val="22"/>
          <w:highlight w:val="none"/>
          <w:lang w:val="en-US" w:eastAsia="zh-CN"/>
        </w:rPr>
      </w:pPr>
      <w:r>
        <w:rPr>
          <w:rFonts w:hint="eastAsia" w:ascii="方正小标宋简体" w:hAnsi="方正小标宋简体" w:eastAsia="方正小标宋简体" w:cs="方正小标宋简体"/>
          <w:b w:val="0"/>
          <w:bCs w:val="0"/>
          <w:sz w:val="22"/>
          <w:szCs w:val="22"/>
          <w:highlight w:val="none"/>
          <w:shd w:val="clear" w:color="auto" w:fill="FFFFFF"/>
        </w:rPr>
        <w:t>一</w:t>
      </w:r>
      <w:r>
        <w:rPr>
          <w:rFonts w:hint="eastAsia" w:ascii="方正小标宋简体" w:hAnsi="方正小标宋简体" w:eastAsia="方正小标宋简体" w:cs="方正小标宋简体"/>
          <w:b w:val="0"/>
          <w:bCs w:val="0"/>
          <w:sz w:val="24"/>
          <w:szCs w:val="24"/>
          <w:highlight w:val="none"/>
          <w:shd w:val="clear" w:color="auto" w:fill="FFFFFF"/>
        </w:rPr>
        <w:t>、项目基本</w:t>
      </w:r>
      <w:r>
        <w:rPr>
          <w:rFonts w:hint="eastAsia" w:ascii="方正小标宋简体" w:hAnsi="方正小标宋简体" w:eastAsia="方正小标宋简体" w:cs="方正小标宋简体"/>
          <w:b w:val="0"/>
          <w:bCs w:val="0"/>
          <w:sz w:val="24"/>
          <w:szCs w:val="24"/>
          <w:highlight w:val="none"/>
          <w:shd w:val="clear" w:color="auto" w:fill="FFFFFF"/>
          <w:lang w:val="en-US" w:eastAsia="zh-CN"/>
        </w:rPr>
        <w:t>信息</w:t>
      </w:r>
    </w:p>
    <w:p w14:paraId="02897FFC">
      <w:pPr>
        <w:numPr>
          <w:ilvl w:val="0"/>
          <w:numId w:val="1"/>
        </w:numPr>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项目编号：</w:t>
      </w:r>
    </w:p>
    <w:p w14:paraId="6E2510CA">
      <w:pPr>
        <w:numPr>
          <w:ilvl w:val="0"/>
          <w:numId w:val="1"/>
        </w:numPr>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采购项目名称：中山大学附属第八医院（深圳福田）辅助岗位服务项目采购</w:t>
      </w:r>
    </w:p>
    <w:p w14:paraId="1C9F0B69">
      <w:pPr>
        <w:numPr>
          <w:ilvl w:val="0"/>
          <w:numId w:val="1"/>
        </w:numPr>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采购方式：公开招标</w:t>
      </w:r>
    </w:p>
    <w:p w14:paraId="08234334">
      <w:pPr>
        <w:numPr>
          <w:ilvl w:val="0"/>
          <w:numId w:val="1"/>
        </w:numPr>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评标方法：综合评分法</w:t>
      </w:r>
    </w:p>
    <w:p w14:paraId="7F1ACD4B">
      <w:pPr>
        <w:numPr>
          <w:ilvl w:val="0"/>
          <w:numId w:val="1"/>
        </w:numPr>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预算金额：</w:t>
      </w:r>
      <w:r>
        <w:rPr>
          <w:rFonts w:hint="eastAsia" w:ascii="宋体" w:hAnsi="宋体" w:eastAsia="宋体" w:cs="宋体"/>
          <w:bCs/>
          <w:sz w:val="24"/>
          <w:szCs w:val="24"/>
          <w:highlight w:val="none"/>
          <w:lang w:eastAsia="zh-CN"/>
        </w:rPr>
        <w:t>人民币</w:t>
      </w:r>
      <w:r>
        <w:rPr>
          <w:rFonts w:hint="eastAsia" w:ascii="宋体" w:hAnsi="宋体" w:eastAsia="宋体" w:cs="宋体"/>
          <w:bCs/>
          <w:sz w:val="24"/>
          <w:szCs w:val="24"/>
          <w:highlight w:val="none"/>
          <w:lang w:val="en-US" w:eastAsia="zh-CN"/>
        </w:rPr>
        <w:t xml:space="preserve"> 7747万元</w:t>
      </w:r>
    </w:p>
    <w:p w14:paraId="47A5C795">
      <w:pPr>
        <w:numPr>
          <w:ilvl w:val="0"/>
          <w:numId w:val="1"/>
        </w:numPr>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最高限价</w:t>
      </w:r>
      <w:r>
        <w:rPr>
          <w:rFonts w:hint="eastAsia" w:ascii="宋体" w:hAnsi="宋体" w:eastAsia="宋体" w:cs="宋体"/>
          <w:bCs/>
          <w:sz w:val="24"/>
          <w:szCs w:val="24"/>
          <w:highlight w:val="none"/>
          <w:lang w:eastAsia="zh-CN"/>
        </w:rPr>
        <w:t>：人民币</w:t>
      </w:r>
      <w:r>
        <w:rPr>
          <w:rFonts w:hint="eastAsia" w:ascii="宋体" w:hAnsi="宋体" w:eastAsia="宋体" w:cs="宋体"/>
          <w:bCs/>
          <w:sz w:val="24"/>
          <w:szCs w:val="24"/>
          <w:highlight w:val="none"/>
          <w:lang w:val="en-US" w:eastAsia="zh-CN"/>
        </w:rPr>
        <w:t xml:space="preserve"> 7747万元</w:t>
      </w:r>
    </w:p>
    <w:p w14:paraId="038A2CD3">
      <w:pPr>
        <w:numPr>
          <w:ilvl w:val="0"/>
          <w:numId w:val="1"/>
        </w:numPr>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采购需求：</w:t>
      </w:r>
    </w:p>
    <w:tbl>
      <w:tblPr>
        <w:tblStyle w:val="11"/>
        <w:tblpPr w:leftFromText="180" w:rightFromText="180" w:vertAnchor="text" w:horzAnchor="page" w:tblpX="1688" w:tblpY="67"/>
        <w:tblOverlap w:val="never"/>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128"/>
        <w:gridCol w:w="2835"/>
        <w:gridCol w:w="2896"/>
      </w:tblGrid>
      <w:tr w14:paraId="0544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986" w:type="dxa"/>
            <w:shd w:val="clear" w:color="auto" w:fill="EEECE1"/>
            <w:vAlign w:val="center"/>
          </w:tcPr>
          <w:p w14:paraId="4DF8B126">
            <w:pPr>
              <w:jc w:val="center"/>
              <w:rPr>
                <w:rFonts w:hint="eastAsia" w:ascii="宋体" w:hAnsi="宋体" w:eastAsia="宋体" w:cs="宋体"/>
                <w:b/>
                <w:sz w:val="24"/>
                <w:szCs w:val="24"/>
              </w:rPr>
            </w:pPr>
            <w:r>
              <w:rPr>
                <w:rFonts w:hint="eastAsia" w:ascii="宋体" w:hAnsi="宋体" w:eastAsia="宋体" w:cs="宋体"/>
                <w:b/>
                <w:sz w:val="24"/>
                <w:szCs w:val="24"/>
              </w:rPr>
              <w:t>采购内容</w:t>
            </w:r>
          </w:p>
        </w:tc>
        <w:tc>
          <w:tcPr>
            <w:tcW w:w="1128" w:type="dxa"/>
            <w:shd w:val="clear" w:color="auto" w:fill="EEECE1"/>
            <w:vAlign w:val="center"/>
          </w:tcPr>
          <w:p w14:paraId="1ABE5470">
            <w:pPr>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2835" w:type="dxa"/>
            <w:shd w:val="clear" w:color="auto" w:fill="EEECE1"/>
            <w:vAlign w:val="center"/>
          </w:tcPr>
          <w:p w14:paraId="55D0A912">
            <w:pPr>
              <w:jc w:val="center"/>
              <w:rPr>
                <w:rFonts w:hint="eastAsia" w:ascii="宋体" w:hAnsi="宋体" w:eastAsia="宋体" w:cs="宋体"/>
                <w:b/>
                <w:sz w:val="24"/>
                <w:szCs w:val="24"/>
              </w:rPr>
            </w:pPr>
            <w:r>
              <w:rPr>
                <w:rFonts w:hint="eastAsia" w:ascii="宋体" w:hAnsi="宋体" w:eastAsia="宋体" w:cs="宋体"/>
                <w:b/>
                <w:bCs/>
                <w:kern w:val="0"/>
                <w:sz w:val="24"/>
                <w:szCs w:val="24"/>
                <w:highlight w:val="none"/>
              </w:rPr>
              <w:t>简要技术需求</w:t>
            </w:r>
          </w:p>
        </w:tc>
        <w:tc>
          <w:tcPr>
            <w:tcW w:w="2896" w:type="dxa"/>
            <w:shd w:val="clear" w:color="auto" w:fill="EEECE1"/>
            <w:vAlign w:val="center"/>
          </w:tcPr>
          <w:p w14:paraId="298C89C3">
            <w:pPr>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备注</w:t>
            </w:r>
          </w:p>
        </w:tc>
      </w:tr>
      <w:tr w14:paraId="7192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1986" w:type="dxa"/>
            <w:vAlign w:val="center"/>
          </w:tcPr>
          <w:p w14:paraId="07976338">
            <w:pPr>
              <w:jc w:val="center"/>
              <w:rPr>
                <w:rFonts w:hint="default" w:ascii="宋体" w:hAnsi="宋体" w:eastAsia="宋体" w:cs="宋体"/>
                <w:bCs/>
                <w:sz w:val="24"/>
                <w:szCs w:val="24"/>
                <w:highlight w:val="none"/>
                <w:lang w:val="en-US"/>
              </w:rPr>
            </w:pPr>
            <w:r>
              <w:rPr>
                <w:rFonts w:hint="eastAsia"/>
                <w:szCs w:val="21"/>
              </w:rPr>
              <w:t>中山大学附属第八医院（深圳福田）辅助岗位服务项目采购</w:t>
            </w:r>
            <w:r>
              <w:rPr>
                <w:rFonts w:hint="eastAsia" w:ascii="宋体" w:hAnsi="宋体" w:eastAsia="宋体"/>
                <w:sz w:val="24"/>
                <w:highlight w:val="none"/>
                <w:lang w:val="en-US" w:eastAsia="zh-CN"/>
              </w:rPr>
              <w:t xml:space="preserve">  </w:t>
            </w:r>
          </w:p>
        </w:tc>
        <w:tc>
          <w:tcPr>
            <w:tcW w:w="1128" w:type="dxa"/>
            <w:vAlign w:val="center"/>
          </w:tcPr>
          <w:p w14:paraId="38718A2B">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2835" w:type="dxa"/>
            <w:vAlign w:val="center"/>
          </w:tcPr>
          <w:p w14:paraId="1CF04536">
            <w:pPr>
              <w:pStyle w:val="17"/>
              <w:spacing w:line="240" w:lineRule="auto"/>
              <w:ind w:hanging="67"/>
              <w:rPr>
                <w:rFonts w:hint="eastAsia" w:ascii="宋体" w:hAnsi="宋体" w:eastAsia="宋体" w:cs="宋体"/>
                <w:spacing w:val="0"/>
                <w:kern w:val="2"/>
                <w:sz w:val="24"/>
                <w:szCs w:val="24"/>
                <w:highlight w:val="none"/>
                <w:lang w:eastAsia="zh-CN"/>
              </w:rPr>
            </w:pPr>
            <w:r>
              <w:rPr>
                <w:rFonts w:hint="eastAsia" w:ascii="宋体" w:hAnsi="宋体" w:eastAsia="宋体" w:cs="宋体"/>
                <w:spacing w:val="0"/>
                <w:kern w:val="2"/>
                <w:sz w:val="24"/>
                <w:szCs w:val="24"/>
                <w:highlight w:val="none"/>
              </w:rPr>
              <w:t>详见采购项目</w:t>
            </w:r>
            <w:r>
              <w:rPr>
                <w:rFonts w:hint="eastAsia" w:ascii="宋体" w:hAnsi="宋体" w:eastAsia="宋体" w:cs="宋体"/>
                <w:spacing w:val="0"/>
                <w:kern w:val="2"/>
                <w:sz w:val="24"/>
                <w:szCs w:val="24"/>
                <w:highlight w:val="none"/>
                <w:lang w:eastAsia="zh-CN"/>
              </w:rPr>
              <w:t>需求</w:t>
            </w:r>
          </w:p>
        </w:tc>
        <w:tc>
          <w:tcPr>
            <w:tcW w:w="2896" w:type="dxa"/>
            <w:vAlign w:val="center"/>
          </w:tcPr>
          <w:p w14:paraId="1770D5F4">
            <w:pPr>
              <w:pStyle w:val="17"/>
              <w:spacing w:line="240" w:lineRule="auto"/>
              <w:ind w:firstLine="120"/>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val="en-US" w:eastAsia="zh-CN"/>
              </w:rPr>
              <w:t>服务类</w:t>
            </w:r>
          </w:p>
        </w:tc>
      </w:tr>
    </w:tbl>
    <w:p w14:paraId="64BD5951">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合同履行期限：</w:t>
      </w:r>
      <w:bookmarkStart w:id="0" w:name="_Hlk83826489"/>
      <w:r>
        <w:rPr>
          <w:rFonts w:hint="eastAsia" w:ascii="宋体" w:hAnsi="宋体" w:eastAsia="宋体" w:cs="宋体"/>
          <w:color w:val="000000"/>
          <w:kern w:val="0"/>
          <w:szCs w:val="21"/>
          <w:highlight w:val="none"/>
          <w:lang w:bidi="ar"/>
        </w:rPr>
        <w:t>本项目要求自合同签订之日起</w:t>
      </w:r>
      <w:r>
        <w:rPr>
          <w:rFonts w:hint="eastAsia" w:ascii="宋体" w:hAnsi="宋体" w:eastAsia="宋体" w:cs="宋体"/>
          <w:color w:val="000000"/>
          <w:kern w:val="0"/>
          <w:szCs w:val="21"/>
          <w:highlight w:val="none"/>
          <w:lang w:val="en-US" w:eastAsia="zh-CN" w:bidi="ar"/>
        </w:rPr>
        <w:t>一年</w:t>
      </w:r>
      <w:r>
        <w:rPr>
          <w:rFonts w:hint="eastAsia" w:ascii="宋体" w:hAnsi="宋体" w:eastAsia="宋体" w:cs="宋体"/>
          <w:color w:val="000000"/>
          <w:kern w:val="0"/>
          <w:szCs w:val="21"/>
          <w:highlight w:val="none"/>
          <w:lang w:bidi="ar"/>
        </w:rPr>
        <w:t>。本项目为长期服务类项目，第一年为本次招标的中标服务期限，采购单位可根据项目需要和中标供应商的履约情况确定合同期限是否延长，但最长不超过三年</w:t>
      </w:r>
      <w:r>
        <w:rPr>
          <w:rFonts w:hint="eastAsia" w:ascii="宋体" w:hAnsi="宋体" w:eastAsia="宋体" w:cs="宋体"/>
          <w:color w:val="000000"/>
          <w:kern w:val="0"/>
          <w:szCs w:val="21"/>
          <w:highlight w:val="none"/>
          <w:lang w:val="en-US" w:eastAsia="zh-CN" w:bidi="ar"/>
        </w:rPr>
        <w:t>。</w:t>
      </w:r>
      <w:bookmarkEnd w:id="0"/>
    </w:p>
    <w:p w14:paraId="78D8E94C">
      <w:pPr>
        <w:widowControl/>
        <w:numPr>
          <w:ilvl w:val="0"/>
          <w:numId w:val="2"/>
        </w:numPr>
        <w:spacing w:before="100" w:beforeAutospacing="1" w:after="100" w:afterAutospacing="1" w:line="360" w:lineRule="auto"/>
        <w:ind w:left="420" w:leftChars="200"/>
        <w:rPr>
          <w:rFonts w:hint="eastAsia" w:ascii="宋体" w:hAnsi="宋体" w:eastAsia="宋体" w:cs="宋体"/>
          <w:sz w:val="24"/>
          <w:szCs w:val="24"/>
        </w:rPr>
      </w:pPr>
      <w:r>
        <w:rPr>
          <w:rFonts w:hint="eastAsia" w:ascii="方正小标宋简体" w:hAnsi="方正小标宋简体" w:eastAsia="方正小标宋简体" w:cs="方正小标宋简体"/>
          <w:b w:val="0"/>
          <w:bCs w:val="0"/>
          <w:sz w:val="24"/>
          <w:szCs w:val="24"/>
          <w:shd w:val="clear" w:color="auto" w:fill="FFFFFF"/>
        </w:rPr>
        <w:t>投标人资格要求</w:t>
      </w:r>
    </w:p>
    <w:p w14:paraId="6C66BB3B">
      <w:pPr>
        <w:numPr>
          <w:ilvl w:val="0"/>
          <w:numId w:val="3"/>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投标人须是在中华人民共和国境内注册的有合法经营资格的国内独立法人，并具有相关经营范围（提供合法有效的营业执照原件扫描件，原件备查）。</w:t>
      </w:r>
    </w:p>
    <w:p w14:paraId="4C63394B">
      <w:pPr>
        <w:numPr>
          <w:ilvl w:val="0"/>
          <w:numId w:val="3"/>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本项目不接受联合体投标，且不得将项目转包。</w:t>
      </w:r>
    </w:p>
    <w:p w14:paraId="254EC2A7">
      <w:pPr>
        <w:rPr>
          <w:rFonts w:hint="eastAsia"/>
        </w:rPr>
      </w:pPr>
    </w:p>
    <w:p w14:paraId="38F4EF3F"/>
    <w:p w14:paraId="4C6C9279">
      <w:pPr>
        <w:spacing w:line="540" w:lineRule="exact"/>
        <w:ind w:firstLine="320" w:firstLineChars="100"/>
        <w:jc w:val="center"/>
        <w:rPr>
          <w:rFonts w:hint="eastAsia"/>
          <w:lang w:eastAsia="zh-CN"/>
        </w:rPr>
      </w:pPr>
      <w:r>
        <w:rPr>
          <w:rFonts w:hint="eastAsia" w:ascii="方正小标宋简体" w:hAnsi="方正小标宋简体" w:eastAsia="方正小标宋简体" w:cs="方正小标宋简体"/>
          <w:sz w:val="32"/>
          <w:szCs w:val="32"/>
          <w:lang w:eastAsia="zh-CN"/>
        </w:rPr>
        <w:t>第二部分</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采购项目</w:t>
      </w:r>
      <w:r>
        <w:rPr>
          <w:rFonts w:hint="eastAsia" w:ascii="方正小标宋简体" w:hAnsi="方正小标宋简体" w:eastAsia="方正小标宋简体" w:cs="方正小标宋简体"/>
          <w:sz w:val="32"/>
          <w:szCs w:val="32"/>
          <w:lang w:eastAsia="zh-CN"/>
        </w:rPr>
        <w:t>需求（用户需求书）</w:t>
      </w:r>
    </w:p>
    <w:p w14:paraId="072F91FA">
      <w:pPr>
        <w:numPr>
          <w:ilvl w:val="0"/>
          <w:numId w:val="0"/>
        </w:numPr>
        <w:tabs>
          <w:tab w:val="left" w:pos="567"/>
        </w:tabs>
        <w:adjustRightInd w:val="0"/>
        <w:snapToGrid w:val="0"/>
        <w:spacing w:line="360" w:lineRule="auto"/>
        <w:ind w:left="400" w:leftChars="0"/>
        <w:rPr>
          <w:rFonts w:hint="eastAsia" w:ascii="宋体" w:hAnsi="宋体" w:eastAsia="宋体" w:cs="宋体"/>
          <w:b/>
          <w:bCs/>
          <w:sz w:val="24"/>
          <w:szCs w:val="24"/>
          <w:lang w:eastAsia="zh-CN"/>
        </w:rPr>
      </w:pPr>
    </w:p>
    <w:p w14:paraId="1360AD53">
      <w:pPr>
        <w:numPr>
          <w:ilvl w:val="0"/>
          <w:numId w:val="0"/>
        </w:numPr>
        <w:tabs>
          <w:tab w:val="left" w:pos="567"/>
        </w:tabs>
        <w:adjustRightInd w:val="0"/>
        <w:snapToGrid w:val="0"/>
        <w:spacing w:line="360" w:lineRule="auto"/>
        <w:ind w:left="400" w:leftChars="0"/>
        <w:rPr>
          <w:rFonts w:hint="eastAsia" w:ascii="宋体" w:hAnsi="宋体" w:eastAsia="宋体" w:cs="宋体"/>
          <w:b/>
          <w:bCs/>
          <w:sz w:val="24"/>
          <w:szCs w:val="24"/>
        </w:rPr>
      </w:pPr>
      <w:r>
        <w:rPr>
          <w:rFonts w:hint="eastAsia" w:ascii="宋体" w:hAnsi="宋体" w:eastAsia="宋体" w:cs="宋体"/>
          <w:b/>
          <w:bCs/>
          <w:sz w:val="24"/>
          <w:szCs w:val="24"/>
          <w:lang w:eastAsia="zh-CN"/>
        </w:rPr>
        <w:t>说明：</w:t>
      </w:r>
    </w:p>
    <w:p w14:paraId="7157E10B">
      <w:pPr>
        <w:numPr>
          <w:ilvl w:val="0"/>
          <w:numId w:val="3"/>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投标人须对本项目的采购标的或服务内容进行整体响应，任何只对采购标的或服务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内容其中一部分内容进行的响应都被视为无效投标。</w:t>
      </w:r>
    </w:p>
    <w:p w14:paraId="0EC74F3E">
      <w:pPr>
        <w:numPr>
          <w:ilvl w:val="0"/>
          <w:numId w:val="3"/>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用户需求书中打“★”号条款为实质性条款，有任何一条负偏离则导致无效投标</w:t>
      </w:r>
      <w:r>
        <w:rPr>
          <w:rFonts w:hint="eastAsia" w:ascii="宋体" w:hAnsi="宋体" w:eastAsia="宋体" w:cs="宋体"/>
          <w:sz w:val="24"/>
          <w:szCs w:val="24"/>
          <w:lang w:eastAsia="zh-CN"/>
        </w:rPr>
        <w:t>。</w:t>
      </w:r>
    </w:p>
    <w:p w14:paraId="05E2862D">
      <w:pPr>
        <w:numPr>
          <w:ilvl w:val="0"/>
          <w:numId w:val="3"/>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用户需求书中打“▲”号条款为重要技术参数，但不作为无效投标条款。</w:t>
      </w:r>
    </w:p>
    <w:p w14:paraId="58B2E668">
      <w:pPr>
        <w:numPr>
          <w:ilvl w:val="0"/>
          <w:numId w:val="3"/>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用户需求书中打“●”号的为采购的核心产品，投标人应在《投标分项报价表》中清晰列明“产品名称、品牌、型号”。</w:t>
      </w:r>
    </w:p>
    <w:p w14:paraId="7EA9F878">
      <w:pPr>
        <w:spacing w:line="360" w:lineRule="auto"/>
        <w:ind w:firstLine="562" w:firstLineChars="200"/>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一、服务需求</w:t>
      </w:r>
    </w:p>
    <w:p w14:paraId="7DD44AD5">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bCs/>
          <w:sz w:val="24"/>
          <w:szCs w:val="24"/>
        </w:rPr>
      </w:pPr>
      <w:r>
        <w:rPr>
          <w:rFonts w:hint="eastAsia" w:ascii="宋体" w:hAnsi="宋体" w:eastAsia="宋体" w:cs="宋体"/>
          <w:b/>
          <w:sz w:val="24"/>
        </w:rPr>
        <w:t xml:space="preserve"> </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bCs/>
          <w:sz w:val="24"/>
          <w:szCs w:val="24"/>
        </w:rPr>
        <w:t>（一）项目背景</w:t>
      </w:r>
    </w:p>
    <w:p w14:paraId="4DF8C5D2">
      <w:pPr>
        <w:adjustRightInd w:val="0"/>
        <w:snapToGrid w:val="0"/>
        <w:spacing w:line="288" w:lineRule="auto"/>
        <w:ind w:firstLine="480" w:firstLineChars="200"/>
        <w:rPr>
          <w:rFonts w:hint="eastAsia" w:asciiTheme="minorEastAsia" w:hAnsiTheme="minorEastAsia" w:eastAsiaTheme="minorEastAsia" w:cstheme="minorEastAsia"/>
          <w:sz w:val="24"/>
          <w:szCs w:val="24"/>
        </w:rPr>
      </w:pPr>
      <w:r>
        <w:rPr>
          <w:rFonts w:hint="eastAsia" w:ascii="宋体" w:hAnsi="宋体" w:cs="宋体"/>
          <w:sz w:val="24"/>
        </w:rPr>
        <w:t>中山大学附属第八医院（深圳福田）由院本部</w:t>
      </w:r>
      <w:r>
        <w:rPr>
          <w:rFonts w:hint="eastAsia" w:ascii="宋体" w:hAnsi="宋体" w:cs="宋体"/>
          <w:sz w:val="24"/>
          <w:lang w:val="en-US" w:eastAsia="zh-CN"/>
        </w:rPr>
        <w:t>和32</w:t>
      </w:r>
      <w:r>
        <w:rPr>
          <w:rFonts w:hint="eastAsia" w:ascii="宋体" w:hAnsi="宋体" w:cs="宋体"/>
          <w:sz w:val="24"/>
        </w:rPr>
        <w:t>个社康</w:t>
      </w:r>
      <w:r>
        <w:rPr>
          <w:rFonts w:hint="eastAsia" w:ascii="宋体" w:hAnsi="宋体" w:cs="宋体"/>
          <w:sz w:val="24"/>
          <w:lang w:val="en-US" w:eastAsia="zh-CN"/>
        </w:rPr>
        <w:t>机构</w:t>
      </w:r>
      <w:r>
        <w:rPr>
          <w:rFonts w:hint="eastAsia" w:ascii="宋体" w:hAnsi="宋体" w:cs="宋体"/>
          <w:sz w:val="24"/>
        </w:rPr>
        <w:t>组成，职工2</w:t>
      </w:r>
      <w:r>
        <w:rPr>
          <w:rFonts w:hint="eastAsia" w:ascii="宋体" w:hAnsi="宋体" w:cs="宋体"/>
          <w:sz w:val="24"/>
          <w:lang w:val="en-US" w:eastAsia="zh-CN"/>
        </w:rPr>
        <w:t>7</w:t>
      </w:r>
      <w:r>
        <w:rPr>
          <w:rFonts w:hint="eastAsia" w:ascii="宋体" w:hAnsi="宋体" w:cs="宋体"/>
          <w:sz w:val="24"/>
        </w:rPr>
        <w:t>00余人，床位数1</w:t>
      </w:r>
      <w:r>
        <w:rPr>
          <w:rFonts w:hint="eastAsia" w:ascii="宋体" w:hAnsi="宋体" w:cs="宋体"/>
          <w:sz w:val="24"/>
          <w:lang w:val="en-US" w:eastAsia="zh-CN"/>
        </w:rPr>
        <w:t>5</w:t>
      </w:r>
      <w:r>
        <w:rPr>
          <w:rFonts w:hint="eastAsia" w:ascii="宋体" w:hAnsi="宋体" w:cs="宋体"/>
          <w:sz w:val="24"/>
        </w:rPr>
        <w:t>00余张。</w:t>
      </w:r>
      <w:r>
        <w:rPr>
          <w:rFonts w:hint="eastAsia"/>
          <w:b w:val="0"/>
          <w:bCs w:val="0"/>
          <w:sz w:val="24"/>
          <w:highlight w:val="none"/>
        </w:rPr>
        <w:t>为保障医院高质量发展，控制</w:t>
      </w:r>
      <w:r>
        <w:rPr>
          <w:rFonts w:hint="eastAsia"/>
          <w:b w:val="0"/>
          <w:bCs w:val="0"/>
          <w:sz w:val="24"/>
          <w:highlight w:val="none"/>
          <w:lang w:eastAsia="zh-CN"/>
        </w:rPr>
        <w:t>支出</w:t>
      </w:r>
      <w:r>
        <w:rPr>
          <w:rFonts w:hint="eastAsia"/>
          <w:b w:val="0"/>
          <w:bCs w:val="0"/>
          <w:sz w:val="24"/>
          <w:highlight w:val="none"/>
        </w:rPr>
        <w:t>成本，</w:t>
      </w:r>
      <w:r>
        <w:rPr>
          <w:rFonts w:hint="eastAsia"/>
          <w:b w:val="0"/>
          <w:bCs w:val="0"/>
          <w:sz w:val="24"/>
          <w:highlight w:val="none"/>
          <w:lang w:eastAsia="zh-CN"/>
        </w:rPr>
        <w:t>结合上级政策以及周边公立医院医疗辅助服务的模式，</w:t>
      </w:r>
      <w:r>
        <w:rPr>
          <w:rFonts w:hint="eastAsia"/>
          <w:b w:val="0"/>
          <w:bCs w:val="0"/>
          <w:sz w:val="24"/>
          <w:highlight w:val="none"/>
        </w:rPr>
        <w:t>拟面向社会公开招标采购一项</w:t>
      </w:r>
      <w:r>
        <w:rPr>
          <w:rFonts w:hint="eastAsia"/>
          <w:b w:val="0"/>
          <w:bCs w:val="0"/>
          <w:sz w:val="24"/>
          <w:highlight w:val="none"/>
          <w:lang w:val="en-US" w:eastAsia="zh-CN"/>
        </w:rPr>
        <w:t>辅助岗位</w:t>
      </w:r>
      <w:r>
        <w:rPr>
          <w:rFonts w:hint="eastAsia"/>
          <w:b w:val="0"/>
          <w:bCs w:val="0"/>
          <w:sz w:val="24"/>
          <w:highlight w:val="none"/>
        </w:rPr>
        <w:t>服务。</w:t>
      </w:r>
      <w:r>
        <w:rPr>
          <w:rFonts w:hint="eastAsia" w:ascii="宋体" w:hAnsi="宋体" w:cs="宋体"/>
          <w:sz w:val="24"/>
        </w:rPr>
        <w:t>本次采购范围为医院辅助医技、护理、后勤、行政等岗位服务，根据采购人要求的岗位数量和人员要求提供相应的服务</w:t>
      </w:r>
      <w:r>
        <w:rPr>
          <w:rFonts w:hint="eastAsia" w:ascii="Calibri" w:hAnsi="Calibri"/>
          <w:sz w:val="24"/>
        </w:rPr>
        <w:t>。</w:t>
      </w:r>
    </w:p>
    <w:p w14:paraId="460AD7E1">
      <w:pPr>
        <w:keepNext w:val="0"/>
        <w:keepLines w:val="0"/>
        <w:pageBreakBefore w:val="0"/>
        <w:widowControl w:val="0"/>
        <w:numPr>
          <w:ilvl w:val="0"/>
          <w:numId w:val="4"/>
        </w:numPr>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项目概况</w:t>
      </w:r>
    </w:p>
    <w:p w14:paraId="22AE895F">
      <w:pPr>
        <w:adjustRightInd w:val="0"/>
        <w:snapToGrid w:val="0"/>
        <w:spacing w:line="288" w:lineRule="auto"/>
        <w:ind w:firstLine="480" w:firstLineChars="200"/>
        <w:rPr>
          <w:rFonts w:hint="eastAsia" w:ascii="宋体" w:hAnsi="宋体" w:cs="宋体"/>
          <w:sz w:val="24"/>
          <w:lang w:val="en-US" w:eastAsia="zh-CN"/>
        </w:rPr>
      </w:pPr>
      <w:r>
        <w:rPr>
          <w:rFonts w:hint="eastAsia" w:ascii="宋体" w:hAnsi="宋体" w:cs="宋体"/>
          <w:sz w:val="24"/>
        </w:rPr>
        <w:t>投标人需按照采购人的规章制度及岗位职责提供服务。投标人负责配合采购人提供入职和在职培训；配合采购人开展各项工会活动或文体活动；积极落实采购人在服务工作上提出的其他管理要求。</w:t>
      </w:r>
      <w:r>
        <w:rPr>
          <w:rFonts w:hint="eastAsia" w:ascii="宋体" w:hAnsi="宋体" w:cs="宋体"/>
          <w:sz w:val="24"/>
          <w:lang w:val="en-US" w:eastAsia="zh-CN"/>
        </w:rPr>
        <w:t>服务类别及工资标准如下：</w:t>
      </w:r>
    </w:p>
    <w:tbl>
      <w:tblPr>
        <w:tblStyle w:val="11"/>
        <w:tblpPr w:leftFromText="180" w:rightFromText="180" w:vertAnchor="text" w:horzAnchor="page" w:tblpX="1260" w:tblpY="365"/>
        <w:tblOverlap w:val="never"/>
        <w:tblW w:w="47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635"/>
        <w:gridCol w:w="817"/>
        <w:gridCol w:w="2342"/>
        <w:gridCol w:w="1845"/>
        <w:gridCol w:w="2012"/>
      </w:tblGrid>
      <w:tr w14:paraId="0984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70" w:type="pct"/>
            <w:tcBorders>
              <w:top w:val="single" w:color="auto" w:sz="4" w:space="0"/>
              <w:left w:val="single" w:color="auto" w:sz="4" w:space="0"/>
              <w:bottom w:val="single" w:color="auto" w:sz="4" w:space="0"/>
              <w:right w:val="single" w:color="auto" w:sz="4" w:space="0"/>
            </w:tcBorders>
            <w:vAlign w:val="center"/>
          </w:tcPr>
          <w:p w14:paraId="496A0FB6">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宋体" w:hAnsi="宋体" w:cs="宋体"/>
                <w:b/>
                <w:bCs/>
                <w:sz w:val="21"/>
                <w:szCs w:val="21"/>
              </w:rPr>
            </w:pPr>
            <w:r>
              <w:rPr>
                <w:rFonts w:hint="eastAsia" w:ascii="宋体" w:hAnsi="宋体" w:cs="宋体"/>
                <w:b/>
                <w:bCs/>
                <w:sz w:val="21"/>
                <w:szCs w:val="21"/>
              </w:rPr>
              <w:t>序号</w:t>
            </w:r>
          </w:p>
        </w:tc>
        <w:tc>
          <w:tcPr>
            <w:tcW w:w="856" w:type="pct"/>
            <w:tcBorders>
              <w:top w:val="single" w:color="auto" w:sz="4" w:space="0"/>
              <w:left w:val="nil"/>
              <w:bottom w:val="single" w:color="auto" w:sz="4" w:space="0"/>
              <w:right w:val="single" w:color="auto" w:sz="4" w:space="0"/>
            </w:tcBorders>
            <w:vAlign w:val="center"/>
          </w:tcPr>
          <w:p w14:paraId="72E7185F">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宋体" w:hAnsi="宋体" w:cs="宋体"/>
                <w:b/>
                <w:bCs/>
                <w:sz w:val="21"/>
                <w:szCs w:val="21"/>
              </w:rPr>
            </w:pPr>
            <w:r>
              <w:rPr>
                <w:rFonts w:hint="eastAsia" w:ascii="宋体" w:hAnsi="宋体" w:cs="宋体"/>
                <w:b/>
                <w:bCs/>
                <w:sz w:val="21"/>
                <w:szCs w:val="21"/>
              </w:rPr>
              <w:t>服务类别</w:t>
            </w:r>
          </w:p>
        </w:tc>
        <w:tc>
          <w:tcPr>
            <w:tcW w:w="427" w:type="pct"/>
            <w:tcBorders>
              <w:top w:val="single" w:color="auto" w:sz="4" w:space="0"/>
              <w:left w:val="nil"/>
              <w:bottom w:val="single" w:color="auto" w:sz="4" w:space="0"/>
              <w:right w:val="single" w:color="auto" w:sz="4" w:space="0"/>
            </w:tcBorders>
            <w:vAlign w:val="center"/>
          </w:tcPr>
          <w:p w14:paraId="6C9B85DD">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宋体" w:hAnsi="宋体" w:cs="宋体"/>
                <w:b/>
                <w:bCs/>
                <w:sz w:val="21"/>
                <w:szCs w:val="21"/>
              </w:rPr>
            </w:pPr>
            <w:r>
              <w:rPr>
                <w:rFonts w:hint="eastAsia" w:ascii="宋体" w:hAnsi="宋体" w:cs="宋体"/>
                <w:b/>
                <w:bCs/>
                <w:sz w:val="21"/>
                <w:szCs w:val="21"/>
              </w:rPr>
              <w:t>数量</w:t>
            </w:r>
          </w:p>
        </w:tc>
        <w:tc>
          <w:tcPr>
            <w:tcW w:w="1226" w:type="pct"/>
            <w:tcBorders>
              <w:top w:val="single" w:color="auto" w:sz="4" w:space="0"/>
              <w:left w:val="nil"/>
              <w:bottom w:val="single" w:color="auto" w:sz="4" w:space="0"/>
              <w:right w:val="single" w:color="auto" w:sz="4" w:space="0"/>
            </w:tcBorders>
            <w:vAlign w:val="center"/>
          </w:tcPr>
          <w:p w14:paraId="0EAF4FC8">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宋体" w:hAnsi="宋体" w:cs="宋体"/>
                <w:b/>
                <w:bCs/>
                <w:sz w:val="21"/>
                <w:szCs w:val="21"/>
              </w:rPr>
            </w:pPr>
            <w:r>
              <w:rPr>
                <w:rFonts w:hint="eastAsia" w:ascii="宋体" w:hAnsi="宋体" w:cs="宋体"/>
                <w:b/>
                <w:bCs/>
                <w:sz w:val="21"/>
                <w:szCs w:val="21"/>
              </w:rPr>
              <w:t>提供服务的人员必须具备的条件</w:t>
            </w:r>
          </w:p>
        </w:tc>
        <w:tc>
          <w:tcPr>
            <w:tcW w:w="965" w:type="pct"/>
            <w:tcBorders>
              <w:top w:val="single" w:color="auto" w:sz="4" w:space="0"/>
              <w:left w:val="nil"/>
              <w:bottom w:val="single" w:color="auto" w:sz="4" w:space="0"/>
              <w:right w:val="single" w:color="auto" w:sz="4" w:space="0"/>
            </w:tcBorders>
            <w:vAlign w:val="center"/>
          </w:tcPr>
          <w:p w14:paraId="2C72B427">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cs="宋体"/>
                <w:b/>
                <w:bCs/>
                <w:sz w:val="21"/>
                <w:szCs w:val="21"/>
              </w:rPr>
            </w:pPr>
            <w:r>
              <w:rPr>
                <w:rFonts w:hint="eastAsia" w:ascii="宋体" w:hAnsi="宋体" w:cs="宋体"/>
                <w:b/>
                <w:bCs/>
                <w:sz w:val="21"/>
                <w:szCs w:val="21"/>
              </w:rPr>
              <w:t>单价最高限价（元/人/月）</w:t>
            </w:r>
          </w:p>
        </w:tc>
        <w:tc>
          <w:tcPr>
            <w:tcW w:w="1053" w:type="pct"/>
            <w:tcBorders>
              <w:top w:val="single" w:color="auto" w:sz="4" w:space="0"/>
              <w:left w:val="nil"/>
              <w:bottom w:val="single" w:color="auto" w:sz="4" w:space="0"/>
              <w:right w:val="single" w:color="auto" w:sz="4" w:space="0"/>
            </w:tcBorders>
            <w:vAlign w:val="center"/>
          </w:tcPr>
          <w:p w14:paraId="66DE795A">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宋体" w:hAnsi="宋体" w:cs="宋体"/>
                <w:b/>
                <w:bCs/>
                <w:sz w:val="21"/>
                <w:szCs w:val="21"/>
              </w:rPr>
            </w:pPr>
            <w:r>
              <w:rPr>
                <w:rFonts w:hint="eastAsia" w:ascii="宋体" w:hAnsi="宋体" w:cs="宋体"/>
                <w:b/>
                <w:bCs/>
                <w:sz w:val="21"/>
                <w:szCs w:val="21"/>
                <w:lang w:val="en-US" w:eastAsia="zh-CN"/>
              </w:rPr>
              <w:t>人员薪酬支付标准</w:t>
            </w:r>
            <w:r>
              <w:rPr>
                <w:rFonts w:hint="eastAsia" w:ascii="宋体" w:hAnsi="宋体" w:cs="宋体"/>
                <w:b/>
                <w:bCs/>
                <w:sz w:val="21"/>
                <w:szCs w:val="21"/>
              </w:rPr>
              <w:t>（元/人/月）</w:t>
            </w:r>
          </w:p>
        </w:tc>
      </w:tr>
      <w:tr w14:paraId="1C07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70" w:type="pct"/>
            <w:tcBorders>
              <w:top w:val="single" w:color="auto" w:sz="4" w:space="0"/>
              <w:left w:val="single" w:color="auto" w:sz="4" w:space="0"/>
              <w:bottom w:val="single" w:color="auto" w:sz="4" w:space="0"/>
              <w:right w:val="single" w:color="auto" w:sz="4" w:space="0"/>
            </w:tcBorders>
            <w:vAlign w:val="center"/>
          </w:tcPr>
          <w:p w14:paraId="523B1302">
            <w:pPr>
              <w:keepNext w:val="0"/>
              <w:keepLines w:val="0"/>
              <w:pageBreakBefore w:val="0"/>
              <w:widowControl/>
              <w:kinsoku/>
              <w:wordWrap/>
              <w:overflowPunct/>
              <w:topLinePunct w:val="0"/>
              <w:autoSpaceDE/>
              <w:autoSpaceDN/>
              <w:bidi w:val="0"/>
              <w:adjustRightInd w:val="0"/>
              <w:snapToGrid w:val="0"/>
              <w:spacing w:line="200" w:lineRule="atLeast"/>
              <w:jc w:val="center"/>
              <w:textAlignment w:val="auto"/>
              <w:rPr>
                <w:rFonts w:ascii="宋体" w:hAnsi="宋体" w:cs="宋体"/>
                <w:sz w:val="21"/>
                <w:szCs w:val="21"/>
              </w:rPr>
            </w:pPr>
            <w:r>
              <w:rPr>
                <w:rFonts w:hint="eastAsia" w:ascii="宋体" w:hAnsi="宋体" w:cs="宋体"/>
                <w:kern w:val="0"/>
                <w:sz w:val="21"/>
                <w:szCs w:val="21"/>
              </w:rPr>
              <w:t>1</w:t>
            </w:r>
          </w:p>
        </w:tc>
        <w:tc>
          <w:tcPr>
            <w:tcW w:w="856" w:type="pct"/>
            <w:tcBorders>
              <w:top w:val="single" w:color="auto" w:sz="4" w:space="0"/>
              <w:left w:val="nil"/>
              <w:bottom w:val="single" w:color="auto" w:sz="4" w:space="0"/>
              <w:right w:val="single" w:color="auto" w:sz="4" w:space="0"/>
            </w:tcBorders>
            <w:vAlign w:val="center"/>
          </w:tcPr>
          <w:p w14:paraId="08ED5012">
            <w:pPr>
              <w:keepNext w:val="0"/>
              <w:keepLines w:val="0"/>
              <w:pageBreakBefore w:val="0"/>
              <w:kinsoku/>
              <w:wordWrap/>
              <w:overflowPunct/>
              <w:topLinePunct w:val="0"/>
              <w:autoSpaceDE/>
              <w:autoSpaceDN/>
              <w:bidi w:val="0"/>
              <w:adjustRightInd w:val="0"/>
              <w:spacing w:after="120" w:line="200" w:lineRule="atLeast"/>
              <w:jc w:val="center"/>
              <w:textAlignment w:val="auto"/>
              <w:rPr>
                <w:rFonts w:ascii="宋体" w:hAnsi="宋体" w:cs="宋体"/>
                <w:sz w:val="21"/>
                <w:szCs w:val="21"/>
              </w:rPr>
            </w:pPr>
            <w:r>
              <w:rPr>
                <w:rFonts w:hint="eastAsia" w:ascii="宋体" w:hAnsi="宋体" w:cs="宋体"/>
                <w:sz w:val="21"/>
                <w:szCs w:val="21"/>
              </w:rPr>
              <w:t>文员服务</w:t>
            </w:r>
          </w:p>
        </w:tc>
        <w:tc>
          <w:tcPr>
            <w:tcW w:w="817" w:type="dxa"/>
            <w:tcBorders>
              <w:top w:val="single" w:color="auto" w:sz="4" w:space="0"/>
              <w:left w:val="nil"/>
              <w:bottom w:val="single" w:color="auto" w:sz="4" w:space="0"/>
              <w:right w:val="single" w:color="auto" w:sz="4" w:space="0"/>
            </w:tcBorders>
            <w:vAlign w:val="center"/>
          </w:tcPr>
          <w:p w14:paraId="1BB7E5D1">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2"/>
                <w:szCs w:val="22"/>
                <w:u w:val="none"/>
                <w:lang w:val="en-US" w:eastAsia="zh-CN" w:bidi="ar"/>
              </w:rPr>
              <w:t>100</w:t>
            </w:r>
          </w:p>
        </w:tc>
        <w:tc>
          <w:tcPr>
            <w:tcW w:w="1226" w:type="pct"/>
            <w:tcBorders>
              <w:top w:val="single" w:color="auto" w:sz="4" w:space="0"/>
              <w:left w:val="nil"/>
              <w:bottom w:val="single" w:color="auto" w:sz="4" w:space="0"/>
              <w:right w:val="single" w:color="auto" w:sz="4" w:space="0"/>
            </w:tcBorders>
            <w:vAlign w:val="center"/>
          </w:tcPr>
          <w:p w14:paraId="46504B31">
            <w:pPr>
              <w:keepNext w:val="0"/>
              <w:keepLines w:val="0"/>
              <w:pageBreakBefore w:val="0"/>
              <w:kinsoku/>
              <w:wordWrap/>
              <w:overflowPunct/>
              <w:topLinePunct w:val="0"/>
              <w:autoSpaceDE/>
              <w:autoSpaceDN/>
              <w:bidi w:val="0"/>
              <w:adjustRightInd w:val="0"/>
              <w:snapToGrid w:val="0"/>
              <w:spacing w:line="200" w:lineRule="atLeast"/>
              <w:jc w:val="center"/>
              <w:textAlignment w:val="auto"/>
              <w:rPr>
                <w:rFonts w:ascii="宋体" w:hAnsi="宋体" w:cs="宋体"/>
                <w:sz w:val="21"/>
                <w:szCs w:val="21"/>
              </w:rPr>
            </w:pPr>
            <w:r>
              <w:rPr>
                <w:rFonts w:hint="eastAsia" w:ascii="宋体" w:hAnsi="宋体" w:cs="宋体"/>
                <w:kern w:val="0"/>
                <w:sz w:val="21"/>
                <w:szCs w:val="21"/>
              </w:rPr>
              <w:t>具有中专及以上学历</w:t>
            </w:r>
          </w:p>
        </w:tc>
        <w:tc>
          <w:tcPr>
            <w:tcW w:w="1845" w:type="dxa"/>
            <w:tcBorders>
              <w:top w:val="single" w:color="auto" w:sz="4" w:space="0"/>
              <w:left w:val="nil"/>
              <w:bottom w:val="single" w:color="auto" w:sz="4" w:space="0"/>
              <w:right w:val="single" w:color="auto" w:sz="4" w:space="0"/>
            </w:tcBorders>
            <w:vAlign w:val="center"/>
          </w:tcPr>
          <w:p w14:paraId="5279C85E">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6360</w:t>
            </w:r>
          </w:p>
        </w:tc>
        <w:tc>
          <w:tcPr>
            <w:tcW w:w="1053" w:type="pct"/>
            <w:tcBorders>
              <w:top w:val="single" w:color="auto" w:sz="4" w:space="0"/>
              <w:left w:val="nil"/>
              <w:bottom w:val="single" w:color="auto" w:sz="4" w:space="0"/>
              <w:right w:val="single" w:color="auto" w:sz="4" w:space="0"/>
            </w:tcBorders>
            <w:vAlign w:val="center"/>
          </w:tcPr>
          <w:p w14:paraId="0615B490">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i w:val="0"/>
                <w:iCs w:val="0"/>
                <w:color w:val="000000"/>
                <w:kern w:val="0"/>
                <w:sz w:val="22"/>
                <w:szCs w:val="22"/>
                <w:u w:val="none"/>
                <w:lang w:val="en-US" w:eastAsia="zh-CN" w:bidi="ar"/>
              </w:rPr>
              <w:t>4900</w:t>
            </w:r>
          </w:p>
        </w:tc>
      </w:tr>
      <w:tr w14:paraId="6458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70" w:type="pct"/>
            <w:tcBorders>
              <w:top w:val="single" w:color="auto" w:sz="4" w:space="0"/>
              <w:left w:val="single" w:color="auto" w:sz="4" w:space="0"/>
              <w:bottom w:val="single" w:color="auto" w:sz="4" w:space="0"/>
              <w:right w:val="single" w:color="auto" w:sz="4" w:space="0"/>
            </w:tcBorders>
            <w:vAlign w:val="center"/>
          </w:tcPr>
          <w:p w14:paraId="2EE7F9A1">
            <w:pPr>
              <w:keepNext w:val="0"/>
              <w:keepLines w:val="0"/>
              <w:pageBreakBefore w:val="0"/>
              <w:widowControl/>
              <w:kinsoku/>
              <w:wordWrap/>
              <w:overflowPunct/>
              <w:topLinePunct w:val="0"/>
              <w:autoSpaceDE/>
              <w:autoSpaceDN/>
              <w:bidi w:val="0"/>
              <w:adjustRightInd w:val="0"/>
              <w:snapToGrid w:val="0"/>
              <w:spacing w:line="200" w:lineRule="atLeast"/>
              <w:jc w:val="center"/>
              <w:textAlignment w:val="auto"/>
              <w:rPr>
                <w:rFonts w:ascii="宋体" w:hAnsi="宋体" w:cs="宋体"/>
                <w:sz w:val="21"/>
                <w:szCs w:val="21"/>
              </w:rPr>
            </w:pPr>
            <w:r>
              <w:rPr>
                <w:rFonts w:hint="eastAsia" w:ascii="宋体" w:hAnsi="宋体" w:cs="宋体"/>
                <w:kern w:val="0"/>
                <w:sz w:val="21"/>
                <w:szCs w:val="21"/>
              </w:rPr>
              <w:t>2</w:t>
            </w:r>
          </w:p>
        </w:tc>
        <w:tc>
          <w:tcPr>
            <w:tcW w:w="856" w:type="pct"/>
            <w:tcBorders>
              <w:top w:val="single" w:color="auto" w:sz="4" w:space="0"/>
              <w:left w:val="nil"/>
              <w:bottom w:val="single" w:color="auto" w:sz="4" w:space="0"/>
              <w:right w:val="single" w:color="auto" w:sz="4" w:space="0"/>
            </w:tcBorders>
            <w:vAlign w:val="center"/>
          </w:tcPr>
          <w:p w14:paraId="3BBC2FBE">
            <w:pPr>
              <w:keepNext w:val="0"/>
              <w:keepLines w:val="0"/>
              <w:pageBreakBefore w:val="0"/>
              <w:kinsoku/>
              <w:wordWrap/>
              <w:overflowPunct/>
              <w:topLinePunct w:val="0"/>
              <w:autoSpaceDE/>
              <w:autoSpaceDN/>
              <w:bidi w:val="0"/>
              <w:adjustRightInd w:val="0"/>
              <w:spacing w:after="120" w:line="200" w:lineRule="atLeast"/>
              <w:jc w:val="center"/>
              <w:textAlignment w:val="auto"/>
              <w:rPr>
                <w:rFonts w:ascii="宋体" w:hAnsi="宋体" w:cs="宋体"/>
                <w:sz w:val="21"/>
                <w:szCs w:val="21"/>
              </w:rPr>
            </w:pPr>
            <w:r>
              <w:rPr>
                <w:rFonts w:hint="eastAsia" w:ascii="宋体" w:hAnsi="宋体" w:cs="宋体"/>
                <w:sz w:val="21"/>
                <w:szCs w:val="21"/>
              </w:rPr>
              <w:t>助理服务</w:t>
            </w:r>
          </w:p>
        </w:tc>
        <w:tc>
          <w:tcPr>
            <w:tcW w:w="817" w:type="dxa"/>
            <w:tcBorders>
              <w:top w:val="single" w:color="auto" w:sz="4" w:space="0"/>
              <w:left w:val="nil"/>
              <w:bottom w:val="single" w:color="auto" w:sz="4" w:space="0"/>
              <w:right w:val="single" w:color="auto" w:sz="4" w:space="0"/>
            </w:tcBorders>
            <w:vAlign w:val="center"/>
          </w:tcPr>
          <w:p w14:paraId="1AF70EFA">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2"/>
                <w:szCs w:val="22"/>
                <w:u w:val="none"/>
                <w:lang w:val="en-US" w:eastAsia="zh-CN" w:bidi="ar"/>
              </w:rPr>
              <w:t>85</w:t>
            </w:r>
          </w:p>
        </w:tc>
        <w:tc>
          <w:tcPr>
            <w:tcW w:w="1226" w:type="pct"/>
            <w:tcBorders>
              <w:top w:val="single" w:color="auto" w:sz="4" w:space="0"/>
              <w:left w:val="nil"/>
              <w:bottom w:val="single" w:color="auto" w:sz="4" w:space="0"/>
              <w:right w:val="single" w:color="auto" w:sz="4" w:space="0"/>
            </w:tcBorders>
            <w:vAlign w:val="center"/>
          </w:tcPr>
          <w:p w14:paraId="61AA4257">
            <w:pPr>
              <w:keepNext w:val="0"/>
              <w:keepLines w:val="0"/>
              <w:pageBreakBefore w:val="0"/>
              <w:kinsoku/>
              <w:wordWrap/>
              <w:overflowPunct/>
              <w:topLinePunct w:val="0"/>
              <w:autoSpaceDE/>
              <w:autoSpaceDN/>
              <w:bidi w:val="0"/>
              <w:adjustRightInd w:val="0"/>
              <w:snapToGrid w:val="0"/>
              <w:spacing w:line="200" w:lineRule="atLeast"/>
              <w:jc w:val="center"/>
              <w:textAlignment w:val="auto"/>
              <w:rPr>
                <w:rFonts w:ascii="宋体" w:hAnsi="宋体" w:cs="宋体"/>
                <w:sz w:val="21"/>
                <w:szCs w:val="21"/>
              </w:rPr>
            </w:pPr>
            <w:r>
              <w:rPr>
                <w:rFonts w:hint="eastAsia" w:ascii="宋体" w:hAnsi="宋体" w:cs="宋体"/>
                <w:kern w:val="0"/>
                <w:sz w:val="21"/>
                <w:szCs w:val="21"/>
              </w:rPr>
              <w:t>具有大专及以上学历</w:t>
            </w:r>
          </w:p>
        </w:tc>
        <w:tc>
          <w:tcPr>
            <w:tcW w:w="1845" w:type="dxa"/>
            <w:tcBorders>
              <w:top w:val="single" w:color="auto" w:sz="4" w:space="0"/>
              <w:left w:val="nil"/>
              <w:bottom w:val="single" w:color="auto" w:sz="4" w:space="0"/>
              <w:right w:val="single" w:color="auto" w:sz="4" w:space="0"/>
            </w:tcBorders>
            <w:vAlign w:val="center"/>
          </w:tcPr>
          <w:p w14:paraId="0ACE7493">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6560</w:t>
            </w:r>
          </w:p>
        </w:tc>
        <w:tc>
          <w:tcPr>
            <w:tcW w:w="1053" w:type="pct"/>
            <w:tcBorders>
              <w:top w:val="single" w:color="auto" w:sz="4" w:space="0"/>
              <w:left w:val="nil"/>
              <w:bottom w:val="single" w:color="auto" w:sz="4" w:space="0"/>
              <w:right w:val="single" w:color="auto" w:sz="4" w:space="0"/>
            </w:tcBorders>
            <w:vAlign w:val="center"/>
          </w:tcPr>
          <w:p w14:paraId="35132B65">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i w:val="0"/>
                <w:iCs w:val="0"/>
                <w:color w:val="000000"/>
                <w:kern w:val="0"/>
                <w:sz w:val="22"/>
                <w:szCs w:val="22"/>
                <w:u w:val="none"/>
                <w:lang w:val="en-US" w:eastAsia="zh-CN" w:bidi="ar"/>
              </w:rPr>
              <w:t>5100</w:t>
            </w:r>
          </w:p>
        </w:tc>
      </w:tr>
      <w:tr w14:paraId="19A0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0" w:type="pct"/>
            <w:tcBorders>
              <w:top w:val="single" w:color="auto" w:sz="4" w:space="0"/>
              <w:left w:val="single" w:color="auto" w:sz="4" w:space="0"/>
              <w:bottom w:val="single" w:color="auto" w:sz="4" w:space="0"/>
              <w:right w:val="single" w:color="auto" w:sz="4" w:space="0"/>
            </w:tcBorders>
            <w:vAlign w:val="center"/>
          </w:tcPr>
          <w:p w14:paraId="51099E8D">
            <w:pPr>
              <w:keepNext w:val="0"/>
              <w:keepLines w:val="0"/>
              <w:pageBreakBefore w:val="0"/>
              <w:widowControl/>
              <w:kinsoku/>
              <w:wordWrap/>
              <w:overflowPunct/>
              <w:topLinePunct w:val="0"/>
              <w:autoSpaceDE/>
              <w:autoSpaceDN/>
              <w:bidi w:val="0"/>
              <w:adjustRightInd w:val="0"/>
              <w:snapToGrid w:val="0"/>
              <w:spacing w:line="200" w:lineRule="atLeast"/>
              <w:jc w:val="center"/>
              <w:textAlignment w:val="auto"/>
              <w:rPr>
                <w:rFonts w:ascii="宋体" w:hAnsi="宋体" w:cs="宋体"/>
                <w:sz w:val="21"/>
                <w:szCs w:val="21"/>
              </w:rPr>
            </w:pPr>
            <w:r>
              <w:rPr>
                <w:rFonts w:hint="eastAsia" w:ascii="宋体" w:hAnsi="宋体" w:cs="宋体"/>
                <w:kern w:val="0"/>
                <w:sz w:val="21"/>
                <w:szCs w:val="21"/>
              </w:rPr>
              <w:t>3</w:t>
            </w:r>
          </w:p>
        </w:tc>
        <w:tc>
          <w:tcPr>
            <w:tcW w:w="856" w:type="pct"/>
            <w:tcBorders>
              <w:top w:val="single" w:color="auto" w:sz="4" w:space="0"/>
              <w:left w:val="nil"/>
              <w:bottom w:val="single" w:color="auto" w:sz="4" w:space="0"/>
              <w:right w:val="single" w:color="auto" w:sz="4" w:space="0"/>
            </w:tcBorders>
            <w:vAlign w:val="center"/>
          </w:tcPr>
          <w:p w14:paraId="233F2D4B">
            <w:pPr>
              <w:keepNext w:val="0"/>
              <w:keepLines w:val="0"/>
              <w:pageBreakBefore w:val="0"/>
              <w:kinsoku/>
              <w:wordWrap/>
              <w:overflowPunct/>
              <w:topLinePunct w:val="0"/>
              <w:autoSpaceDE/>
              <w:autoSpaceDN/>
              <w:bidi w:val="0"/>
              <w:adjustRightInd w:val="0"/>
              <w:spacing w:after="120" w:line="200" w:lineRule="atLeast"/>
              <w:jc w:val="center"/>
              <w:textAlignment w:val="auto"/>
              <w:rPr>
                <w:rFonts w:ascii="宋体" w:hAnsi="宋体" w:cs="宋体"/>
                <w:sz w:val="21"/>
                <w:szCs w:val="21"/>
              </w:rPr>
            </w:pPr>
            <w:r>
              <w:rPr>
                <w:rFonts w:hint="eastAsia" w:ascii="宋体" w:hAnsi="宋体" w:cs="宋体"/>
                <w:sz w:val="21"/>
                <w:szCs w:val="21"/>
              </w:rPr>
              <w:t>导医服务</w:t>
            </w:r>
          </w:p>
        </w:tc>
        <w:tc>
          <w:tcPr>
            <w:tcW w:w="817" w:type="dxa"/>
            <w:tcBorders>
              <w:top w:val="single" w:color="auto" w:sz="4" w:space="0"/>
              <w:left w:val="nil"/>
              <w:bottom w:val="single" w:color="auto" w:sz="4" w:space="0"/>
              <w:right w:val="single" w:color="auto" w:sz="4" w:space="0"/>
            </w:tcBorders>
            <w:vAlign w:val="center"/>
          </w:tcPr>
          <w:p w14:paraId="035FBC7F">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2"/>
                <w:szCs w:val="22"/>
                <w:u w:val="none"/>
                <w:lang w:val="en-US" w:eastAsia="zh-CN" w:bidi="ar"/>
              </w:rPr>
              <w:t>115</w:t>
            </w:r>
          </w:p>
        </w:tc>
        <w:tc>
          <w:tcPr>
            <w:tcW w:w="1226" w:type="pct"/>
            <w:tcBorders>
              <w:top w:val="single" w:color="auto" w:sz="4" w:space="0"/>
              <w:left w:val="nil"/>
              <w:bottom w:val="single" w:color="auto" w:sz="4" w:space="0"/>
              <w:right w:val="single" w:color="auto" w:sz="4" w:space="0"/>
            </w:tcBorders>
            <w:vAlign w:val="center"/>
          </w:tcPr>
          <w:p w14:paraId="118F54B5">
            <w:pPr>
              <w:keepNext w:val="0"/>
              <w:keepLines w:val="0"/>
              <w:pageBreakBefore w:val="0"/>
              <w:kinsoku/>
              <w:wordWrap/>
              <w:overflowPunct/>
              <w:topLinePunct w:val="0"/>
              <w:autoSpaceDE/>
              <w:autoSpaceDN/>
              <w:bidi w:val="0"/>
              <w:adjustRightInd w:val="0"/>
              <w:snapToGrid w:val="0"/>
              <w:spacing w:line="200" w:lineRule="atLeast"/>
              <w:jc w:val="center"/>
              <w:textAlignment w:val="auto"/>
              <w:rPr>
                <w:rFonts w:ascii="宋体" w:hAnsi="宋体" w:cs="宋体"/>
                <w:sz w:val="21"/>
                <w:szCs w:val="21"/>
              </w:rPr>
            </w:pPr>
            <w:r>
              <w:rPr>
                <w:rFonts w:hint="eastAsia" w:ascii="宋体" w:hAnsi="宋体" w:cs="宋体"/>
                <w:kern w:val="0"/>
                <w:sz w:val="21"/>
                <w:szCs w:val="21"/>
              </w:rPr>
              <w:t>具有中专及以上学历</w:t>
            </w:r>
          </w:p>
        </w:tc>
        <w:tc>
          <w:tcPr>
            <w:tcW w:w="1845" w:type="dxa"/>
            <w:tcBorders>
              <w:top w:val="single" w:color="auto" w:sz="4" w:space="0"/>
              <w:left w:val="nil"/>
              <w:bottom w:val="single" w:color="auto" w:sz="4" w:space="0"/>
              <w:right w:val="single" w:color="auto" w:sz="4" w:space="0"/>
            </w:tcBorders>
            <w:vAlign w:val="center"/>
          </w:tcPr>
          <w:p w14:paraId="119A8A88">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6660</w:t>
            </w:r>
          </w:p>
        </w:tc>
        <w:tc>
          <w:tcPr>
            <w:tcW w:w="1053" w:type="pct"/>
            <w:tcBorders>
              <w:top w:val="single" w:color="auto" w:sz="4" w:space="0"/>
              <w:left w:val="nil"/>
              <w:bottom w:val="single" w:color="auto" w:sz="4" w:space="0"/>
              <w:right w:val="single" w:color="auto" w:sz="4" w:space="0"/>
            </w:tcBorders>
            <w:vAlign w:val="center"/>
          </w:tcPr>
          <w:p w14:paraId="2FE65E5F">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i w:val="0"/>
                <w:iCs w:val="0"/>
                <w:color w:val="000000"/>
                <w:kern w:val="0"/>
                <w:sz w:val="22"/>
                <w:szCs w:val="22"/>
                <w:u w:val="none"/>
                <w:lang w:val="en-US" w:eastAsia="zh-CN" w:bidi="ar"/>
              </w:rPr>
              <w:t>5200</w:t>
            </w:r>
          </w:p>
        </w:tc>
      </w:tr>
      <w:tr w14:paraId="53BF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70" w:type="pct"/>
            <w:tcBorders>
              <w:top w:val="single" w:color="auto" w:sz="4" w:space="0"/>
              <w:left w:val="single" w:color="auto" w:sz="4" w:space="0"/>
              <w:bottom w:val="single" w:color="auto" w:sz="4" w:space="0"/>
              <w:right w:val="single" w:color="auto" w:sz="4" w:space="0"/>
            </w:tcBorders>
            <w:vAlign w:val="center"/>
          </w:tcPr>
          <w:p w14:paraId="41A34D6C">
            <w:pPr>
              <w:keepNext w:val="0"/>
              <w:keepLines w:val="0"/>
              <w:pageBreakBefore w:val="0"/>
              <w:widowControl/>
              <w:kinsoku/>
              <w:wordWrap/>
              <w:overflowPunct/>
              <w:topLinePunct w:val="0"/>
              <w:autoSpaceDE/>
              <w:autoSpaceDN/>
              <w:bidi w:val="0"/>
              <w:adjustRightInd w:val="0"/>
              <w:snapToGrid w:val="0"/>
              <w:spacing w:line="200" w:lineRule="atLeast"/>
              <w:jc w:val="center"/>
              <w:textAlignment w:val="auto"/>
              <w:rPr>
                <w:rFonts w:ascii="宋体" w:hAnsi="宋体" w:cs="宋体"/>
                <w:sz w:val="21"/>
                <w:szCs w:val="21"/>
              </w:rPr>
            </w:pPr>
            <w:r>
              <w:rPr>
                <w:rFonts w:hint="eastAsia" w:ascii="宋体" w:hAnsi="宋体" w:cs="宋体"/>
                <w:kern w:val="0"/>
                <w:sz w:val="21"/>
                <w:szCs w:val="21"/>
              </w:rPr>
              <w:t>4</w:t>
            </w:r>
          </w:p>
        </w:tc>
        <w:tc>
          <w:tcPr>
            <w:tcW w:w="856" w:type="pct"/>
            <w:tcBorders>
              <w:top w:val="single" w:color="auto" w:sz="4" w:space="0"/>
              <w:left w:val="nil"/>
              <w:bottom w:val="single" w:color="auto" w:sz="4" w:space="0"/>
              <w:right w:val="single" w:color="auto" w:sz="4" w:space="0"/>
            </w:tcBorders>
            <w:vAlign w:val="center"/>
          </w:tcPr>
          <w:p w14:paraId="180F6593">
            <w:pPr>
              <w:keepNext w:val="0"/>
              <w:keepLines w:val="0"/>
              <w:pageBreakBefore w:val="0"/>
              <w:kinsoku/>
              <w:wordWrap/>
              <w:overflowPunct/>
              <w:topLinePunct w:val="0"/>
              <w:autoSpaceDE/>
              <w:autoSpaceDN/>
              <w:bidi w:val="0"/>
              <w:adjustRightInd w:val="0"/>
              <w:spacing w:after="120" w:line="200" w:lineRule="atLeast"/>
              <w:jc w:val="center"/>
              <w:textAlignment w:val="auto"/>
              <w:rPr>
                <w:rFonts w:ascii="宋体" w:hAnsi="宋体" w:cs="宋体"/>
                <w:sz w:val="21"/>
                <w:szCs w:val="21"/>
              </w:rPr>
            </w:pPr>
            <w:r>
              <w:rPr>
                <w:rFonts w:hint="eastAsia" w:ascii="宋体" w:hAnsi="宋体" w:cs="宋体"/>
                <w:sz w:val="21"/>
                <w:szCs w:val="21"/>
              </w:rPr>
              <w:t>助理护士服务</w:t>
            </w:r>
          </w:p>
        </w:tc>
        <w:tc>
          <w:tcPr>
            <w:tcW w:w="817" w:type="dxa"/>
            <w:tcBorders>
              <w:top w:val="single" w:color="auto" w:sz="4" w:space="0"/>
              <w:left w:val="nil"/>
              <w:bottom w:val="single" w:color="auto" w:sz="4" w:space="0"/>
              <w:right w:val="single" w:color="auto" w:sz="4" w:space="0"/>
            </w:tcBorders>
            <w:vAlign w:val="center"/>
          </w:tcPr>
          <w:p w14:paraId="65AE0D55">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2"/>
                <w:szCs w:val="22"/>
                <w:u w:val="none"/>
                <w:lang w:val="en-US" w:eastAsia="zh-CN" w:bidi="ar"/>
              </w:rPr>
              <w:t>300</w:t>
            </w:r>
          </w:p>
        </w:tc>
        <w:tc>
          <w:tcPr>
            <w:tcW w:w="1226" w:type="pct"/>
            <w:tcBorders>
              <w:top w:val="single" w:color="auto" w:sz="4" w:space="0"/>
              <w:left w:val="nil"/>
              <w:bottom w:val="single" w:color="auto" w:sz="4" w:space="0"/>
              <w:right w:val="single" w:color="auto" w:sz="4" w:space="0"/>
            </w:tcBorders>
            <w:vAlign w:val="center"/>
          </w:tcPr>
          <w:p w14:paraId="2B8A9DF4">
            <w:pPr>
              <w:keepNext w:val="0"/>
              <w:keepLines w:val="0"/>
              <w:pageBreakBefore w:val="0"/>
              <w:kinsoku/>
              <w:wordWrap/>
              <w:overflowPunct/>
              <w:topLinePunct w:val="0"/>
              <w:autoSpaceDE/>
              <w:autoSpaceDN/>
              <w:bidi w:val="0"/>
              <w:adjustRightInd w:val="0"/>
              <w:snapToGrid w:val="0"/>
              <w:spacing w:line="200" w:lineRule="atLeast"/>
              <w:jc w:val="center"/>
              <w:textAlignment w:val="auto"/>
              <w:rPr>
                <w:rFonts w:ascii="宋体" w:hAnsi="宋体" w:cs="宋体"/>
                <w:sz w:val="21"/>
                <w:szCs w:val="21"/>
              </w:rPr>
            </w:pPr>
            <w:r>
              <w:rPr>
                <w:rFonts w:hint="eastAsia" w:ascii="宋体" w:hAnsi="宋体" w:cs="宋体"/>
                <w:kern w:val="0"/>
                <w:sz w:val="21"/>
                <w:szCs w:val="21"/>
              </w:rPr>
              <w:t>具有大专及以上学历</w:t>
            </w:r>
          </w:p>
        </w:tc>
        <w:tc>
          <w:tcPr>
            <w:tcW w:w="1845" w:type="dxa"/>
            <w:tcBorders>
              <w:top w:val="single" w:color="auto" w:sz="4" w:space="0"/>
              <w:left w:val="nil"/>
              <w:bottom w:val="single" w:color="auto" w:sz="4" w:space="0"/>
              <w:right w:val="single" w:color="auto" w:sz="4" w:space="0"/>
            </w:tcBorders>
            <w:vAlign w:val="center"/>
          </w:tcPr>
          <w:p w14:paraId="1091A985">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7560</w:t>
            </w:r>
          </w:p>
        </w:tc>
        <w:tc>
          <w:tcPr>
            <w:tcW w:w="1053" w:type="pct"/>
            <w:tcBorders>
              <w:top w:val="single" w:color="auto" w:sz="4" w:space="0"/>
              <w:left w:val="nil"/>
              <w:bottom w:val="single" w:color="auto" w:sz="4" w:space="0"/>
              <w:right w:val="single" w:color="auto" w:sz="4" w:space="0"/>
            </w:tcBorders>
            <w:vAlign w:val="center"/>
          </w:tcPr>
          <w:p w14:paraId="13AF316E">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i w:val="0"/>
                <w:iCs w:val="0"/>
                <w:color w:val="000000"/>
                <w:kern w:val="0"/>
                <w:sz w:val="22"/>
                <w:szCs w:val="22"/>
                <w:u w:val="none"/>
                <w:lang w:val="en-US" w:eastAsia="zh-CN" w:bidi="ar"/>
              </w:rPr>
              <w:t>6100</w:t>
            </w:r>
          </w:p>
        </w:tc>
      </w:tr>
      <w:tr w14:paraId="50B7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0" w:type="pct"/>
            <w:tcBorders>
              <w:top w:val="single" w:color="auto" w:sz="4" w:space="0"/>
              <w:left w:val="single" w:color="auto" w:sz="4" w:space="0"/>
              <w:bottom w:val="single" w:color="auto" w:sz="4" w:space="0"/>
              <w:right w:val="single" w:color="auto" w:sz="4" w:space="0"/>
            </w:tcBorders>
            <w:vAlign w:val="center"/>
          </w:tcPr>
          <w:p w14:paraId="5D525AFE">
            <w:pPr>
              <w:keepNext w:val="0"/>
              <w:keepLines w:val="0"/>
              <w:pageBreakBefore w:val="0"/>
              <w:widowControl/>
              <w:kinsoku/>
              <w:wordWrap/>
              <w:overflowPunct/>
              <w:topLinePunct w:val="0"/>
              <w:autoSpaceDE/>
              <w:autoSpaceDN/>
              <w:bidi w:val="0"/>
              <w:adjustRightInd w:val="0"/>
              <w:snapToGrid w:val="0"/>
              <w:spacing w:line="200" w:lineRule="atLeast"/>
              <w:jc w:val="center"/>
              <w:textAlignment w:val="auto"/>
              <w:rPr>
                <w:rFonts w:ascii="宋体" w:hAnsi="宋体" w:cs="宋体"/>
                <w:sz w:val="21"/>
                <w:szCs w:val="21"/>
              </w:rPr>
            </w:pPr>
            <w:r>
              <w:rPr>
                <w:rFonts w:hint="eastAsia" w:ascii="宋体" w:hAnsi="宋体" w:cs="宋体"/>
                <w:kern w:val="0"/>
                <w:sz w:val="21"/>
                <w:szCs w:val="21"/>
              </w:rPr>
              <w:t>5</w:t>
            </w:r>
          </w:p>
        </w:tc>
        <w:tc>
          <w:tcPr>
            <w:tcW w:w="856" w:type="pct"/>
            <w:tcBorders>
              <w:top w:val="single" w:color="auto" w:sz="4" w:space="0"/>
              <w:left w:val="nil"/>
              <w:bottom w:val="single" w:color="auto" w:sz="4" w:space="0"/>
              <w:right w:val="single" w:color="auto" w:sz="4" w:space="0"/>
            </w:tcBorders>
            <w:vAlign w:val="center"/>
          </w:tcPr>
          <w:p w14:paraId="6B407B94">
            <w:pPr>
              <w:keepNext w:val="0"/>
              <w:keepLines w:val="0"/>
              <w:pageBreakBefore w:val="0"/>
              <w:kinsoku/>
              <w:wordWrap/>
              <w:overflowPunct/>
              <w:topLinePunct w:val="0"/>
              <w:autoSpaceDE/>
              <w:autoSpaceDN/>
              <w:bidi w:val="0"/>
              <w:adjustRightInd w:val="0"/>
              <w:spacing w:after="120" w:line="200" w:lineRule="atLeast"/>
              <w:jc w:val="center"/>
              <w:textAlignment w:val="auto"/>
              <w:rPr>
                <w:rFonts w:ascii="宋体" w:hAnsi="宋体" w:cs="宋体"/>
                <w:sz w:val="21"/>
                <w:szCs w:val="21"/>
              </w:rPr>
            </w:pPr>
            <w:r>
              <w:rPr>
                <w:rFonts w:hint="eastAsia" w:ascii="宋体" w:hAnsi="宋体" w:cs="宋体"/>
                <w:sz w:val="21"/>
                <w:szCs w:val="21"/>
              </w:rPr>
              <w:t>秘书服务</w:t>
            </w:r>
          </w:p>
        </w:tc>
        <w:tc>
          <w:tcPr>
            <w:tcW w:w="817" w:type="dxa"/>
            <w:tcBorders>
              <w:top w:val="single" w:color="auto" w:sz="4" w:space="0"/>
              <w:left w:val="nil"/>
              <w:bottom w:val="single" w:color="auto" w:sz="4" w:space="0"/>
              <w:right w:val="single" w:color="auto" w:sz="4" w:space="0"/>
            </w:tcBorders>
            <w:vAlign w:val="center"/>
          </w:tcPr>
          <w:p w14:paraId="52960E94">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2"/>
                <w:szCs w:val="22"/>
                <w:u w:val="none"/>
                <w:lang w:val="en-US" w:eastAsia="zh-CN" w:bidi="ar"/>
              </w:rPr>
              <w:t>20</w:t>
            </w:r>
          </w:p>
        </w:tc>
        <w:tc>
          <w:tcPr>
            <w:tcW w:w="1226" w:type="pct"/>
            <w:tcBorders>
              <w:top w:val="single" w:color="auto" w:sz="4" w:space="0"/>
              <w:left w:val="nil"/>
              <w:bottom w:val="single" w:color="auto" w:sz="4" w:space="0"/>
              <w:right w:val="single" w:color="auto" w:sz="4" w:space="0"/>
            </w:tcBorders>
            <w:vAlign w:val="center"/>
          </w:tcPr>
          <w:p w14:paraId="44C7699E">
            <w:pPr>
              <w:keepNext w:val="0"/>
              <w:keepLines w:val="0"/>
              <w:pageBreakBefore w:val="0"/>
              <w:kinsoku/>
              <w:wordWrap/>
              <w:overflowPunct/>
              <w:topLinePunct w:val="0"/>
              <w:autoSpaceDE/>
              <w:autoSpaceDN/>
              <w:bidi w:val="0"/>
              <w:adjustRightInd w:val="0"/>
              <w:snapToGrid w:val="0"/>
              <w:spacing w:line="200" w:lineRule="atLeast"/>
              <w:jc w:val="center"/>
              <w:textAlignment w:val="auto"/>
              <w:rPr>
                <w:rFonts w:ascii="宋体" w:hAnsi="宋体" w:cs="宋体"/>
                <w:sz w:val="21"/>
                <w:szCs w:val="21"/>
              </w:rPr>
            </w:pPr>
            <w:r>
              <w:rPr>
                <w:rFonts w:hint="eastAsia" w:ascii="宋体" w:hAnsi="宋体" w:cs="宋体"/>
                <w:kern w:val="0"/>
                <w:sz w:val="21"/>
                <w:szCs w:val="21"/>
              </w:rPr>
              <w:t>具有本科及以上学历</w:t>
            </w:r>
          </w:p>
        </w:tc>
        <w:tc>
          <w:tcPr>
            <w:tcW w:w="1845" w:type="dxa"/>
            <w:tcBorders>
              <w:top w:val="single" w:color="auto" w:sz="4" w:space="0"/>
              <w:left w:val="nil"/>
              <w:bottom w:val="single" w:color="auto" w:sz="4" w:space="0"/>
              <w:right w:val="single" w:color="auto" w:sz="4" w:space="0"/>
            </w:tcBorders>
            <w:vAlign w:val="center"/>
          </w:tcPr>
          <w:p w14:paraId="59DEB701">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10060</w:t>
            </w:r>
          </w:p>
        </w:tc>
        <w:tc>
          <w:tcPr>
            <w:tcW w:w="1053" w:type="pct"/>
            <w:tcBorders>
              <w:top w:val="single" w:color="auto" w:sz="4" w:space="0"/>
              <w:left w:val="nil"/>
              <w:bottom w:val="single" w:color="auto" w:sz="4" w:space="0"/>
              <w:right w:val="single" w:color="auto" w:sz="4" w:space="0"/>
            </w:tcBorders>
            <w:vAlign w:val="center"/>
          </w:tcPr>
          <w:p w14:paraId="5701B34B">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i w:val="0"/>
                <w:iCs w:val="0"/>
                <w:color w:val="000000"/>
                <w:kern w:val="0"/>
                <w:sz w:val="22"/>
                <w:szCs w:val="22"/>
                <w:u w:val="none"/>
                <w:lang w:val="en-US" w:eastAsia="zh-CN" w:bidi="ar"/>
              </w:rPr>
              <w:t>8600</w:t>
            </w:r>
          </w:p>
        </w:tc>
      </w:tr>
      <w:tr w14:paraId="37C1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0" w:type="pct"/>
            <w:tcBorders>
              <w:top w:val="single" w:color="auto" w:sz="4" w:space="0"/>
              <w:left w:val="single" w:color="auto" w:sz="4" w:space="0"/>
              <w:bottom w:val="single" w:color="auto" w:sz="4" w:space="0"/>
              <w:right w:val="single" w:color="auto" w:sz="4" w:space="0"/>
            </w:tcBorders>
            <w:vAlign w:val="center"/>
          </w:tcPr>
          <w:p w14:paraId="5B498464">
            <w:pPr>
              <w:keepNext w:val="0"/>
              <w:keepLines w:val="0"/>
              <w:pageBreakBefore w:val="0"/>
              <w:widowControl/>
              <w:kinsoku/>
              <w:wordWrap/>
              <w:overflowPunct/>
              <w:topLinePunct w:val="0"/>
              <w:autoSpaceDE/>
              <w:autoSpaceDN/>
              <w:bidi w:val="0"/>
              <w:adjustRightInd w:val="0"/>
              <w:snapToGrid w:val="0"/>
              <w:spacing w:line="200" w:lineRule="atLeast"/>
              <w:jc w:val="center"/>
              <w:textAlignment w:val="auto"/>
              <w:rPr>
                <w:rFonts w:ascii="宋体" w:hAnsi="宋体" w:cs="宋体"/>
                <w:sz w:val="21"/>
                <w:szCs w:val="21"/>
              </w:rPr>
            </w:pPr>
            <w:r>
              <w:rPr>
                <w:rFonts w:hint="eastAsia" w:ascii="宋体" w:hAnsi="宋体" w:cs="宋体"/>
                <w:sz w:val="21"/>
                <w:szCs w:val="21"/>
              </w:rPr>
              <w:t>6</w:t>
            </w:r>
          </w:p>
        </w:tc>
        <w:tc>
          <w:tcPr>
            <w:tcW w:w="856" w:type="pct"/>
            <w:tcBorders>
              <w:top w:val="single" w:color="auto" w:sz="4" w:space="0"/>
              <w:left w:val="nil"/>
              <w:bottom w:val="single" w:color="auto" w:sz="4" w:space="0"/>
              <w:right w:val="single" w:color="auto" w:sz="4" w:space="0"/>
            </w:tcBorders>
            <w:vAlign w:val="center"/>
          </w:tcPr>
          <w:p w14:paraId="41E8EAFD">
            <w:pPr>
              <w:keepNext w:val="0"/>
              <w:keepLines w:val="0"/>
              <w:pageBreakBefore w:val="0"/>
              <w:kinsoku/>
              <w:wordWrap/>
              <w:overflowPunct/>
              <w:topLinePunct w:val="0"/>
              <w:autoSpaceDE/>
              <w:autoSpaceDN/>
              <w:bidi w:val="0"/>
              <w:adjustRightInd w:val="0"/>
              <w:spacing w:after="120" w:line="200" w:lineRule="atLeast"/>
              <w:jc w:val="center"/>
              <w:textAlignment w:val="auto"/>
              <w:rPr>
                <w:rFonts w:ascii="宋体" w:hAnsi="宋体" w:cs="宋体"/>
                <w:sz w:val="21"/>
                <w:szCs w:val="21"/>
              </w:rPr>
            </w:pPr>
            <w:r>
              <w:rPr>
                <w:rFonts w:hint="eastAsia" w:ascii="宋体" w:hAnsi="宋体" w:cs="宋体"/>
                <w:sz w:val="21"/>
                <w:szCs w:val="21"/>
              </w:rPr>
              <w:t>工勤五级服务</w:t>
            </w:r>
          </w:p>
        </w:tc>
        <w:tc>
          <w:tcPr>
            <w:tcW w:w="817" w:type="dxa"/>
            <w:tcBorders>
              <w:top w:val="single" w:color="auto" w:sz="4" w:space="0"/>
              <w:left w:val="nil"/>
              <w:bottom w:val="single" w:color="auto" w:sz="4" w:space="0"/>
              <w:right w:val="single" w:color="auto" w:sz="4" w:space="0"/>
            </w:tcBorders>
            <w:vAlign w:val="center"/>
          </w:tcPr>
          <w:p w14:paraId="2CFF0145">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2"/>
                <w:szCs w:val="22"/>
                <w:u w:val="none"/>
                <w:lang w:val="en-US" w:eastAsia="zh-CN" w:bidi="ar"/>
              </w:rPr>
              <w:t>55</w:t>
            </w:r>
          </w:p>
        </w:tc>
        <w:tc>
          <w:tcPr>
            <w:tcW w:w="1226" w:type="pct"/>
            <w:tcBorders>
              <w:top w:val="single" w:color="auto" w:sz="4" w:space="0"/>
              <w:left w:val="nil"/>
              <w:bottom w:val="single" w:color="auto" w:sz="4" w:space="0"/>
              <w:right w:val="single" w:color="auto" w:sz="4" w:space="0"/>
            </w:tcBorders>
            <w:vAlign w:val="center"/>
          </w:tcPr>
          <w:p w14:paraId="75149068">
            <w:pPr>
              <w:keepNext w:val="0"/>
              <w:keepLines w:val="0"/>
              <w:pageBreakBefore w:val="0"/>
              <w:kinsoku/>
              <w:wordWrap/>
              <w:overflowPunct/>
              <w:topLinePunct w:val="0"/>
              <w:autoSpaceDE/>
              <w:autoSpaceDN/>
              <w:bidi w:val="0"/>
              <w:adjustRightInd w:val="0"/>
              <w:snapToGrid w:val="0"/>
              <w:spacing w:line="200" w:lineRule="atLeast"/>
              <w:jc w:val="center"/>
              <w:textAlignment w:val="auto"/>
              <w:rPr>
                <w:rFonts w:ascii="宋体" w:hAnsi="宋体" w:cs="宋体"/>
                <w:sz w:val="21"/>
                <w:szCs w:val="21"/>
              </w:rPr>
            </w:pPr>
            <w:r>
              <w:rPr>
                <w:rFonts w:hint="eastAsia" w:ascii="宋体" w:hAnsi="宋体" w:cs="宋体"/>
                <w:kern w:val="0"/>
                <w:sz w:val="21"/>
                <w:szCs w:val="21"/>
              </w:rPr>
              <w:t>具有中专及以上学历</w:t>
            </w:r>
          </w:p>
        </w:tc>
        <w:tc>
          <w:tcPr>
            <w:tcW w:w="1845" w:type="dxa"/>
            <w:tcBorders>
              <w:top w:val="single" w:color="auto" w:sz="4" w:space="0"/>
              <w:left w:val="nil"/>
              <w:bottom w:val="single" w:color="auto" w:sz="4" w:space="0"/>
              <w:right w:val="single" w:color="auto" w:sz="4" w:space="0"/>
            </w:tcBorders>
            <w:vAlign w:val="center"/>
          </w:tcPr>
          <w:p w14:paraId="46EED0D7">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10060</w:t>
            </w:r>
          </w:p>
        </w:tc>
        <w:tc>
          <w:tcPr>
            <w:tcW w:w="1053" w:type="pct"/>
            <w:tcBorders>
              <w:top w:val="single" w:color="auto" w:sz="4" w:space="0"/>
              <w:left w:val="nil"/>
              <w:bottom w:val="single" w:color="auto" w:sz="4" w:space="0"/>
              <w:right w:val="single" w:color="auto" w:sz="4" w:space="0"/>
            </w:tcBorders>
            <w:vAlign w:val="center"/>
          </w:tcPr>
          <w:p w14:paraId="4945DAE2">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i w:val="0"/>
                <w:iCs w:val="0"/>
                <w:color w:val="000000"/>
                <w:kern w:val="0"/>
                <w:sz w:val="22"/>
                <w:szCs w:val="22"/>
                <w:u w:val="none"/>
                <w:lang w:val="en-US" w:eastAsia="zh-CN" w:bidi="ar"/>
              </w:rPr>
              <w:t>8600</w:t>
            </w:r>
          </w:p>
        </w:tc>
      </w:tr>
      <w:tr w14:paraId="2CEB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0" w:type="pct"/>
            <w:tcBorders>
              <w:top w:val="single" w:color="auto" w:sz="4" w:space="0"/>
              <w:left w:val="single" w:color="auto" w:sz="4" w:space="0"/>
              <w:bottom w:val="single" w:color="auto" w:sz="4" w:space="0"/>
              <w:right w:val="single" w:color="auto" w:sz="4" w:space="0"/>
            </w:tcBorders>
            <w:vAlign w:val="center"/>
          </w:tcPr>
          <w:p w14:paraId="79FDD8A8">
            <w:pPr>
              <w:keepNext w:val="0"/>
              <w:keepLines w:val="0"/>
              <w:pageBreakBefore w:val="0"/>
              <w:widowControl/>
              <w:kinsoku/>
              <w:wordWrap/>
              <w:overflowPunct/>
              <w:topLinePunct w:val="0"/>
              <w:autoSpaceDE/>
              <w:autoSpaceDN/>
              <w:bidi w:val="0"/>
              <w:adjustRightInd w:val="0"/>
              <w:snapToGrid w:val="0"/>
              <w:spacing w:line="200" w:lineRule="atLeast"/>
              <w:jc w:val="center"/>
              <w:textAlignment w:val="auto"/>
              <w:rPr>
                <w:rFonts w:ascii="宋体" w:hAnsi="宋体" w:cs="宋体"/>
                <w:sz w:val="21"/>
                <w:szCs w:val="21"/>
              </w:rPr>
            </w:pPr>
            <w:r>
              <w:rPr>
                <w:rFonts w:hint="eastAsia" w:ascii="宋体" w:hAnsi="宋体" w:cs="宋体"/>
                <w:sz w:val="21"/>
                <w:szCs w:val="21"/>
              </w:rPr>
              <w:t>7</w:t>
            </w:r>
          </w:p>
        </w:tc>
        <w:tc>
          <w:tcPr>
            <w:tcW w:w="856" w:type="pct"/>
            <w:tcBorders>
              <w:top w:val="single" w:color="auto" w:sz="4" w:space="0"/>
              <w:left w:val="nil"/>
              <w:bottom w:val="single" w:color="auto" w:sz="4" w:space="0"/>
              <w:right w:val="single" w:color="auto" w:sz="4" w:space="0"/>
            </w:tcBorders>
            <w:vAlign w:val="center"/>
          </w:tcPr>
          <w:p w14:paraId="2FA361E7">
            <w:pPr>
              <w:keepNext w:val="0"/>
              <w:keepLines w:val="0"/>
              <w:pageBreakBefore w:val="0"/>
              <w:kinsoku/>
              <w:wordWrap/>
              <w:overflowPunct/>
              <w:topLinePunct w:val="0"/>
              <w:autoSpaceDE/>
              <w:autoSpaceDN/>
              <w:bidi w:val="0"/>
              <w:adjustRightInd w:val="0"/>
              <w:spacing w:after="120" w:line="200" w:lineRule="atLeast"/>
              <w:jc w:val="center"/>
              <w:textAlignment w:val="auto"/>
              <w:rPr>
                <w:rFonts w:ascii="宋体" w:hAnsi="宋体" w:cs="宋体"/>
                <w:sz w:val="21"/>
                <w:szCs w:val="21"/>
              </w:rPr>
            </w:pPr>
            <w:r>
              <w:rPr>
                <w:rFonts w:hint="eastAsia" w:ascii="宋体" w:hAnsi="宋体" w:cs="宋体"/>
                <w:sz w:val="21"/>
                <w:szCs w:val="21"/>
              </w:rPr>
              <w:t>工勤四级服务</w:t>
            </w:r>
          </w:p>
        </w:tc>
        <w:tc>
          <w:tcPr>
            <w:tcW w:w="817" w:type="dxa"/>
            <w:tcBorders>
              <w:top w:val="single" w:color="auto" w:sz="4" w:space="0"/>
              <w:left w:val="nil"/>
              <w:bottom w:val="single" w:color="auto" w:sz="4" w:space="0"/>
              <w:right w:val="single" w:color="auto" w:sz="4" w:space="0"/>
            </w:tcBorders>
            <w:vAlign w:val="center"/>
          </w:tcPr>
          <w:p w14:paraId="019A97E1">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2"/>
                <w:szCs w:val="22"/>
                <w:u w:val="none"/>
                <w:lang w:val="en-US" w:eastAsia="zh-CN" w:bidi="ar"/>
              </w:rPr>
              <w:t>1</w:t>
            </w:r>
          </w:p>
        </w:tc>
        <w:tc>
          <w:tcPr>
            <w:tcW w:w="1226" w:type="pct"/>
            <w:tcBorders>
              <w:top w:val="single" w:color="auto" w:sz="4" w:space="0"/>
              <w:left w:val="nil"/>
              <w:bottom w:val="single" w:color="auto" w:sz="4" w:space="0"/>
              <w:right w:val="single" w:color="auto" w:sz="4" w:space="0"/>
            </w:tcBorders>
            <w:vAlign w:val="center"/>
          </w:tcPr>
          <w:p w14:paraId="37A43849">
            <w:pPr>
              <w:keepNext w:val="0"/>
              <w:keepLines w:val="0"/>
              <w:pageBreakBefore w:val="0"/>
              <w:kinsoku/>
              <w:wordWrap/>
              <w:overflowPunct/>
              <w:topLinePunct w:val="0"/>
              <w:autoSpaceDE/>
              <w:autoSpaceDN/>
              <w:bidi w:val="0"/>
              <w:adjustRightInd w:val="0"/>
              <w:snapToGrid w:val="0"/>
              <w:spacing w:line="200" w:lineRule="atLeast"/>
              <w:jc w:val="center"/>
              <w:textAlignment w:val="auto"/>
              <w:rPr>
                <w:rFonts w:ascii="宋体" w:hAnsi="宋体" w:cs="宋体"/>
                <w:kern w:val="0"/>
                <w:sz w:val="21"/>
                <w:szCs w:val="21"/>
              </w:rPr>
            </w:pPr>
            <w:r>
              <w:rPr>
                <w:rFonts w:hint="eastAsia" w:ascii="宋体" w:hAnsi="宋体" w:cs="宋体"/>
                <w:kern w:val="0"/>
                <w:sz w:val="21"/>
                <w:szCs w:val="21"/>
              </w:rPr>
              <w:t>具有中专及以上学历</w:t>
            </w:r>
          </w:p>
        </w:tc>
        <w:tc>
          <w:tcPr>
            <w:tcW w:w="1845" w:type="dxa"/>
            <w:tcBorders>
              <w:top w:val="single" w:color="auto" w:sz="4" w:space="0"/>
              <w:left w:val="nil"/>
              <w:bottom w:val="single" w:color="auto" w:sz="4" w:space="0"/>
              <w:right w:val="single" w:color="auto" w:sz="4" w:space="0"/>
            </w:tcBorders>
            <w:vAlign w:val="center"/>
          </w:tcPr>
          <w:p w14:paraId="1E6281E2">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11060</w:t>
            </w:r>
          </w:p>
        </w:tc>
        <w:tc>
          <w:tcPr>
            <w:tcW w:w="1053" w:type="pct"/>
            <w:tcBorders>
              <w:top w:val="single" w:color="auto" w:sz="4" w:space="0"/>
              <w:left w:val="nil"/>
              <w:bottom w:val="single" w:color="auto" w:sz="4" w:space="0"/>
              <w:right w:val="single" w:color="auto" w:sz="4" w:space="0"/>
            </w:tcBorders>
            <w:vAlign w:val="center"/>
          </w:tcPr>
          <w:p w14:paraId="4E8CE39A">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i w:val="0"/>
                <w:iCs w:val="0"/>
                <w:color w:val="000000"/>
                <w:kern w:val="0"/>
                <w:sz w:val="22"/>
                <w:szCs w:val="22"/>
                <w:u w:val="none"/>
                <w:lang w:val="en-US" w:eastAsia="zh-CN" w:bidi="ar"/>
              </w:rPr>
              <w:t>9600</w:t>
            </w:r>
          </w:p>
        </w:tc>
      </w:tr>
      <w:tr w14:paraId="4E7B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0" w:type="pct"/>
            <w:tcBorders>
              <w:top w:val="single" w:color="auto" w:sz="4" w:space="0"/>
              <w:left w:val="single" w:color="auto" w:sz="4" w:space="0"/>
              <w:bottom w:val="single" w:color="auto" w:sz="4" w:space="0"/>
              <w:right w:val="single" w:color="auto" w:sz="4" w:space="0"/>
            </w:tcBorders>
            <w:vAlign w:val="center"/>
          </w:tcPr>
          <w:p w14:paraId="6434220D">
            <w:pPr>
              <w:keepNext w:val="0"/>
              <w:keepLines w:val="0"/>
              <w:pageBreakBefore w:val="0"/>
              <w:widowControl/>
              <w:kinsoku/>
              <w:wordWrap/>
              <w:overflowPunct/>
              <w:topLinePunct w:val="0"/>
              <w:autoSpaceDE/>
              <w:autoSpaceDN/>
              <w:bidi w:val="0"/>
              <w:adjustRightInd w:val="0"/>
              <w:snapToGrid w:val="0"/>
              <w:spacing w:line="200" w:lineRule="atLeast"/>
              <w:jc w:val="center"/>
              <w:textAlignment w:val="auto"/>
              <w:rPr>
                <w:rFonts w:ascii="宋体" w:hAnsi="宋体" w:cs="宋体"/>
                <w:sz w:val="21"/>
                <w:szCs w:val="21"/>
              </w:rPr>
            </w:pPr>
            <w:r>
              <w:rPr>
                <w:rFonts w:hint="eastAsia" w:ascii="宋体" w:hAnsi="宋体" w:cs="宋体"/>
                <w:sz w:val="21"/>
                <w:szCs w:val="21"/>
              </w:rPr>
              <w:t>8</w:t>
            </w:r>
          </w:p>
        </w:tc>
        <w:tc>
          <w:tcPr>
            <w:tcW w:w="856" w:type="pct"/>
            <w:tcBorders>
              <w:top w:val="single" w:color="auto" w:sz="4" w:space="0"/>
              <w:left w:val="nil"/>
              <w:bottom w:val="single" w:color="auto" w:sz="4" w:space="0"/>
              <w:right w:val="single" w:color="auto" w:sz="4" w:space="0"/>
            </w:tcBorders>
            <w:vAlign w:val="center"/>
          </w:tcPr>
          <w:p w14:paraId="37443A28">
            <w:pPr>
              <w:keepNext w:val="0"/>
              <w:keepLines w:val="0"/>
              <w:pageBreakBefore w:val="0"/>
              <w:kinsoku/>
              <w:wordWrap/>
              <w:overflowPunct/>
              <w:topLinePunct w:val="0"/>
              <w:autoSpaceDE/>
              <w:autoSpaceDN/>
              <w:bidi w:val="0"/>
              <w:adjustRightInd w:val="0"/>
              <w:spacing w:after="120" w:line="200" w:lineRule="atLeast"/>
              <w:jc w:val="center"/>
              <w:textAlignment w:val="auto"/>
              <w:rPr>
                <w:rFonts w:ascii="宋体" w:hAnsi="宋体" w:cs="宋体"/>
                <w:sz w:val="21"/>
                <w:szCs w:val="21"/>
              </w:rPr>
            </w:pPr>
            <w:r>
              <w:rPr>
                <w:rFonts w:hint="eastAsia" w:ascii="宋体" w:hAnsi="宋体" w:cs="宋体"/>
                <w:sz w:val="21"/>
                <w:szCs w:val="21"/>
              </w:rPr>
              <w:t>工勤三级服务</w:t>
            </w:r>
          </w:p>
        </w:tc>
        <w:tc>
          <w:tcPr>
            <w:tcW w:w="817" w:type="dxa"/>
            <w:tcBorders>
              <w:top w:val="single" w:color="auto" w:sz="4" w:space="0"/>
              <w:left w:val="nil"/>
              <w:bottom w:val="single" w:color="auto" w:sz="4" w:space="0"/>
              <w:right w:val="single" w:color="auto" w:sz="4" w:space="0"/>
            </w:tcBorders>
            <w:vAlign w:val="center"/>
          </w:tcPr>
          <w:p w14:paraId="1F34ECAC">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2"/>
                <w:szCs w:val="22"/>
                <w:u w:val="none"/>
                <w:lang w:val="en-US" w:eastAsia="zh-CN" w:bidi="ar"/>
              </w:rPr>
              <w:t>3</w:t>
            </w:r>
          </w:p>
        </w:tc>
        <w:tc>
          <w:tcPr>
            <w:tcW w:w="1226" w:type="pct"/>
            <w:tcBorders>
              <w:top w:val="single" w:color="auto" w:sz="4" w:space="0"/>
              <w:left w:val="nil"/>
              <w:bottom w:val="single" w:color="auto" w:sz="4" w:space="0"/>
              <w:right w:val="single" w:color="auto" w:sz="4" w:space="0"/>
            </w:tcBorders>
            <w:vAlign w:val="center"/>
          </w:tcPr>
          <w:p w14:paraId="624461C8">
            <w:pPr>
              <w:keepNext w:val="0"/>
              <w:keepLines w:val="0"/>
              <w:pageBreakBefore w:val="0"/>
              <w:kinsoku/>
              <w:wordWrap/>
              <w:overflowPunct/>
              <w:topLinePunct w:val="0"/>
              <w:autoSpaceDE/>
              <w:autoSpaceDN/>
              <w:bidi w:val="0"/>
              <w:adjustRightInd w:val="0"/>
              <w:snapToGrid w:val="0"/>
              <w:spacing w:line="200" w:lineRule="atLeast"/>
              <w:jc w:val="center"/>
              <w:textAlignment w:val="auto"/>
              <w:rPr>
                <w:rFonts w:ascii="宋体" w:hAnsi="宋体" w:cs="宋体"/>
                <w:kern w:val="0"/>
                <w:sz w:val="21"/>
                <w:szCs w:val="21"/>
              </w:rPr>
            </w:pPr>
            <w:r>
              <w:rPr>
                <w:rFonts w:hint="eastAsia" w:ascii="宋体" w:hAnsi="宋体" w:cs="宋体"/>
                <w:kern w:val="0"/>
                <w:sz w:val="21"/>
                <w:szCs w:val="21"/>
              </w:rPr>
              <w:t>具有中专及以上学历</w:t>
            </w:r>
          </w:p>
        </w:tc>
        <w:tc>
          <w:tcPr>
            <w:tcW w:w="1845" w:type="dxa"/>
            <w:tcBorders>
              <w:top w:val="single" w:color="auto" w:sz="4" w:space="0"/>
              <w:left w:val="nil"/>
              <w:bottom w:val="single" w:color="auto" w:sz="4" w:space="0"/>
              <w:right w:val="single" w:color="auto" w:sz="4" w:space="0"/>
            </w:tcBorders>
            <w:vAlign w:val="center"/>
          </w:tcPr>
          <w:p w14:paraId="36AD4025">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12060</w:t>
            </w:r>
          </w:p>
        </w:tc>
        <w:tc>
          <w:tcPr>
            <w:tcW w:w="1053" w:type="pct"/>
            <w:tcBorders>
              <w:top w:val="single" w:color="auto" w:sz="4" w:space="0"/>
              <w:left w:val="nil"/>
              <w:bottom w:val="single" w:color="auto" w:sz="4" w:space="0"/>
              <w:right w:val="single" w:color="auto" w:sz="4" w:space="0"/>
            </w:tcBorders>
            <w:vAlign w:val="center"/>
          </w:tcPr>
          <w:p w14:paraId="62092E50">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i w:val="0"/>
                <w:iCs w:val="0"/>
                <w:color w:val="000000"/>
                <w:kern w:val="0"/>
                <w:sz w:val="22"/>
                <w:szCs w:val="22"/>
                <w:u w:val="none"/>
                <w:lang w:val="en-US" w:eastAsia="zh-CN" w:bidi="ar"/>
              </w:rPr>
              <w:t>10600</w:t>
            </w:r>
          </w:p>
        </w:tc>
      </w:tr>
      <w:tr w14:paraId="13F8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0" w:type="pct"/>
            <w:tcBorders>
              <w:top w:val="single" w:color="auto" w:sz="4" w:space="0"/>
              <w:left w:val="single" w:color="auto" w:sz="4" w:space="0"/>
              <w:bottom w:val="single" w:color="auto" w:sz="4" w:space="0"/>
              <w:right w:val="single" w:color="auto" w:sz="4" w:space="0"/>
            </w:tcBorders>
            <w:vAlign w:val="center"/>
          </w:tcPr>
          <w:p w14:paraId="7778051A">
            <w:pPr>
              <w:keepNext w:val="0"/>
              <w:keepLines w:val="0"/>
              <w:pageBreakBefore w:val="0"/>
              <w:widowControl/>
              <w:kinsoku/>
              <w:wordWrap/>
              <w:overflowPunct/>
              <w:topLinePunct w:val="0"/>
              <w:autoSpaceDE/>
              <w:autoSpaceDN/>
              <w:bidi w:val="0"/>
              <w:adjustRightInd w:val="0"/>
              <w:snapToGrid w:val="0"/>
              <w:spacing w:line="200" w:lineRule="atLeast"/>
              <w:jc w:val="center"/>
              <w:textAlignment w:val="auto"/>
              <w:rPr>
                <w:rFonts w:ascii="宋体" w:hAnsi="宋体" w:cs="宋体"/>
                <w:sz w:val="21"/>
                <w:szCs w:val="21"/>
              </w:rPr>
            </w:pPr>
            <w:r>
              <w:rPr>
                <w:rFonts w:hint="eastAsia" w:ascii="宋体" w:hAnsi="宋体" w:cs="宋体"/>
                <w:sz w:val="21"/>
                <w:szCs w:val="21"/>
              </w:rPr>
              <w:t>9</w:t>
            </w:r>
          </w:p>
        </w:tc>
        <w:tc>
          <w:tcPr>
            <w:tcW w:w="856" w:type="pct"/>
            <w:tcBorders>
              <w:top w:val="single" w:color="auto" w:sz="4" w:space="0"/>
              <w:left w:val="nil"/>
              <w:bottom w:val="single" w:color="auto" w:sz="4" w:space="0"/>
              <w:right w:val="single" w:color="auto" w:sz="4" w:space="0"/>
            </w:tcBorders>
            <w:vAlign w:val="center"/>
          </w:tcPr>
          <w:p w14:paraId="361BA3E4">
            <w:pPr>
              <w:keepNext w:val="0"/>
              <w:keepLines w:val="0"/>
              <w:pageBreakBefore w:val="0"/>
              <w:kinsoku/>
              <w:wordWrap/>
              <w:overflowPunct/>
              <w:topLinePunct w:val="0"/>
              <w:autoSpaceDE/>
              <w:autoSpaceDN/>
              <w:bidi w:val="0"/>
              <w:adjustRightInd w:val="0"/>
              <w:spacing w:after="120" w:line="200" w:lineRule="atLeast"/>
              <w:jc w:val="center"/>
              <w:textAlignment w:val="auto"/>
              <w:rPr>
                <w:rFonts w:ascii="宋体" w:hAnsi="宋体" w:cs="宋体"/>
                <w:sz w:val="21"/>
                <w:szCs w:val="21"/>
              </w:rPr>
            </w:pPr>
            <w:r>
              <w:rPr>
                <w:rFonts w:hint="eastAsia" w:ascii="宋体" w:hAnsi="宋体" w:cs="宋体"/>
                <w:sz w:val="21"/>
                <w:szCs w:val="21"/>
              </w:rPr>
              <w:t>工勤二级服务</w:t>
            </w:r>
          </w:p>
        </w:tc>
        <w:tc>
          <w:tcPr>
            <w:tcW w:w="817" w:type="dxa"/>
            <w:tcBorders>
              <w:top w:val="single" w:color="auto" w:sz="4" w:space="0"/>
              <w:left w:val="nil"/>
              <w:bottom w:val="single" w:color="auto" w:sz="4" w:space="0"/>
              <w:right w:val="single" w:color="auto" w:sz="4" w:space="0"/>
            </w:tcBorders>
            <w:vAlign w:val="center"/>
          </w:tcPr>
          <w:p w14:paraId="121DEFD0">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2"/>
                <w:szCs w:val="22"/>
                <w:u w:val="none"/>
                <w:lang w:val="en-US" w:eastAsia="zh-CN" w:bidi="ar"/>
              </w:rPr>
              <w:t>2</w:t>
            </w:r>
          </w:p>
        </w:tc>
        <w:tc>
          <w:tcPr>
            <w:tcW w:w="1226" w:type="pct"/>
            <w:tcBorders>
              <w:top w:val="single" w:color="auto" w:sz="4" w:space="0"/>
              <w:left w:val="nil"/>
              <w:bottom w:val="single" w:color="auto" w:sz="4" w:space="0"/>
              <w:right w:val="single" w:color="auto" w:sz="4" w:space="0"/>
            </w:tcBorders>
            <w:vAlign w:val="center"/>
          </w:tcPr>
          <w:p w14:paraId="4217C5A9">
            <w:pPr>
              <w:keepNext w:val="0"/>
              <w:keepLines w:val="0"/>
              <w:pageBreakBefore w:val="0"/>
              <w:kinsoku/>
              <w:wordWrap/>
              <w:overflowPunct/>
              <w:topLinePunct w:val="0"/>
              <w:autoSpaceDE/>
              <w:autoSpaceDN/>
              <w:bidi w:val="0"/>
              <w:adjustRightInd w:val="0"/>
              <w:snapToGrid w:val="0"/>
              <w:spacing w:line="200" w:lineRule="atLeast"/>
              <w:jc w:val="center"/>
              <w:textAlignment w:val="auto"/>
              <w:rPr>
                <w:rFonts w:ascii="宋体" w:hAnsi="宋体" w:cs="宋体"/>
                <w:kern w:val="0"/>
                <w:sz w:val="21"/>
                <w:szCs w:val="21"/>
              </w:rPr>
            </w:pPr>
            <w:r>
              <w:rPr>
                <w:rFonts w:hint="eastAsia" w:ascii="宋体" w:hAnsi="宋体" w:cs="宋体"/>
                <w:kern w:val="0"/>
                <w:sz w:val="21"/>
                <w:szCs w:val="21"/>
              </w:rPr>
              <w:t>具有中专及以上学历</w:t>
            </w:r>
          </w:p>
        </w:tc>
        <w:tc>
          <w:tcPr>
            <w:tcW w:w="1845" w:type="dxa"/>
            <w:tcBorders>
              <w:top w:val="single" w:color="auto" w:sz="4" w:space="0"/>
              <w:left w:val="nil"/>
              <w:bottom w:val="single" w:color="auto" w:sz="4" w:space="0"/>
              <w:right w:val="single" w:color="auto" w:sz="4" w:space="0"/>
            </w:tcBorders>
            <w:vAlign w:val="center"/>
          </w:tcPr>
          <w:p w14:paraId="1519940D">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13060</w:t>
            </w:r>
          </w:p>
        </w:tc>
        <w:tc>
          <w:tcPr>
            <w:tcW w:w="1053" w:type="pct"/>
            <w:tcBorders>
              <w:top w:val="single" w:color="auto" w:sz="4" w:space="0"/>
              <w:left w:val="nil"/>
              <w:bottom w:val="single" w:color="auto" w:sz="4" w:space="0"/>
              <w:right w:val="single" w:color="auto" w:sz="4" w:space="0"/>
            </w:tcBorders>
            <w:vAlign w:val="center"/>
          </w:tcPr>
          <w:p w14:paraId="492A6DB2">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i w:val="0"/>
                <w:iCs w:val="0"/>
                <w:color w:val="000000"/>
                <w:kern w:val="0"/>
                <w:sz w:val="22"/>
                <w:szCs w:val="22"/>
                <w:u w:val="none"/>
                <w:lang w:val="en-US" w:eastAsia="zh-CN" w:bidi="ar"/>
              </w:rPr>
              <w:t>11600</w:t>
            </w:r>
          </w:p>
        </w:tc>
      </w:tr>
      <w:tr w14:paraId="2238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0" w:type="pct"/>
            <w:tcBorders>
              <w:top w:val="single" w:color="auto" w:sz="4" w:space="0"/>
              <w:left w:val="single" w:color="auto" w:sz="4" w:space="0"/>
              <w:bottom w:val="single" w:color="auto" w:sz="4" w:space="0"/>
              <w:right w:val="single" w:color="auto" w:sz="4" w:space="0"/>
            </w:tcBorders>
            <w:vAlign w:val="center"/>
          </w:tcPr>
          <w:p w14:paraId="449AF0CA">
            <w:pPr>
              <w:keepNext w:val="0"/>
              <w:keepLines w:val="0"/>
              <w:pageBreakBefore w:val="0"/>
              <w:widowControl/>
              <w:kinsoku/>
              <w:wordWrap/>
              <w:overflowPunct/>
              <w:topLinePunct w:val="0"/>
              <w:autoSpaceDE/>
              <w:autoSpaceDN/>
              <w:bidi w:val="0"/>
              <w:adjustRightInd w:val="0"/>
              <w:snapToGrid w:val="0"/>
              <w:spacing w:line="200" w:lineRule="atLeast"/>
              <w:jc w:val="center"/>
              <w:textAlignment w:val="auto"/>
              <w:rPr>
                <w:rFonts w:ascii="宋体" w:hAnsi="宋体" w:cs="宋体"/>
                <w:sz w:val="21"/>
                <w:szCs w:val="21"/>
              </w:rPr>
            </w:pPr>
            <w:r>
              <w:rPr>
                <w:rFonts w:hint="eastAsia" w:ascii="宋体" w:hAnsi="宋体" w:cs="宋体"/>
                <w:sz w:val="21"/>
                <w:szCs w:val="21"/>
              </w:rPr>
              <w:t>10</w:t>
            </w:r>
          </w:p>
        </w:tc>
        <w:tc>
          <w:tcPr>
            <w:tcW w:w="856" w:type="pct"/>
            <w:tcBorders>
              <w:top w:val="single" w:color="auto" w:sz="4" w:space="0"/>
              <w:left w:val="nil"/>
              <w:bottom w:val="single" w:color="auto" w:sz="4" w:space="0"/>
              <w:right w:val="single" w:color="auto" w:sz="4" w:space="0"/>
            </w:tcBorders>
            <w:vAlign w:val="center"/>
          </w:tcPr>
          <w:p w14:paraId="74C542BC">
            <w:pPr>
              <w:keepNext w:val="0"/>
              <w:keepLines w:val="0"/>
              <w:pageBreakBefore w:val="0"/>
              <w:kinsoku/>
              <w:wordWrap/>
              <w:overflowPunct/>
              <w:topLinePunct w:val="0"/>
              <w:autoSpaceDE/>
              <w:autoSpaceDN/>
              <w:bidi w:val="0"/>
              <w:adjustRightInd w:val="0"/>
              <w:spacing w:after="120" w:line="200" w:lineRule="atLeast"/>
              <w:jc w:val="center"/>
              <w:textAlignment w:val="auto"/>
              <w:rPr>
                <w:rFonts w:ascii="宋体" w:hAnsi="宋体" w:cs="宋体"/>
                <w:sz w:val="21"/>
                <w:szCs w:val="21"/>
              </w:rPr>
            </w:pPr>
            <w:r>
              <w:rPr>
                <w:rFonts w:hint="eastAsia" w:ascii="宋体" w:hAnsi="宋体" w:cs="宋体"/>
                <w:sz w:val="21"/>
                <w:szCs w:val="21"/>
              </w:rPr>
              <w:t>工勤一级服务</w:t>
            </w:r>
          </w:p>
        </w:tc>
        <w:tc>
          <w:tcPr>
            <w:tcW w:w="817" w:type="dxa"/>
            <w:tcBorders>
              <w:top w:val="single" w:color="auto" w:sz="4" w:space="0"/>
              <w:left w:val="nil"/>
              <w:bottom w:val="single" w:color="auto" w:sz="4" w:space="0"/>
              <w:right w:val="single" w:color="auto" w:sz="4" w:space="0"/>
            </w:tcBorders>
            <w:vAlign w:val="center"/>
          </w:tcPr>
          <w:p w14:paraId="5A6E6D43">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2"/>
                <w:szCs w:val="22"/>
                <w:u w:val="none"/>
                <w:lang w:val="en-US" w:eastAsia="zh-CN" w:bidi="ar"/>
              </w:rPr>
              <w:t>1</w:t>
            </w:r>
          </w:p>
        </w:tc>
        <w:tc>
          <w:tcPr>
            <w:tcW w:w="1226" w:type="pct"/>
            <w:tcBorders>
              <w:top w:val="single" w:color="auto" w:sz="4" w:space="0"/>
              <w:left w:val="nil"/>
              <w:bottom w:val="single" w:color="auto" w:sz="4" w:space="0"/>
              <w:right w:val="single" w:color="auto" w:sz="4" w:space="0"/>
            </w:tcBorders>
            <w:vAlign w:val="center"/>
          </w:tcPr>
          <w:p w14:paraId="0078F42B">
            <w:pPr>
              <w:keepNext w:val="0"/>
              <w:keepLines w:val="0"/>
              <w:pageBreakBefore w:val="0"/>
              <w:kinsoku/>
              <w:wordWrap/>
              <w:overflowPunct/>
              <w:topLinePunct w:val="0"/>
              <w:autoSpaceDE/>
              <w:autoSpaceDN/>
              <w:bidi w:val="0"/>
              <w:adjustRightInd w:val="0"/>
              <w:snapToGrid w:val="0"/>
              <w:spacing w:line="200" w:lineRule="atLeast"/>
              <w:jc w:val="center"/>
              <w:textAlignment w:val="auto"/>
              <w:rPr>
                <w:rFonts w:ascii="宋体" w:hAnsi="宋体" w:cs="宋体"/>
                <w:kern w:val="0"/>
                <w:sz w:val="21"/>
                <w:szCs w:val="21"/>
              </w:rPr>
            </w:pPr>
            <w:r>
              <w:rPr>
                <w:rFonts w:hint="eastAsia" w:ascii="宋体" w:hAnsi="宋体" w:cs="宋体"/>
                <w:kern w:val="0"/>
                <w:sz w:val="21"/>
                <w:szCs w:val="21"/>
              </w:rPr>
              <w:t>具有中专及以上学历</w:t>
            </w:r>
          </w:p>
        </w:tc>
        <w:tc>
          <w:tcPr>
            <w:tcW w:w="1845" w:type="dxa"/>
            <w:tcBorders>
              <w:top w:val="single" w:color="auto" w:sz="4" w:space="0"/>
              <w:left w:val="nil"/>
              <w:bottom w:val="single" w:color="auto" w:sz="4" w:space="0"/>
              <w:right w:val="single" w:color="auto" w:sz="4" w:space="0"/>
            </w:tcBorders>
            <w:vAlign w:val="center"/>
          </w:tcPr>
          <w:p w14:paraId="08BFB525">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14060</w:t>
            </w:r>
          </w:p>
        </w:tc>
        <w:tc>
          <w:tcPr>
            <w:tcW w:w="1053" w:type="pct"/>
            <w:tcBorders>
              <w:top w:val="single" w:color="auto" w:sz="4" w:space="0"/>
              <w:left w:val="nil"/>
              <w:bottom w:val="single" w:color="auto" w:sz="4" w:space="0"/>
              <w:right w:val="single" w:color="auto" w:sz="4" w:space="0"/>
            </w:tcBorders>
            <w:vAlign w:val="center"/>
          </w:tcPr>
          <w:p w14:paraId="3253986D">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i w:val="0"/>
                <w:iCs w:val="0"/>
                <w:color w:val="000000"/>
                <w:kern w:val="0"/>
                <w:sz w:val="22"/>
                <w:szCs w:val="22"/>
                <w:u w:val="none"/>
                <w:lang w:val="en-US" w:eastAsia="zh-CN" w:bidi="ar"/>
              </w:rPr>
              <w:t>12600</w:t>
            </w:r>
          </w:p>
        </w:tc>
      </w:tr>
      <w:tr w14:paraId="6B6E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0" w:type="pct"/>
            <w:tcBorders>
              <w:top w:val="single" w:color="auto" w:sz="4" w:space="0"/>
              <w:left w:val="single" w:color="auto" w:sz="4" w:space="0"/>
              <w:bottom w:val="single" w:color="auto" w:sz="4" w:space="0"/>
              <w:right w:val="single" w:color="auto" w:sz="4" w:space="0"/>
            </w:tcBorders>
            <w:vAlign w:val="center"/>
          </w:tcPr>
          <w:p w14:paraId="07A904FC">
            <w:pPr>
              <w:keepNext w:val="0"/>
              <w:keepLines w:val="0"/>
              <w:pageBreakBefore w:val="0"/>
              <w:widowControl/>
              <w:kinsoku/>
              <w:wordWrap/>
              <w:overflowPunct/>
              <w:topLinePunct w:val="0"/>
              <w:autoSpaceDE/>
              <w:autoSpaceDN/>
              <w:bidi w:val="0"/>
              <w:adjustRightInd w:val="0"/>
              <w:snapToGrid w:val="0"/>
              <w:spacing w:line="200" w:lineRule="atLeast"/>
              <w:jc w:val="center"/>
              <w:textAlignment w:val="auto"/>
              <w:rPr>
                <w:rFonts w:ascii="宋体" w:hAnsi="宋体" w:cs="宋体"/>
                <w:sz w:val="21"/>
                <w:szCs w:val="21"/>
              </w:rPr>
            </w:pPr>
            <w:r>
              <w:rPr>
                <w:rFonts w:hint="eastAsia" w:ascii="宋体" w:hAnsi="宋体" w:cs="宋体"/>
                <w:sz w:val="21"/>
                <w:szCs w:val="21"/>
              </w:rPr>
              <w:t>11</w:t>
            </w:r>
          </w:p>
        </w:tc>
        <w:tc>
          <w:tcPr>
            <w:tcW w:w="856" w:type="pct"/>
            <w:tcBorders>
              <w:top w:val="single" w:color="auto" w:sz="4" w:space="0"/>
              <w:left w:val="nil"/>
              <w:bottom w:val="single" w:color="auto" w:sz="4" w:space="0"/>
              <w:right w:val="single" w:color="auto" w:sz="4" w:space="0"/>
            </w:tcBorders>
            <w:vAlign w:val="center"/>
          </w:tcPr>
          <w:p w14:paraId="47E2065E">
            <w:pPr>
              <w:keepNext w:val="0"/>
              <w:keepLines w:val="0"/>
              <w:pageBreakBefore w:val="0"/>
              <w:kinsoku/>
              <w:wordWrap/>
              <w:overflowPunct/>
              <w:topLinePunct w:val="0"/>
              <w:autoSpaceDE/>
              <w:autoSpaceDN/>
              <w:bidi w:val="0"/>
              <w:adjustRightInd w:val="0"/>
              <w:spacing w:after="120" w:line="200" w:lineRule="atLeast"/>
              <w:jc w:val="center"/>
              <w:textAlignment w:val="auto"/>
              <w:rPr>
                <w:rFonts w:ascii="宋体" w:hAnsi="宋体" w:cs="宋体"/>
                <w:sz w:val="21"/>
                <w:szCs w:val="21"/>
              </w:rPr>
            </w:pPr>
            <w:r>
              <w:rPr>
                <w:rFonts w:ascii="宋体" w:hAnsi="宋体" w:cs="宋体"/>
                <w:sz w:val="21"/>
                <w:szCs w:val="21"/>
              </w:rPr>
              <w:t>司机服务</w:t>
            </w:r>
          </w:p>
        </w:tc>
        <w:tc>
          <w:tcPr>
            <w:tcW w:w="817" w:type="dxa"/>
            <w:tcBorders>
              <w:top w:val="single" w:color="auto" w:sz="4" w:space="0"/>
              <w:left w:val="nil"/>
              <w:bottom w:val="single" w:color="auto" w:sz="4" w:space="0"/>
              <w:right w:val="single" w:color="auto" w:sz="4" w:space="0"/>
            </w:tcBorders>
            <w:vAlign w:val="center"/>
          </w:tcPr>
          <w:p w14:paraId="5A07D39A">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2"/>
                <w:szCs w:val="22"/>
                <w:u w:val="none"/>
                <w:lang w:val="en-US" w:eastAsia="zh-CN" w:bidi="ar"/>
              </w:rPr>
              <w:t>21</w:t>
            </w:r>
          </w:p>
        </w:tc>
        <w:tc>
          <w:tcPr>
            <w:tcW w:w="1226" w:type="pct"/>
            <w:tcBorders>
              <w:top w:val="single" w:color="auto" w:sz="4" w:space="0"/>
              <w:left w:val="nil"/>
              <w:bottom w:val="single" w:color="auto" w:sz="4" w:space="0"/>
              <w:right w:val="single" w:color="auto" w:sz="4" w:space="0"/>
            </w:tcBorders>
            <w:vAlign w:val="center"/>
          </w:tcPr>
          <w:p w14:paraId="1A3F1759">
            <w:pPr>
              <w:keepNext w:val="0"/>
              <w:keepLines w:val="0"/>
              <w:pageBreakBefore w:val="0"/>
              <w:kinsoku/>
              <w:wordWrap/>
              <w:overflowPunct/>
              <w:topLinePunct w:val="0"/>
              <w:autoSpaceDE/>
              <w:autoSpaceDN/>
              <w:bidi w:val="0"/>
              <w:adjustRightInd w:val="0"/>
              <w:snapToGrid w:val="0"/>
              <w:spacing w:line="200" w:lineRule="atLeast"/>
              <w:jc w:val="center"/>
              <w:textAlignment w:val="auto"/>
              <w:rPr>
                <w:rFonts w:ascii="宋体" w:hAnsi="宋体" w:cs="宋体"/>
                <w:kern w:val="0"/>
                <w:sz w:val="21"/>
                <w:szCs w:val="21"/>
              </w:rPr>
            </w:pPr>
            <w:r>
              <w:rPr>
                <w:rFonts w:hint="eastAsia" w:ascii="宋体" w:hAnsi="宋体" w:cs="宋体"/>
                <w:kern w:val="0"/>
                <w:sz w:val="21"/>
                <w:szCs w:val="21"/>
              </w:rPr>
              <w:t>具有中专及以上学历</w:t>
            </w:r>
          </w:p>
        </w:tc>
        <w:tc>
          <w:tcPr>
            <w:tcW w:w="1845" w:type="dxa"/>
            <w:tcBorders>
              <w:top w:val="single" w:color="auto" w:sz="4" w:space="0"/>
              <w:left w:val="nil"/>
              <w:bottom w:val="single" w:color="auto" w:sz="4" w:space="0"/>
              <w:right w:val="single" w:color="auto" w:sz="4" w:space="0"/>
            </w:tcBorders>
            <w:vAlign w:val="center"/>
          </w:tcPr>
          <w:p w14:paraId="026DB459">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7460</w:t>
            </w:r>
          </w:p>
        </w:tc>
        <w:tc>
          <w:tcPr>
            <w:tcW w:w="1053" w:type="pct"/>
            <w:tcBorders>
              <w:top w:val="single" w:color="auto" w:sz="4" w:space="0"/>
              <w:left w:val="nil"/>
              <w:bottom w:val="single" w:color="auto" w:sz="4" w:space="0"/>
              <w:right w:val="single" w:color="auto" w:sz="4" w:space="0"/>
            </w:tcBorders>
            <w:vAlign w:val="center"/>
          </w:tcPr>
          <w:p w14:paraId="62CB3890">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i w:val="0"/>
                <w:iCs w:val="0"/>
                <w:color w:val="000000"/>
                <w:kern w:val="0"/>
                <w:sz w:val="22"/>
                <w:szCs w:val="22"/>
                <w:u w:val="none"/>
                <w:lang w:val="en-US" w:eastAsia="zh-CN" w:bidi="ar"/>
              </w:rPr>
              <w:t>6000</w:t>
            </w:r>
          </w:p>
        </w:tc>
      </w:tr>
      <w:tr w14:paraId="7CE9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EB39238">
            <w:pPr>
              <w:adjustRightInd w:val="0"/>
              <w:snapToGrid w:val="0"/>
              <w:spacing w:line="288" w:lineRule="auto"/>
              <w:jc w:val="left"/>
            </w:pPr>
            <w:r>
              <w:rPr>
                <w:rFonts w:hint="eastAsia"/>
              </w:rPr>
              <w:t>注：</w:t>
            </w:r>
          </w:p>
          <w:p w14:paraId="3D05CC20">
            <w:pPr>
              <w:numPr>
                <w:ilvl w:val="0"/>
                <w:numId w:val="5"/>
              </w:numPr>
              <w:adjustRightInd w:val="0"/>
              <w:snapToGrid w:val="0"/>
              <w:spacing w:line="288" w:lineRule="auto"/>
              <w:jc w:val="left"/>
              <w:rPr>
                <w:rFonts w:hint="eastAsia"/>
              </w:rPr>
            </w:pPr>
            <w:r>
              <w:rPr>
                <w:rFonts w:hint="eastAsia"/>
              </w:rPr>
              <w:t>投标人须承接目前正在为采购人服务的预估</w:t>
            </w:r>
            <w:r>
              <w:rPr>
                <w:rFonts w:hint="eastAsia"/>
                <w:lang w:val="en-US" w:eastAsia="zh-CN"/>
              </w:rPr>
              <w:t>300</w:t>
            </w:r>
            <w:r>
              <w:rPr>
                <w:rFonts w:hint="eastAsia"/>
              </w:rPr>
              <w:t>名人员，投标人在签订合同后须于30日完成全部人员承接工作。</w:t>
            </w:r>
          </w:p>
          <w:p w14:paraId="1BD35DBA">
            <w:pPr>
              <w:numPr>
                <w:ilvl w:val="0"/>
                <w:numId w:val="5"/>
              </w:numPr>
              <w:adjustRightInd w:val="0"/>
              <w:snapToGrid w:val="0"/>
              <w:spacing w:line="288" w:lineRule="auto"/>
              <w:jc w:val="left"/>
              <w:rPr>
                <w:rFonts w:hint="eastAsia"/>
                <w:highlight w:val="yellow"/>
              </w:rPr>
            </w:pPr>
            <w:r>
              <w:rPr>
                <w:rFonts w:hint="eastAsia"/>
              </w:rPr>
              <w:t>单价最高限价已包含服务人员应发工资及其他一切管理相关费用</w:t>
            </w:r>
            <w:r>
              <w:rPr>
                <w:rFonts w:hint="eastAsia"/>
                <w:highlight w:val="yellow"/>
                <w:lang w:eastAsia="zh-CN"/>
              </w:rPr>
              <w:t>，</w:t>
            </w:r>
            <w:r>
              <w:rPr>
                <w:rFonts w:hint="eastAsia"/>
                <w:highlight w:val="yellow"/>
                <w:lang w:val="en-US" w:eastAsia="zh-CN"/>
              </w:rPr>
              <w:t>医院根据运营情况</w:t>
            </w:r>
            <w:r>
              <w:rPr>
                <w:rFonts w:hint="eastAsia"/>
                <w:highlight w:val="yellow"/>
                <w:lang w:eastAsia="zh-CN"/>
              </w:rPr>
              <w:t>上浮20%作为员工奖励性薪酬</w:t>
            </w:r>
            <w:r>
              <w:rPr>
                <w:rFonts w:hint="eastAsia"/>
                <w:highlight w:val="yellow"/>
                <w:lang w:val="en-US" w:eastAsia="zh-CN"/>
              </w:rPr>
              <w:t>发放</w:t>
            </w:r>
            <w:r>
              <w:rPr>
                <w:rFonts w:hint="eastAsia"/>
                <w:highlight w:val="yellow"/>
              </w:rPr>
              <w:t>。</w:t>
            </w:r>
          </w:p>
          <w:p w14:paraId="43248419">
            <w:pPr>
              <w:numPr>
                <w:ilvl w:val="0"/>
                <w:numId w:val="5"/>
              </w:numPr>
              <w:adjustRightInd w:val="0"/>
              <w:snapToGrid w:val="0"/>
              <w:spacing w:line="288" w:lineRule="auto"/>
              <w:jc w:val="left"/>
              <w:rPr>
                <w:rFonts w:hint="eastAsia"/>
              </w:rPr>
            </w:pPr>
            <w:r>
              <w:rPr>
                <w:rFonts w:hint="eastAsia" w:ascii="宋体" w:hAnsi="宋体" w:cs="宋体"/>
                <w:b w:val="0"/>
                <w:bCs w:val="0"/>
                <w:i w:val="0"/>
                <w:iCs w:val="0"/>
                <w:color w:val="auto"/>
                <w:kern w:val="0"/>
                <w:sz w:val="21"/>
                <w:szCs w:val="21"/>
                <w:highlight w:val="none"/>
                <w:u w:val="none"/>
                <w:lang w:val="en-US" w:eastAsia="zh-CN"/>
              </w:rPr>
              <w:t>岗位数量为预估数量，根据采购人实际需求情况调配，费用</w:t>
            </w:r>
            <w:r>
              <w:rPr>
                <w:rFonts w:hint="eastAsia" w:ascii="宋体" w:hAnsi="宋体" w:eastAsia="宋体" w:cs="宋体"/>
                <w:b w:val="0"/>
                <w:bCs w:val="0"/>
                <w:sz w:val="21"/>
                <w:szCs w:val="21"/>
                <w:highlight w:val="none"/>
                <w:lang w:val="en-US" w:eastAsia="zh-CN"/>
              </w:rPr>
              <w:t>按</w:t>
            </w:r>
            <w:r>
              <w:rPr>
                <w:rFonts w:hint="eastAsia" w:ascii="宋体" w:hAnsi="宋体" w:cs="宋体"/>
                <w:b w:val="0"/>
                <w:bCs w:val="0"/>
                <w:sz w:val="21"/>
                <w:szCs w:val="21"/>
                <w:highlight w:val="none"/>
                <w:lang w:val="en-US" w:eastAsia="zh-CN"/>
              </w:rPr>
              <w:t>实际服务岗位配备情况进行结算，支付上限不超预算金额。</w:t>
            </w:r>
          </w:p>
          <w:p w14:paraId="7CD447B0">
            <w:pPr>
              <w:numPr>
                <w:ilvl w:val="0"/>
                <w:numId w:val="5"/>
              </w:numPr>
              <w:adjustRightInd w:val="0"/>
              <w:snapToGrid w:val="0"/>
              <w:spacing w:line="288" w:lineRule="auto"/>
              <w:jc w:val="left"/>
              <w:rPr>
                <w:rFonts w:hint="eastAsia"/>
              </w:rPr>
            </w:pPr>
            <w:r>
              <w:rPr>
                <w:rFonts w:hint="eastAsia"/>
              </w:rPr>
              <w:t>采购人有权核定各类岗位服务人员的工资标准，具体见人员要求承诺函。如有违反，采购人有权取消投标人中标资格并按照合同约定收取违约金或解除合同。</w:t>
            </w:r>
          </w:p>
          <w:p w14:paraId="55879053">
            <w:pPr>
              <w:numPr>
                <w:ilvl w:val="0"/>
                <w:numId w:val="5"/>
              </w:numPr>
              <w:adjustRightInd w:val="0"/>
              <w:snapToGrid w:val="0"/>
              <w:spacing w:line="288" w:lineRule="auto"/>
              <w:jc w:val="left"/>
              <w:rPr>
                <w:rFonts w:hint="eastAsia"/>
              </w:rPr>
            </w:pPr>
            <w:r>
              <w:rPr>
                <w:rFonts w:hint="eastAsia"/>
                <w:highlight w:val="yellow"/>
                <w:lang w:val="en-US" w:eastAsia="zh-CN"/>
              </w:rPr>
              <w:t>现单价最高限价</w:t>
            </w:r>
            <w:r>
              <w:rPr>
                <w:rFonts w:hint="eastAsia"/>
                <w:highlight w:val="yellow"/>
              </w:rPr>
              <w:t>为当前深圳市社保基数及公积金</w:t>
            </w:r>
            <w:r>
              <w:rPr>
                <w:rFonts w:hint="eastAsia"/>
                <w:highlight w:val="yellow"/>
                <w:lang w:val="en-US" w:eastAsia="zh-CN"/>
              </w:rPr>
              <w:t>标准测算</w:t>
            </w:r>
            <w:r>
              <w:rPr>
                <w:rFonts w:hint="eastAsia"/>
                <w:highlight w:val="yellow"/>
              </w:rPr>
              <w:t>，如深圳市社保及公积金</w:t>
            </w:r>
            <w:r>
              <w:rPr>
                <w:rFonts w:hint="eastAsia"/>
                <w:highlight w:val="yellow"/>
                <w:lang w:val="en-US" w:eastAsia="zh-CN"/>
              </w:rPr>
              <w:t>缴纳标准调整</w:t>
            </w:r>
            <w:r>
              <w:rPr>
                <w:rFonts w:hint="eastAsia"/>
                <w:highlight w:val="yellow"/>
              </w:rPr>
              <w:t>，</w:t>
            </w:r>
            <w:r>
              <w:rPr>
                <w:rFonts w:hint="eastAsia"/>
                <w:highlight w:val="yellow"/>
                <w:lang w:val="en-US" w:eastAsia="zh-CN"/>
              </w:rPr>
              <w:t>采购人据实</w:t>
            </w:r>
            <w:r>
              <w:rPr>
                <w:rFonts w:hint="eastAsia"/>
                <w:highlight w:val="yellow"/>
              </w:rPr>
              <w:t>补差。</w:t>
            </w:r>
          </w:p>
        </w:tc>
      </w:tr>
    </w:tbl>
    <w:p w14:paraId="6D145F3C">
      <w:pPr>
        <w:pStyle w:val="4"/>
        <w:rPr>
          <w:rFonts w:hint="default"/>
          <w:lang w:val="en-US" w:eastAsia="zh-CN"/>
        </w:rPr>
      </w:pPr>
    </w:p>
    <w:p w14:paraId="2D13A726">
      <w:pPr>
        <w:keepNext w:val="0"/>
        <w:keepLines w:val="0"/>
        <w:pageBreakBefore w:val="0"/>
        <w:widowControl w:val="0"/>
        <w:numPr>
          <w:ilvl w:val="0"/>
          <w:numId w:val="4"/>
        </w:numPr>
        <w:kinsoku/>
        <w:wordWrap/>
        <w:overflowPunct/>
        <w:topLinePunct w:val="0"/>
        <w:autoSpaceDE/>
        <w:autoSpaceDN/>
        <w:bidi w:val="0"/>
        <w:spacing w:line="360" w:lineRule="auto"/>
        <w:ind w:left="0" w:leftChars="0" w:firstLine="482" w:firstLineChars="200"/>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rPr>
        <w:t>服务要求</w:t>
      </w:r>
      <w:r>
        <w:rPr>
          <w:rFonts w:hint="eastAsia" w:asciiTheme="minorEastAsia" w:hAnsiTheme="minorEastAsia" w:eastAsiaTheme="minorEastAsia" w:cstheme="minorEastAsia"/>
          <w:b/>
          <w:sz w:val="24"/>
          <w:szCs w:val="24"/>
          <w:lang w:eastAsia="zh-CN"/>
        </w:rPr>
        <w:t>：</w:t>
      </w:r>
    </w:p>
    <w:p w14:paraId="0A1598C4">
      <w:pPr>
        <w:widowControl/>
        <w:numPr>
          <w:ilvl w:val="0"/>
          <w:numId w:val="6"/>
        </w:numPr>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本次招标费用包含了</w:t>
      </w:r>
      <w:r>
        <w:rPr>
          <w:rFonts w:hint="eastAsia" w:asciiTheme="minorEastAsia" w:hAnsiTheme="minorEastAsia" w:cstheme="minorEastAsia"/>
          <w:sz w:val="24"/>
          <w:szCs w:val="24"/>
          <w:lang w:val="en-US" w:eastAsia="zh-CN"/>
        </w:rPr>
        <w:t>员工薪酬（含社保、公积金）、</w:t>
      </w:r>
      <w:r>
        <w:rPr>
          <w:rFonts w:hint="eastAsia" w:asciiTheme="minorEastAsia" w:hAnsiTheme="minorEastAsia" w:eastAsiaTheme="minorEastAsia" w:cstheme="minorEastAsia"/>
          <w:sz w:val="24"/>
          <w:szCs w:val="24"/>
        </w:rPr>
        <w:t>管理服务成本、行政费用、法定税费、合理利润等一切应尽费用。</w:t>
      </w:r>
    </w:p>
    <w:p w14:paraId="372603EA">
      <w:pPr>
        <w:widowControl/>
        <w:numPr>
          <w:ilvl w:val="0"/>
          <w:numId w:val="6"/>
        </w:numPr>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要求的所有岗位人员必须具有相应的资格证、执业证、上岗证等，熟练掌握相关岗位需要的知识和技能，能够保证工作的效率和质量，具备良好的沟通交流能力，服从管理，不得与合作单位或服务对象发生冲突。</w:t>
      </w:r>
    </w:p>
    <w:p w14:paraId="162DE2AA">
      <w:pPr>
        <w:widowControl/>
        <w:numPr>
          <w:ilvl w:val="0"/>
          <w:numId w:val="6"/>
        </w:numPr>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采购人要求的人数不固定，随时会跟进采购人实际工作需求而变化，投标人接到采购人通知后，按照要求及时给采购人补充人员提供相关服务。</w:t>
      </w:r>
    </w:p>
    <w:p w14:paraId="14554340">
      <w:pPr>
        <w:widowControl/>
        <w:numPr>
          <w:ilvl w:val="0"/>
          <w:numId w:val="6"/>
        </w:numPr>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投标人选派的人员必须符合采购人对该岗位人员的要求。不能胜任者，采购人有权要求投标人更换，投标人必须及时且无条件地为采购人更换合格的人员，相关费用由投标人负担。</w:t>
      </w:r>
    </w:p>
    <w:p w14:paraId="62BCB8A3">
      <w:pPr>
        <w:widowControl/>
        <w:numPr>
          <w:ilvl w:val="0"/>
          <w:numId w:val="6"/>
        </w:numPr>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投标人员工进入采购人场地工作期间，必须遵守国家法律法规和采购人的规章制度，切实履行相关的工作制度和职责。</w:t>
      </w:r>
    </w:p>
    <w:p w14:paraId="75FB6159">
      <w:pPr>
        <w:widowControl/>
        <w:numPr>
          <w:ilvl w:val="0"/>
          <w:numId w:val="6"/>
        </w:numPr>
        <w:ind w:firstLine="48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若投标人及其人员与采购人产生任何争议或纠纷的，由投标人承担一切经济及法律责任并赔偿因此给采购人造成的全部损失。</w:t>
      </w:r>
    </w:p>
    <w:p w14:paraId="47EE9C45">
      <w:pPr>
        <w:widowControl/>
        <w:numPr>
          <w:ilvl w:val="0"/>
          <w:numId w:val="6"/>
        </w:numPr>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投标人必须保证用工的合法性，负责为其员工缴纳公积金及社会养老、生育、工伤、失业、医疗等社会保险费用，并承担其员工的全部人力成本费用。</w:t>
      </w:r>
      <w:r>
        <w:rPr>
          <w:rFonts w:hint="eastAsia" w:asciiTheme="minorEastAsia" w:hAnsiTheme="minorEastAsia" w:eastAsiaTheme="minorEastAsia" w:cstheme="minorEastAsia"/>
          <w:sz w:val="24"/>
          <w:szCs w:val="24"/>
          <w:lang w:val="en-US" w:eastAsia="zh-CN"/>
        </w:rPr>
        <w:t>投标人全面负责员工的劳动用工管理、劳动纠纷处理与社保管理，处理涉及劳动关系的所有事宜，并且提供给采购人备案。</w:t>
      </w:r>
    </w:p>
    <w:p w14:paraId="5B84867F">
      <w:pPr>
        <w:widowControl/>
        <w:numPr>
          <w:ilvl w:val="0"/>
          <w:numId w:val="6"/>
        </w:numPr>
        <w:ind w:firstLine="48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color w:val="000000"/>
          <w:sz w:val="24"/>
          <w:szCs w:val="24"/>
        </w:rPr>
        <w:t>负责对其员工进行上岗培训、安全生产教育，提供的人员必须经过培训合格后才可安排在</w:t>
      </w: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color w:val="000000"/>
          <w:sz w:val="24"/>
          <w:szCs w:val="24"/>
        </w:rPr>
        <w:t>工作。</w:t>
      </w:r>
    </w:p>
    <w:p w14:paraId="4AC4AE90">
      <w:pPr>
        <w:widowControl/>
        <w:numPr>
          <w:ilvl w:val="0"/>
          <w:numId w:val="6"/>
        </w:numPr>
        <w:ind w:firstLine="48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color w:val="000000"/>
          <w:sz w:val="24"/>
          <w:szCs w:val="24"/>
        </w:rPr>
        <w:t>负责办理其员工的工伤意外伤害事故处理及安排食宿等事宜。</w:t>
      </w:r>
    </w:p>
    <w:p w14:paraId="119A352E">
      <w:pPr>
        <w:widowControl/>
        <w:numPr>
          <w:ilvl w:val="0"/>
          <w:numId w:val="6"/>
        </w:numPr>
        <w:ind w:firstLine="48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color w:val="000000"/>
          <w:sz w:val="24"/>
          <w:szCs w:val="24"/>
        </w:rPr>
        <w:t>每月向</w:t>
      </w: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color w:val="000000"/>
          <w:sz w:val="24"/>
          <w:szCs w:val="24"/>
        </w:rPr>
        <w:t>提供工作小结，并定期向</w:t>
      </w: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color w:val="000000"/>
          <w:sz w:val="24"/>
          <w:szCs w:val="24"/>
        </w:rPr>
        <w:t>提供其他必要的资料，如：</w:t>
      </w:r>
      <w:r>
        <w:rPr>
          <w:rFonts w:hint="eastAsia" w:asciiTheme="minorEastAsia" w:hAnsiTheme="minorEastAsia" w:eastAsiaTheme="minorEastAsia" w:cstheme="minorEastAsia"/>
          <w:sz w:val="24"/>
          <w:szCs w:val="24"/>
        </w:rPr>
        <w:t>书面总结、整改报告、员工名册、巡查台账等</w:t>
      </w:r>
      <w:r>
        <w:rPr>
          <w:rFonts w:hint="eastAsia" w:asciiTheme="minorEastAsia" w:hAnsiTheme="minorEastAsia" w:eastAsiaTheme="minorEastAsia" w:cstheme="minorEastAsia"/>
          <w:color w:val="000000"/>
          <w:sz w:val="24"/>
          <w:szCs w:val="24"/>
        </w:rPr>
        <w:t>。</w:t>
      </w:r>
    </w:p>
    <w:p w14:paraId="7F58B76F">
      <w:pPr>
        <w:widowControl/>
        <w:numPr>
          <w:ilvl w:val="0"/>
          <w:numId w:val="6"/>
        </w:numPr>
        <w:ind w:firstLine="48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sz w:val="24"/>
          <w:szCs w:val="24"/>
          <w:lang w:val="en-US" w:eastAsia="zh-CN"/>
        </w:rPr>
        <w:t>采购人每季度对</w:t>
      </w:r>
      <w:r>
        <w:rPr>
          <w:rFonts w:hint="eastAsia" w:asciiTheme="minorEastAsia" w:hAnsiTheme="minorEastAsia" w:eastAsiaTheme="minorEastAsia" w:cstheme="minorEastAsia"/>
          <w:sz w:val="24"/>
          <w:szCs w:val="24"/>
        </w:rPr>
        <w:t>投标人</w:t>
      </w:r>
      <w:r>
        <w:rPr>
          <w:rFonts w:hint="eastAsia" w:asciiTheme="minorEastAsia" w:hAnsiTheme="minorEastAsia" w:cstheme="minorEastAsia"/>
          <w:sz w:val="24"/>
          <w:szCs w:val="24"/>
          <w:lang w:val="en-US" w:eastAsia="zh-CN"/>
        </w:rPr>
        <w:t>及其员工进行满意度测评和工作质量检查（详见附件1、2），测评低于90分的需按采购人要求进行整改</w:t>
      </w:r>
      <w:r>
        <w:rPr>
          <w:rFonts w:hint="eastAsia" w:asciiTheme="minorEastAsia" w:hAnsiTheme="minorEastAsia" w:eastAsiaTheme="minorEastAsia" w:cstheme="minorEastAsia"/>
          <w:color w:val="000000"/>
          <w:sz w:val="24"/>
          <w:szCs w:val="24"/>
        </w:rPr>
        <w:t>。</w:t>
      </w:r>
    </w:p>
    <w:p w14:paraId="79104F9B">
      <w:pPr>
        <w:widowControl/>
        <w:numPr>
          <w:ilvl w:val="0"/>
          <w:numId w:val="6"/>
        </w:numPr>
        <w:ind w:firstLine="480"/>
        <w:jc w:val="left"/>
        <w:rPr>
          <w:rFonts w:hint="eastAsia" w:asciiTheme="minorEastAsia" w:hAnsiTheme="minorEastAsia" w:eastAsiaTheme="minorEastAsia" w:cstheme="minorEastAsia"/>
          <w:color w:val="000000"/>
          <w:kern w:val="0"/>
          <w:sz w:val="24"/>
          <w:szCs w:val="24"/>
          <w:highlight w:val="yellow"/>
        </w:rPr>
      </w:pPr>
      <w:r>
        <w:rPr>
          <w:rFonts w:hint="eastAsia" w:asciiTheme="minorEastAsia" w:hAnsiTheme="minorEastAsia" w:cstheme="minorEastAsia"/>
          <w:sz w:val="24"/>
          <w:szCs w:val="24"/>
          <w:highlight w:val="yellow"/>
          <w:lang w:val="en-US" w:eastAsia="zh-CN"/>
        </w:rPr>
        <w:t>投标人应每年为服务人员安排一次健康体检。</w:t>
      </w:r>
    </w:p>
    <w:p w14:paraId="08EC2B9A">
      <w:pPr>
        <w:widowControl/>
        <w:numPr>
          <w:ilvl w:val="0"/>
          <w:numId w:val="6"/>
        </w:numPr>
        <w:ind w:firstLine="48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color w:val="000000"/>
          <w:sz w:val="24"/>
          <w:szCs w:val="24"/>
        </w:rPr>
        <w:t>项目负责人、项目对接人未经</w:t>
      </w:r>
      <w:r>
        <w:rPr>
          <w:rFonts w:hint="eastAsia" w:asciiTheme="minorEastAsia" w:hAnsiTheme="minorEastAsia" w:eastAsiaTheme="minorEastAsia" w:cstheme="minorEastAsia"/>
          <w:sz w:val="24"/>
          <w:szCs w:val="24"/>
        </w:rPr>
        <w:t>采购人人事部门</w:t>
      </w:r>
      <w:r>
        <w:rPr>
          <w:rFonts w:hint="eastAsia" w:asciiTheme="minorEastAsia" w:hAnsiTheme="minorEastAsia" w:eastAsiaTheme="minorEastAsia" w:cstheme="minorEastAsia"/>
          <w:color w:val="000000"/>
          <w:sz w:val="24"/>
          <w:szCs w:val="24"/>
        </w:rPr>
        <w:t>同意不得随意更换。</w:t>
      </w:r>
    </w:p>
    <w:p w14:paraId="77F735C1">
      <w:pPr>
        <w:widowControl/>
        <w:numPr>
          <w:ilvl w:val="0"/>
          <w:numId w:val="6"/>
        </w:numPr>
        <w:ind w:firstLine="48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投标人对整个服务项目的管理方案、组织架构、人员录用等应建立各项规章制度，投标人在实施前要报告采购人并征得采购人同意，采购人有审核权。</w:t>
      </w:r>
    </w:p>
    <w:p w14:paraId="0D7A117E">
      <w:pPr>
        <w:widowControl/>
        <w:numPr>
          <w:ilvl w:val="0"/>
          <w:numId w:val="6"/>
        </w:numPr>
        <w:ind w:firstLine="48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采购人对某些重要岗位的设置、人员录用与管理、重要的管理决策等有直接参与权与审批权，采购人有权查阅投标人的财务状况及财务报表。</w:t>
      </w:r>
    </w:p>
    <w:p w14:paraId="4B60D38D">
      <w:pPr>
        <w:widowControl/>
        <w:numPr>
          <w:ilvl w:val="0"/>
          <w:numId w:val="6"/>
        </w:numPr>
        <w:ind w:firstLine="48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为保证服务质量，投标人对所录用人员要严格政审，保证录用人员无刑事犯罪记录，投标人各类工作人员不得随意更换，如需更换必须征得采购人的同意，更换的比例全年不超过相应类别人员的10%，并立即到岗新的人员，新的工作人员的素质不得低于原有的人员。特殊部门如手术室、供应室、重症监护室、检验科及感染科等部门，要带班熟练工作才能单独进行工作。</w:t>
      </w:r>
    </w:p>
    <w:p w14:paraId="20C60DF4">
      <w:pPr>
        <w:widowControl/>
        <w:numPr>
          <w:ilvl w:val="0"/>
          <w:numId w:val="6"/>
        </w:numPr>
        <w:ind w:firstLine="48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投标人在做好工作的同时，有责任向采购人提供合理化建议，以提高管理效率和管理质量。</w:t>
      </w:r>
    </w:p>
    <w:p w14:paraId="4EF4B62F">
      <w:pPr>
        <w:widowControl/>
        <w:numPr>
          <w:ilvl w:val="0"/>
          <w:numId w:val="6"/>
        </w:numPr>
        <w:ind w:firstLine="48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投标人员工须积极做好各类应急突发事件的处理，有义务参加抢救、演练等。</w:t>
      </w:r>
    </w:p>
    <w:p w14:paraId="2641E5B0">
      <w:pPr>
        <w:widowControl/>
        <w:numPr>
          <w:ilvl w:val="0"/>
          <w:numId w:val="6"/>
        </w:numPr>
        <w:ind w:firstLine="48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投标人全体员工都有义务参加医院各类消防、控烟演习。投标人应每年组织全体员工进行相关消防知识学习，掌握使用各种消防器材和设备的正确方法，并且消防学习每年不少于二次，学习情况需做好记录。</w:t>
      </w:r>
    </w:p>
    <w:p w14:paraId="643DE469">
      <w:pPr>
        <w:widowControl/>
        <w:numPr>
          <w:ilvl w:val="0"/>
          <w:numId w:val="6"/>
        </w:numPr>
        <w:ind w:firstLine="48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采购人对投标人的人员有直接指挥权，投标人须在合同签订后两个月内建立完善的人力资源系统，便于双方对人员资源进行分析及后续事项的跟进。</w:t>
      </w:r>
    </w:p>
    <w:p w14:paraId="3D608E10">
      <w:pPr>
        <w:widowControl/>
        <w:numPr>
          <w:ilvl w:val="0"/>
          <w:numId w:val="6"/>
        </w:numPr>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投标人须配合医院完善信息化建设的其他各项工作。</w:t>
      </w:r>
    </w:p>
    <w:p w14:paraId="6BB19A0F">
      <w:pPr>
        <w:widowControl/>
        <w:numPr>
          <w:ilvl w:val="0"/>
          <w:numId w:val="6"/>
        </w:numPr>
        <w:ind w:firstLine="48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投标人对医院提供的服务项目进行建档归册，标准化管理，所有检查记录本必须有专业公司装订成册，每季度定期上交采购人保留存档。</w:t>
      </w:r>
    </w:p>
    <w:p w14:paraId="1456F542">
      <w:pPr>
        <w:widowControl/>
        <w:numPr>
          <w:ilvl w:val="0"/>
          <w:numId w:val="6"/>
        </w:numPr>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投标人须全力配合医院三甲复审、公立医院绩效考核等相关重要工作，所有人员须熟练掌握《应知应会》手册相关内容。</w:t>
      </w:r>
    </w:p>
    <w:p w14:paraId="112EEDF1">
      <w:pPr>
        <w:widowControl/>
        <w:numPr>
          <w:ilvl w:val="0"/>
          <w:numId w:val="6"/>
        </w:numPr>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如投标人在服务期限内出现重大管理失误或严重违约、用户投诉多的情况，采购人有权申报政府主管部门审批后，单方解除合同并追究投标人的违约责任。</w:t>
      </w:r>
    </w:p>
    <w:p w14:paraId="2EFA4A9F">
      <w:pPr>
        <w:widowControl/>
        <w:numPr>
          <w:ilvl w:val="0"/>
          <w:numId w:val="6"/>
        </w:numPr>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投标人以及所有工作人员必须按照国家、医院的相关保密规定和采购人签订《保密协议》，对违反《保密协议》相关内容规定的，采购人有权追究其法律责任。</w:t>
      </w:r>
    </w:p>
    <w:p w14:paraId="3BC159F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（四）人员要求（</w:t>
      </w:r>
      <w:r>
        <w:rPr>
          <w:rFonts w:hint="eastAsia" w:asciiTheme="minorEastAsia" w:hAnsiTheme="minorEastAsia" w:cstheme="minorEastAsia"/>
          <w:b/>
          <w:sz w:val="24"/>
          <w:szCs w:val="24"/>
          <w:lang w:val="en-US" w:eastAsia="zh-CN"/>
        </w:rPr>
        <w:t>如需</w:t>
      </w:r>
      <w:r>
        <w:rPr>
          <w:rFonts w:hint="eastAsia" w:asciiTheme="minorEastAsia" w:hAnsiTheme="minorEastAsia" w:eastAsiaTheme="minorEastAsia" w:cstheme="minorEastAsia"/>
          <w:b/>
          <w:sz w:val="24"/>
          <w:szCs w:val="24"/>
          <w:lang w:val="en-US" w:eastAsia="zh-CN"/>
        </w:rPr>
        <w:t>）</w:t>
      </w:r>
    </w:p>
    <w:p w14:paraId="40E5D8B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lang w:val="en-US" w:eastAsia="zh-CN"/>
        </w:rPr>
        <w:t>1</w:t>
      </w:r>
      <w:r>
        <w:rPr>
          <w:rFonts w:hint="eastAsia" w:asciiTheme="minorEastAsia" w:hAnsiTheme="minorEastAsia" w:eastAsiaTheme="minorEastAsia" w:cstheme="minorEastAsia"/>
          <w:sz w:val="24"/>
          <w:szCs w:val="21"/>
        </w:rPr>
        <w:t>.项目服务团队要求：</w:t>
      </w:r>
    </w:p>
    <w:p w14:paraId="11AC946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（1）安排专业项目负责人1名及项目对接人1人及时跟进此项目，做到快速响应，服务及时。</w:t>
      </w:r>
    </w:p>
    <w:p w14:paraId="3A163F0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（2）项目对接人须于采购人指定处驻点办公。</w:t>
      </w:r>
    </w:p>
    <w:p w14:paraId="0C24D87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2.项目进度安排：</w:t>
      </w:r>
    </w:p>
    <w:p w14:paraId="11DB7FC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根据采购人要求及时安排服务人员。</w:t>
      </w:r>
    </w:p>
    <w:p w14:paraId="5AE8A12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3.人员配置要求：</w:t>
      </w:r>
    </w:p>
    <w:p w14:paraId="589DE5D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（1）投标人需要根据采购人实际情况，全部接收采购人原有人员，不得推托或不配合采购人要求。</w:t>
      </w:r>
    </w:p>
    <w:p w14:paraId="62F303D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（2）根据采购人的业务发展需要，或医院管理体制调整等因素，导致服务人数有变化，人员以实际使用为准，具体的人员费用按采购人实际配置人员支付。</w:t>
      </w:r>
    </w:p>
    <w:p w14:paraId="1FD691F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（3）投标人所服务人员须具有采购人要求的相应资质或工作经验。</w:t>
      </w:r>
    </w:p>
    <w:p w14:paraId="433BA5F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（4）投标人须能提供服务人员的集体宿舍，包括但不限于导医、文员、助理、助理护士，并负责做好服务人员住宿期间的人身、财产、意外等各项安全措施。</w:t>
      </w:r>
    </w:p>
    <w:p w14:paraId="5D7653C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 xml:space="preserve">（5）服务人员应政审合格，身体健康（有体检报告），精神面貌良好，应变能力强，服务态度好，责任心强，具有相应岗位所要求的工作能力和素质要求。 </w:t>
      </w:r>
    </w:p>
    <w:p w14:paraId="5425EA66">
      <w:pPr>
        <w:pStyle w:val="4"/>
        <w:ind w:firstLine="420"/>
      </w:pPr>
    </w:p>
    <w:p w14:paraId="4825F3D3"/>
    <w:p w14:paraId="24089D49">
      <w:pPr>
        <w:pStyle w:val="4"/>
      </w:pPr>
    </w:p>
    <w:p w14:paraId="1D39AAD2"/>
    <w:p w14:paraId="0949422C">
      <w:pPr>
        <w:pStyle w:val="4"/>
      </w:pPr>
    </w:p>
    <w:p w14:paraId="4E73DED3"/>
    <w:p w14:paraId="18850731">
      <w:pPr>
        <w:pStyle w:val="4"/>
      </w:pPr>
    </w:p>
    <w:p w14:paraId="1DE979F3">
      <w:pPr>
        <w:adjustRightInd w:val="0"/>
        <w:snapToGrid w:val="0"/>
        <w:spacing w:after="120" w:line="288" w:lineRule="auto"/>
        <w:rPr>
          <w:rFonts w:ascii="宋体" w:hAnsi="宋体" w:cs="宋体"/>
          <w:b/>
          <w:bCs/>
          <w:color w:val="000000"/>
          <w:sz w:val="24"/>
        </w:rPr>
      </w:pPr>
      <w:r>
        <w:rPr>
          <w:rFonts w:hint="eastAsia" w:ascii="宋体" w:hAnsi="宋体" w:cs="宋体"/>
          <w:b/>
          <w:bCs/>
          <w:color w:val="000000"/>
          <w:sz w:val="24"/>
        </w:rPr>
        <w:t>附件1：第三方服务人员工作质量查检表</w:t>
      </w:r>
    </w:p>
    <w:tbl>
      <w:tblPr>
        <w:tblStyle w:val="11"/>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4413"/>
        <w:gridCol w:w="1559"/>
        <w:gridCol w:w="801"/>
        <w:gridCol w:w="850"/>
      </w:tblGrid>
      <w:tr w14:paraId="7AA2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5" w:type="dxa"/>
            <w:gridSpan w:val="5"/>
            <w:vAlign w:val="center"/>
          </w:tcPr>
          <w:p w14:paraId="1214D3DD">
            <w:pPr>
              <w:widowControl/>
              <w:adjustRightInd w:val="0"/>
              <w:snapToGrid w:val="0"/>
              <w:spacing w:line="288" w:lineRule="auto"/>
              <w:jc w:val="left"/>
              <w:textAlignment w:val="center"/>
              <w:rPr>
                <w:rFonts w:ascii="宋体" w:hAnsi="宋体" w:cs="宋体"/>
                <w:b/>
                <w:bCs/>
                <w:color w:val="000000"/>
                <w:kern w:val="0"/>
                <w:sz w:val="24"/>
                <w:szCs w:val="21"/>
              </w:rPr>
            </w:pPr>
            <w:r>
              <w:rPr>
                <w:rFonts w:hint="eastAsia" w:ascii="宋体" w:hAnsi="宋体" w:cs="宋体"/>
                <w:b/>
                <w:bCs/>
                <w:color w:val="000000"/>
                <w:kern w:val="0"/>
                <w:sz w:val="24"/>
                <w:szCs w:val="21"/>
              </w:rPr>
              <w:t>科室：           时间：             检查人：               得分：</w:t>
            </w:r>
          </w:p>
          <w:p w14:paraId="05868E6B">
            <w:pPr>
              <w:adjustRightInd w:val="0"/>
              <w:snapToGrid w:val="0"/>
              <w:spacing w:after="120" w:line="288" w:lineRule="auto"/>
              <w:ind w:left="420" w:leftChars="200" w:firstLine="480" w:firstLineChars="200"/>
              <w:rPr>
                <w:rFonts w:ascii="Calibri" w:hAnsi="Calibri"/>
                <w:sz w:val="24"/>
              </w:rPr>
            </w:pPr>
          </w:p>
        </w:tc>
      </w:tr>
      <w:tr w14:paraId="64BD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52" w:type="dxa"/>
            <w:noWrap/>
            <w:vAlign w:val="center"/>
          </w:tcPr>
          <w:p w14:paraId="1319F71B">
            <w:pPr>
              <w:widowControl/>
              <w:adjustRightInd w:val="0"/>
              <w:snapToGrid w:val="0"/>
              <w:spacing w:line="288" w:lineRule="auto"/>
              <w:jc w:val="center"/>
              <w:textAlignment w:val="center"/>
              <w:rPr>
                <w:rFonts w:ascii="宋体" w:hAnsi="宋体" w:cs="宋体"/>
                <w:b/>
                <w:bCs/>
                <w:color w:val="000000"/>
                <w:sz w:val="24"/>
                <w:szCs w:val="21"/>
              </w:rPr>
            </w:pPr>
            <w:r>
              <w:rPr>
                <w:rFonts w:hint="eastAsia" w:ascii="宋体" w:hAnsi="宋体" w:cs="宋体"/>
                <w:b/>
                <w:bCs/>
                <w:color w:val="000000"/>
                <w:kern w:val="0"/>
                <w:sz w:val="24"/>
                <w:szCs w:val="21"/>
              </w:rPr>
              <w:t>项目/权重</w:t>
            </w:r>
          </w:p>
        </w:tc>
        <w:tc>
          <w:tcPr>
            <w:tcW w:w="4413" w:type="dxa"/>
            <w:noWrap/>
            <w:vAlign w:val="center"/>
          </w:tcPr>
          <w:p w14:paraId="2BACF61D">
            <w:pPr>
              <w:widowControl/>
              <w:adjustRightInd w:val="0"/>
              <w:snapToGrid w:val="0"/>
              <w:spacing w:line="288" w:lineRule="auto"/>
              <w:jc w:val="center"/>
              <w:textAlignment w:val="center"/>
              <w:rPr>
                <w:rFonts w:ascii="宋体" w:hAnsi="宋体" w:cs="宋体"/>
                <w:b/>
                <w:bCs/>
                <w:color w:val="000000"/>
                <w:sz w:val="24"/>
                <w:szCs w:val="21"/>
              </w:rPr>
            </w:pPr>
            <w:r>
              <w:rPr>
                <w:rFonts w:hint="eastAsia" w:ascii="宋体" w:hAnsi="宋体" w:cs="宋体"/>
                <w:b/>
                <w:bCs/>
                <w:color w:val="000000"/>
                <w:kern w:val="0"/>
                <w:sz w:val="24"/>
                <w:szCs w:val="21"/>
              </w:rPr>
              <w:t>标准</w:t>
            </w:r>
          </w:p>
        </w:tc>
        <w:tc>
          <w:tcPr>
            <w:tcW w:w="1559" w:type="dxa"/>
            <w:noWrap/>
            <w:vAlign w:val="center"/>
          </w:tcPr>
          <w:p w14:paraId="0F99ED8A">
            <w:pPr>
              <w:widowControl/>
              <w:adjustRightInd w:val="0"/>
              <w:snapToGrid w:val="0"/>
              <w:spacing w:line="288" w:lineRule="auto"/>
              <w:jc w:val="center"/>
              <w:textAlignment w:val="center"/>
              <w:rPr>
                <w:rFonts w:ascii="宋体" w:hAnsi="宋体" w:cs="宋体"/>
                <w:b/>
                <w:bCs/>
                <w:color w:val="000000"/>
                <w:sz w:val="24"/>
                <w:szCs w:val="21"/>
              </w:rPr>
            </w:pPr>
            <w:r>
              <w:rPr>
                <w:rFonts w:hint="eastAsia" w:ascii="宋体" w:hAnsi="宋体" w:cs="宋体"/>
                <w:b/>
                <w:bCs/>
                <w:color w:val="000000"/>
                <w:kern w:val="0"/>
                <w:sz w:val="24"/>
                <w:szCs w:val="21"/>
              </w:rPr>
              <w:t>扣分原因</w:t>
            </w:r>
          </w:p>
        </w:tc>
        <w:tc>
          <w:tcPr>
            <w:tcW w:w="801" w:type="dxa"/>
            <w:noWrap/>
            <w:vAlign w:val="center"/>
          </w:tcPr>
          <w:p w14:paraId="2BAC47F5">
            <w:pPr>
              <w:widowControl/>
              <w:adjustRightInd w:val="0"/>
              <w:snapToGrid w:val="0"/>
              <w:spacing w:line="288" w:lineRule="auto"/>
              <w:jc w:val="center"/>
              <w:textAlignment w:val="center"/>
              <w:rPr>
                <w:rFonts w:ascii="宋体" w:hAnsi="宋体" w:cs="宋体"/>
                <w:b/>
                <w:bCs/>
                <w:color w:val="000000"/>
                <w:sz w:val="24"/>
                <w:szCs w:val="21"/>
              </w:rPr>
            </w:pPr>
            <w:r>
              <w:rPr>
                <w:rFonts w:hint="eastAsia" w:ascii="宋体" w:hAnsi="宋体" w:cs="宋体"/>
                <w:b/>
                <w:bCs/>
                <w:color w:val="000000"/>
                <w:kern w:val="0"/>
                <w:sz w:val="24"/>
                <w:szCs w:val="21"/>
              </w:rPr>
              <w:t>扣分</w:t>
            </w:r>
          </w:p>
        </w:tc>
        <w:tc>
          <w:tcPr>
            <w:tcW w:w="850" w:type="dxa"/>
            <w:noWrap/>
            <w:vAlign w:val="center"/>
          </w:tcPr>
          <w:p w14:paraId="0F3A5996">
            <w:pPr>
              <w:widowControl/>
              <w:adjustRightInd w:val="0"/>
              <w:snapToGrid w:val="0"/>
              <w:spacing w:line="288" w:lineRule="auto"/>
              <w:jc w:val="center"/>
              <w:textAlignment w:val="center"/>
              <w:rPr>
                <w:rFonts w:ascii="宋体" w:hAnsi="宋体" w:cs="宋体"/>
                <w:b/>
                <w:bCs/>
                <w:color w:val="000000"/>
                <w:sz w:val="24"/>
                <w:szCs w:val="21"/>
              </w:rPr>
            </w:pPr>
            <w:r>
              <w:rPr>
                <w:rFonts w:hint="eastAsia" w:ascii="宋体" w:hAnsi="宋体" w:cs="宋体"/>
                <w:b/>
                <w:bCs/>
                <w:color w:val="000000"/>
                <w:kern w:val="0"/>
                <w:sz w:val="24"/>
                <w:szCs w:val="21"/>
              </w:rPr>
              <w:t>备注</w:t>
            </w:r>
          </w:p>
        </w:tc>
      </w:tr>
      <w:tr w14:paraId="60F6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252" w:type="dxa"/>
            <w:vMerge w:val="restart"/>
            <w:noWrap/>
            <w:vAlign w:val="center"/>
          </w:tcPr>
          <w:p w14:paraId="578B352D">
            <w:pPr>
              <w:widowControl/>
              <w:adjustRightInd w:val="0"/>
              <w:snapToGrid w:val="0"/>
              <w:spacing w:line="288" w:lineRule="auto"/>
              <w:textAlignment w:val="center"/>
              <w:rPr>
                <w:rFonts w:ascii="宋体" w:hAnsi="宋体" w:cs="宋体"/>
                <w:b/>
                <w:bCs/>
                <w:color w:val="000000"/>
                <w:sz w:val="24"/>
                <w:szCs w:val="21"/>
              </w:rPr>
            </w:pPr>
            <w:r>
              <w:rPr>
                <w:rFonts w:hint="eastAsia" w:ascii="宋体" w:hAnsi="宋体" w:cs="宋体"/>
                <w:b/>
                <w:bCs/>
                <w:color w:val="000000"/>
                <w:kern w:val="0"/>
                <w:sz w:val="24"/>
                <w:szCs w:val="21"/>
              </w:rPr>
              <w:t>工作质量（40分)</w:t>
            </w:r>
          </w:p>
        </w:tc>
        <w:tc>
          <w:tcPr>
            <w:tcW w:w="4413" w:type="dxa"/>
            <w:vAlign w:val="center"/>
          </w:tcPr>
          <w:p w14:paraId="2F024838">
            <w:pPr>
              <w:widowControl/>
              <w:adjustRightInd w:val="0"/>
              <w:snapToGrid w:val="0"/>
              <w:spacing w:line="288" w:lineRule="auto"/>
              <w:textAlignment w:val="center"/>
              <w:rPr>
                <w:rFonts w:ascii="宋体" w:hAnsi="宋体" w:cs="宋体"/>
                <w:bCs/>
                <w:color w:val="000000"/>
                <w:sz w:val="24"/>
                <w:szCs w:val="21"/>
              </w:rPr>
            </w:pPr>
            <w:r>
              <w:rPr>
                <w:rFonts w:hint="eastAsia" w:ascii="宋体" w:hAnsi="宋体" w:cs="宋体"/>
                <w:bCs/>
                <w:color w:val="000000"/>
                <w:kern w:val="0"/>
                <w:sz w:val="24"/>
                <w:szCs w:val="21"/>
              </w:rPr>
              <w:t>1、在科室负责人或带教老师指导下完成工作，服从管理（10分）</w:t>
            </w:r>
          </w:p>
        </w:tc>
        <w:tc>
          <w:tcPr>
            <w:tcW w:w="1559" w:type="dxa"/>
            <w:vAlign w:val="center"/>
          </w:tcPr>
          <w:p w14:paraId="6350F4CE">
            <w:pPr>
              <w:adjustRightInd w:val="0"/>
              <w:snapToGrid w:val="0"/>
              <w:spacing w:line="288" w:lineRule="auto"/>
              <w:ind w:firstLine="482" w:firstLineChars="200"/>
              <w:jc w:val="left"/>
              <w:rPr>
                <w:rFonts w:ascii="宋体" w:hAnsi="宋体" w:cs="宋体"/>
                <w:b/>
                <w:bCs/>
                <w:color w:val="000000"/>
                <w:sz w:val="24"/>
                <w:szCs w:val="21"/>
              </w:rPr>
            </w:pPr>
          </w:p>
        </w:tc>
        <w:tc>
          <w:tcPr>
            <w:tcW w:w="801" w:type="dxa"/>
            <w:noWrap/>
            <w:vAlign w:val="center"/>
          </w:tcPr>
          <w:p w14:paraId="39B0ABA3">
            <w:pPr>
              <w:adjustRightInd w:val="0"/>
              <w:snapToGrid w:val="0"/>
              <w:spacing w:line="288" w:lineRule="auto"/>
              <w:ind w:firstLine="482" w:firstLineChars="200"/>
              <w:jc w:val="center"/>
              <w:rPr>
                <w:rFonts w:ascii="宋体" w:hAnsi="宋体" w:cs="宋体"/>
                <w:b/>
                <w:bCs/>
                <w:color w:val="000000"/>
                <w:sz w:val="24"/>
                <w:szCs w:val="21"/>
                <w:highlight w:val="yellow"/>
              </w:rPr>
            </w:pPr>
          </w:p>
        </w:tc>
        <w:tc>
          <w:tcPr>
            <w:tcW w:w="850" w:type="dxa"/>
            <w:vAlign w:val="center"/>
          </w:tcPr>
          <w:p w14:paraId="6B366762">
            <w:pPr>
              <w:adjustRightInd w:val="0"/>
              <w:snapToGrid w:val="0"/>
              <w:spacing w:line="288" w:lineRule="auto"/>
              <w:ind w:firstLine="482" w:firstLineChars="200"/>
              <w:jc w:val="left"/>
              <w:rPr>
                <w:rFonts w:ascii="宋体" w:hAnsi="宋体" w:cs="宋体"/>
                <w:b/>
                <w:bCs/>
                <w:color w:val="000000"/>
                <w:sz w:val="24"/>
                <w:szCs w:val="21"/>
                <w:highlight w:val="yellow"/>
              </w:rPr>
            </w:pPr>
          </w:p>
        </w:tc>
      </w:tr>
      <w:tr w14:paraId="2D15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52" w:type="dxa"/>
            <w:vMerge w:val="continue"/>
            <w:noWrap/>
            <w:vAlign w:val="center"/>
          </w:tcPr>
          <w:p w14:paraId="3C678629">
            <w:pPr>
              <w:adjustRightInd w:val="0"/>
              <w:snapToGrid w:val="0"/>
              <w:spacing w:line="288" w:lineRule="auto"/>
              <w:ind w:firstLine="482" w:firstLineChars="200"/>
              <w:jc w:val="center"/>
              <w:rPr>
                <w:rFonts w:ascii="宋体" w:hAnsi="宋体" w:cs="宋体"/>
                <w:b/>
                <w:bCs/>
                <w:color w:val="000000"/>
                <w:sz w:val="24"/>
                <w:szCs w:val="21"/>
              </w:rPr>
            </w:pPr>
          </w:p>
        </w:tc>
        <w:tc>
          <w:tcPr>
            <w:tcW w:w="4413" w:type="dxa"/>
            <w:vAlign w:val="center"/>
          </w:tcPr>
          <w:p w14:paraId="04D065FA">
            <w:pPr>
              <w:widowControl/>
              <w:adjustRightInd w:val="0"/>
              <w:snapToGrid w:val="0"/>
              <w:spacing w:line="288" w:lineRule="auto"/>
              <w:textAlignment w:val="center"/>
              <w:rPr>
                <w:rFonts w:ascii="宋体" w:hAnsi="宋体" w:cs="宋体"/>
                <w:bCs/>
                <w:color w:val="000000"/>
                <w:sz w:val="24"/>
                <w:szCs w:val="21"/>
              </w:rPr>
            </w:pPr>
            <w:r>
              <w:rPr>
                <w:rFonts w:hint="eastAsia" w:ascii="宋体" w:hAnsi="宋体" w:cs="宋体"/>
                <w:bCs/>
                <w:color w:val="000000"/>
                <w:kern w:val="0"/>
                <w:sz w:val="24"/>
                <w:szCs w:val="21"/>
              </w:rPr>
              <w:t>2、踏实努力</w:t>
            </w:r>
            <w:r>
              <w:rPr>
                <w:rFonts w:hint="eastAsia" w:ascii="宋体" w:hAnsi="宋体" w:cs="宋体"/>
                <w:bCs/>
                <w:color w:val="000000"/>
                <w:sz w:val="24"/>
                <w:szCs w:val="21"/>
              </w:rPr>
              <w:t>，</w:t>
            </w:r>
            <w:r>
              <w:rPr>
                <w:rFonts w:hint="eastAsia" w:ascii="宋体" w:hAnsi="宋体" w:cs="宋体"/>
                <w:bCs/>
                <w:color w:val="000000"/>
                <w:kern w:val="0"/>
                <w:sz w:val="24"/>
                <w:szCs w:val="21"/>
              </w:rPr>
              <w:t>能够高效、及时完成各项交待的任务（10分）</w:t>
            </w:r>
          </w:p>
        </w:tc>
        <w:tc>
          <w:tcPr>
            <w:tcW w:w="1559" w:type="dxa"/>
            <w:noWrap/>
            <w:vAlign w:val="center"/>
          </w:tcPr>
          <w:p w14:paraId="7902FE3A">
            <w:pPr>
              <w:adjustRightInd w:val="0"/>
              <w:snapToGrid w:val="0"/>
              <w:spacing w:line="288" w:lineRule="auto"/>
              <w:ind w:firstLine="482" w:firstLineChars="200"/>
              <w:jc w:val="left"/>
              <w:rPr>
                <w:rFonts w:ascii="宋体" w:hAnsi="宋体" w:cs="宋体"/>
                <w:b/>
                <w:bCs/>
                <w:color w:val="000000"/>
                <w:sz w:val="24"/>
                <w:szCs w:val="21"/>
              </w:rPr>
            </w:pPr>
          </w:p>
        </w:tc>
        <w:tc>
          <w:tcPr>
            <w:tcW w:w="801" w:type="dxa"/>
            <w:noWrap/>
            <w:vAlign w:val="center"/>
          </w:tcPr>
          <w:p w14:paraId="1544DA31">
            <w:pPr>
              <w:adjustRightInd w:val="0"/>
              <w:snapToGrid w:val="0"/>
              <w:spacing w:line="288" w:lineRule="auto"/>
              <w:ind w:firstLine="482" w:firstLineChars="200"/>
              <w:jc w:val="center"/>
              <w:rPr>
                <w:rFonts w:ascii="宋体" w:hAnsi="宋体" w:cs="宋体"/>
                <w:b/>
                <w:bCs/>
                <w:color w:val="000000"/>
                <w:sz w:val="24"/>
                <w:szCs w:val="21"/>
                <w:highlight w:val="yellow"/>
              </w:rPr>
            </w:pPr>
          </w:p>
        </w:tc>
        <w:tc>
          <w:tcPr>
            <w:tcW w:w="850" w:type="dxa"/>
            <w:noWrap/>
            <w:vAlign w:val="center"/>
          </w:tcPr>
          <w:p w14:paraId="55606E93">
            <w:pPr>
              <w:adjustRightInd w:val="0"/>
              <w:snapToGrid w:val="0"/>
              <w:spacing w:line="288" w:lineRule="auto"/>
              <w:ind w:firstLine="482" w:firstLineChars="200"/>
              <w:jc w:val="center"/>
              <w:rPr>
                <w:rFonts w:ascii="宋体" w:hAnsi="宋体" w:cs="宋体"/>
                <w:b/>
                <w:bCs/>
                <w:color w:val="000000"/>
                <w:sz w:val="24"/>
                <w:szCs w:val="21"/>
                <w:highlight w:val="yellow"/>
              </w:rPr>
            </w:pPr>
          </w:p>
        </w:tc>
      </w:tr>
      <w:tr w14:paraId="3CDB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52" w:type="dxa"/>
            <w:vMerge w:val="continue"/>
            <w:noWrap/>
            <w:vAlign w:val="center"/>
          </w:tcPr>
          <w:p w14:paraId="21FF1546">
            <w:pPr>
              <w:adjustRightInd w:val="0"/>
              <w:snapToGrid w:val="0"/>
              <w:spacing w:line="288" w:lineRule="auto"/>
              <w:ind w:firstLine="482" w:firstLineChars="200"/>
              <w:jc w:val="center"/>
              <w:rPr>
                <w:rFonts w:ascii="宋体" w:hAnsi="宋体" w:cs="宋体"/>
                <w:b/>
                <w:bCs/>
                <w:color w:val="000000"/>
                <w:sz w:val="24"/>
                <w:szCs w:val="21"/>
              </w:rPr>
            </w:pPr>
          </w:p>
        </w:tc>
        <w:tc>
          <w:tcPr>
            <w:tcW w:w="4413" w:type="dxa"/>
            <w:vAlign w:val="center"/>
          </w:tcPr>
          <w:p w14:paraId="671F00E8">
            <w:pPr>
              <w:widowControl/>
              <w:adjustRightInd w:val="0"/>
              <w:snapToGrid w:val="0"/>
              <w:spacing w:line="288" w:lineRule="auto"/>
              <w:textAlignment w:val="center"/>
              <w:rPr>
                <w:rFonts w:ascii="宋体" w:hAnsi="宋体" w:cs="宋体"/>
                <w:bCs/>
                <w:color w:val="000000"/>
                <w:sz w:val="24"/>
                <w:szCs w:val="21"/>
              </w:rPr>
            </w:pPr>
            <w:r>
              <w:rPr>
                <w:rFonts w:hint="eastAsia" w:ascii="宋体" w:hAnsi="宋体" w:cs="宋体"/>
                <w:bCs/>
                <w:color w:val="000000"/>
                <w:kern w:val="0"/>
                <w:sz w:val="24"/>
                <w:szCs w:val="21"/>
              </w:rPr>
              <w:t>3、</w:t>
            </w:r>
            <w:r>
              <w:rPr>
                <w:rFonts w:hint="eastAsia" w:ascii="宋体" w:hAnsi="宋体" w:cs="宋体"/>
                <w:bCs/>
                <w:color w:val="000000"/>
                <w:sz w:val="24"/>
                <w:szCs w:val="21"/>
              </w:rPr>
              <w:t>爱岗敬业，具有较强的</w:t>
            </w:r>
            <w:r>
              <w:rPr>
                <w:rFonts w:hint="eastAsia" w:ascii="宋体" w:hAnsi="宋体" w:cs="宋体"/>
                <w:bCs/>
                <w:color w:val="000000"/>
                <w:kern w:val="0"/>
                <w:sz w:val="24"/>
                <w:szCs w:val="21"/>
              </w:rPr>
              <w:t>团队协作意识（10分）</w:t>
            </w:r>
          </w:p>
        </w:tc>
        <w:tc>
          <w:tcPr>
            <w:tcW w:w="1559" w:type="dxa"/>
            <w:noWrap/>
            <w:vAlign w:val="center"/>
          </w:tcPr>
          <w:p w14:paraId="71A8EE7E">
            <w:pPr>
              <w:adjustRightInd w:val="0"/>
              <w:snapToGrid w:val="0"/>
              <w:spacing w:line="288" w:lineRule="auto"/>
              <w:ind w:firstLine="482" w:firstLineChars="200"/>
              <w:jc w:val="left"/>
              <w:rPr>
                <w:rFonts w:ascii="宋体" w:hAnsi="宋体" w:cs="宋体"/>
                <w:b/>
                <w:bCs/>
                <w:color w:val="000000"/>
                <w:sz w:val="24"/>
                <w:szCs w:val="21"/>
              </w:rPr>
            </w:pPr>
          </w:p>
        </w:tc>
        <w:tc>
          <w:tcPr>
            <w:tcW w:w="801" w:type="dxa"/>
            <w:noWrap/>
            <w:vAlign w:val="center"/>
          </w:tcPr>
          <w:p w14:paraId="4A79DC18">
            <w:pPr>
              <w:adjustRightInd w:val="0"/>
              <w:snapToGrid w:val="0"/>
              <w:spacing w:line="288" w:lineRule="auto"/>
              <w:ind w:firstLine="482" w:firstLineChars="200"/>
              <w:jc w:val="center"/>
              <w:rPr>
                <w:rFonts w:ascii="宋体" w:hAnsi="宋体" w:cs="宋体"/>
                <w:b/>
                <w:bCs/>
                <w:color w:val="000000"/>
                <w:sz w:val="24"/>
                <w:szCs w:val="21"/>
                <w:highlight w:val="yellow"/>
              </w:rPr>
            </w:pPr>
          </w:p>
        </w:tc>
        <w:tc>
          <w:tcPr>
            <w:tcW w:w="850" w:type="dxa"/>
            <w:noWrap/>
            <w:vAlign w:val="center"/>
          </w:tcPr>
          <w:p w14:paraId="5AF2915A">
            <w:pPr>
              <w:adjustRightInd w:val="0"/>
              <w:snapToGrid w:val="0"/>
              <w:spacing w:line="288" w:lineRule="auto"/>
              <w:ind w:firstLine="482" w:firstLineChars="200"/>
              <w:jc w:val="center"/>
              <w:rPr>
                <w:rFonts w:ascii="宋体" w:hAnsi="宋体" w:cs="宋体"/>
                <w:b/>
                <w:bCs/>
                <w:color w:val="000000"/>
                <w:sz w:val="24"/>
                <w:szCs w:val="21"/>
                <w:highlight w:val="yellow"/>
              </w:rPr>
            </w:pPr>
          </w:p>
        </w:tc>
      </w:tr>
      <w:tr w14:paraId="43DB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52" w:type="dxa"/>
            <w:vMerge w:val="continue"/>
            <w:noWrap/>
            <w:vAlign w:val="center"/>
          </w:tcPr>
          <w:p w14:paraId="0A480BE4">
            <w:pPr>
              <w:adjustRightInd w:val="0"/>
              <w:snapToGrid w:val="0"/>
              <w:spacing w:line="288" w:lineRule="auto"/>
              <w:ind w:firstLine="482" w:firstLineChars="200"/>
              <w:jc w:val="center"/>
              <w:rPr>
                <w:rFonts w:ascii="宋体" w:hAnsi="宋体" w:cs="宋体"/>
                <w:b/>
                <w:bCs/>
                <w:color w:val="000000"/>
                <w:sz w:val="24"/>
                <w:szCs w:val="21"/>
              </w:rPr>
            </w:pPr>
          </w:p>
        </w:tc>
        <w:tc>
          <w:tcPr>
            <w:tcW w:w="4413" w:type="dxa"/>
            <w:vAlign w:val="center"/>
          </w:tcPr>
          <w:p w14:paraId="519B43B1">
            <w:pPr>
              <w:widowControl/>
              <w:adjustRightInd w:val="0"/>
              <w:snapToGrid w:val="0"/>
              <w:spacing w:line="288" w:lineRule="auto"/>
              <w:textAlignment w:val="center"/>
              <w:rPr>
                <w:rFonts w:ascii="宋体" w:hAnsi="宋体" w:cs="宋体"/>
                <w:bCs/>
                <w:color w:val="000000"/>
                <w:sz w:val="24"/>
                <w:szCs w:val="21"/>
              </w:rPr>
            </w:pPr>
            <w:r>
              <w:rPr>
                <w:rFonts w:hint="eastAsia" w:ascii="宋体" w:hAnsi="宋体" w:cs="宋体"/>
                <w:bCs/>
                <w:color w:val="000000"/>
                <w:kern w:val="0"/>
                <w:sz w:val="24"/>
                <w:szCs w:val="21"/>
              </w:rPr>
              <w:t>4、熟练掌握应知应会知识、应急预案，正确执行应急措施（10分）</w:t>
            </w:r>
          </w:p>
        </w:tc>
        <w:tc>
          <w:tcPr>
            <w:tcW w:w="1559" w:type="dxa"/>
            <w:vAlign w:val="center"/>
          </w:tcPr>
          <w:p w14:paraId="7B2A26D9">
            <w:pPr>
              <w:adjustRightInd w:val="0"/>
              <w:snapToGrid w:val="0"/>
              <w:spacing w:line="288" w:lineRule="auto"/>
              <w:ind w:firstLine="482" w:firstLineChars="200"/>
              <w:jc w:val="left"/>
              <w:rPr>
                <w:rFonts w:ascii="宋体" w:hAnsi="宋体" w:cs="宋体"/>
                <w:b/>
                <w:bCs/>
                <w:color w:val="000000"/>
                <w:sz w:val="24"/>
                <w:szCs w:val="21"/>
              </w:rPr>
            </w:pPr>
          </w:p>
        </w:tc>
        <w:tc>
          <w:tcPr>
            <w:tcW w:w="801" w:type="dxa"/>
            <w:noWrap/>
            <w:vAlign w:val="center"/>
          </w:tcPr>
          <w:p w14:paraId="1261DB92">
            <w:pPr>
              <w:adjustRightInd w:val="0"/>
              <w:snapToGrid w:val="0"/>
              <w:spacing w:line="288" w:lineRule="auto"/>
              <w:ind w:firstLine="482" w:firstLineChars="200"/>
              <w:jc w:val="center"/>
              <w:rPr>
                <w:rFonts w:ascii="宋体" w:hAnsi="宋体" w:cs="宋体"/>
                <w:b/>
                <w:bCs/>
                <w:color w:val="000000"/>
                <w:sz w:val="24"/>
                <w:szCs w:val="21"/>
                <w:highlight w:val="yellow"/>
              </w:rPr>
            </w:pPr>
          </w:p>
        </w:tc>
        <w:tc>
          <w:tcPr>
            <w:tcW w:w="850" w:type="dxa"/>
            <w:noWrap/>
            <w:vAlign w:val="center"/>
          </w:tcPr>
          <w:p w14:paraId="2EAF3DF1">
            <w:pPr>
              <w:adjustRightInd w:val="0"/>
              <w:snapToGrid w:val="0"/>
              <w:spacing w:line="288" w:lineRule="auto"/>
              <w:ind w:firstLine="482" w:firstLineChars="200"/>
              <w:jc w:val="center"/>
              <w:rPr>
                <w:rFonts w:ascii="宋体" w:hAnsi="宋体" w:cs="宋体"/>
                <w:b/>
                <w:bCs/>
                <w:color w:val="000000"/>
                <w:sz w:val="24"/>
                <w:szCs w:val="21"/>
                <w:highlight w:val="yellow"/>
              </w:rPr>
            </w:pPr>
          </w:p>
        </w:tc>
      </w:tr>
      <w:tr w14:paraId="6E62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52" w:type="dxa"/>
            <w:vMerge w:val="restart"/>
            <w:vAlign w:val="center"/>
          </w:tcPr>
          <w:p w14:paraId="74DC5F8F">
            <w:pPr>
              <w:widowControl/>
              <w:adjustRightInd w:val="0"/>
              <w:snapToGrid w:val="0"/>
              <w:spacing w:line="288" w:lineRule="auto"/>
              <w:textAlignment w:val="center"/>
              <w:rPr>
                <w:rFonts w:ascii="宋体" w:hAnsi="宋体" w:cs="宋体"/>
                <w:b/>
                <w:bCs/>
                <w:color w:val="000000"/>
                <w:sz w:val="24"/>
                <w:szCs w:val="21"/>
              </w:rPr>
            </w:pPr>
            <w:r>
              <w:rPr>
                <w:rFonts w:hint="eastAsia" w:ascii="宋体" w:hAnsi="宋体" w:cs="宋体"/>
                <w:b/>
                <w:bCs/>
                <w:color w:val="000000"/>
                <w:kern w:val="0"/>
                <w:sz w:val="24"/>
                <w:szCs w:val="21"/>
              </w:rPr>
              <w:t>行为规范（30分）</w:t>
            </w:r>
          </w:p>
        </w:tc>
        <w:tc>
          <w:tcPr>
            <w:tcW w:w="4413" w:type="dxa"/>
            <w:vAlign w:val="center"/>
          </w:tcPr>
          <w:p w14:paraId="5A16FA97">
            <w:pPr>
              <w:widowControl/>
              <w:adjustRightInd w:val="0"/>
              <w:snapToGrid w:val="0"/>
              <w:spacing w:line="288" w:lineRule="auto"/>
              <w:jc w:val="left"/>
              <w:textAlignment w:val="center"/>
              <w:rPr>
                <w:rFonts w:ascii="宋体" w:hAnsi="宋体" w:cs="宋体"/>
                <w:bCs/>
                <w:color w:val="000000"/>
                <w:sz w:val="24"/>
                <w:szCs w:val="21"/>
              </w:rPr>
            </w:pPr>
            <w:r>
              <w:rPr>
                <w:rFonts w:hint="eastAsia" w:ascii="宋体" w:hAnsi="宋体" w:cs="宋体"/>
                <w:bCs/>
                <w:color w:val="000000"/>
                <w:kern w:val="0"/>
                <w:sz w:val="24"/>
                <w:szCs w:val="21"/>
              </w:rPr>
              <w:t>1、行为举止规范，着装整洁大方，符合岗位要求（10分）</w:t>
            </w:r>
          </w:p>
        </w:tc>
        <w:tc>
          <w:tcPr>
            <w:tcW w:w="1559" w:type="dxa"/>
            <w:noWrap/>
            <w:vAlign w:val="center"/>
          </w:tcPr>
          <w:p w14:paraId="63E1C8B3">
            <w:pPr>
              <w:adjustRightInd w:val="0"/>
              <w:snapToGrid w:val="0"/>
              <w:spacing w:line="288" w:lineRule="auto"/>
              <w:ind w:firstLine="482" w:firstLineChars="200"/>
              <w:jc w:val="left"/>
              <w:rPr>
                <w:rFonts w:ascii="宋体" w:hAnsi="宋体" w:cs="宋体"/>
                <w:b/>
                <w:bCs/>
                <w:color w:val="000000"/>
                <w:sz w:val="24"/>
                <w:szCs w:val="21"/>
              </w:rPr>
            </w:pPr>
          </w:p>
        </w:tc>
        <w:tc>
          <w:tcPr>
            <w:tcW w:w="801" w:type="dxa"/>
            <w:noWrap/>
            <w:vAlign w:val="center"/>
          </w:tcPr>
          <w:p w14:paraId="1D70493A">
            <w:pPr>
              <w:adjustRightInd w:val="0"/>
              <w:snapToGrid w:val="0"/>
              <w:spacing w:line="288" w:lineRule="auto"/>
              <w:ind w:firstLine="482" w:firstLineChars="200"/>
              <w:jc w:val="center"/>
              <w:rPr>
                <w:rFonts w:ascii="宋体" w:hAnsi="宋体" w:cs="宋体"/>
                <w:b/>
                <w:bCs/>
                <w:color w:val="000000"/>
                <w:sz w:val="24"/>
                <w:szCs w:val="21"/>
                <w:highlight w:val="yellow"/>
              </w:rPr>
            </w:pPr>
          </w:p>
        </w:tc>
        <w:tc>
          <w:tcPr>
            <w:tcW w:w="850" w:type="dxa"/>
            <w:noWrap/>
            <w:vAlign w:val="center"/>
          </w:tcPr>
          <w:p w14:paraId="2C3DAD36">
            <w:pPr>
              <w:adjustRightInd w:val="0"/>
              <w:snapToGrid w:val="0"/>
              <w:spacing w:line="288" w:lineRule="auto"/>
              <w:ind w:firstLine="482" w:firstLineChars="200"/>
              <w:jc w:val="center"/>
              <w:rPr>
                <w:rFonts w:ascii="宋体" w:hAnsi="宋体" w:cs="宋体"/>
                <w:b/>
                <w:bCs/>
                <w:color w:val="000000"/>
                <w:sz w:val="24"/>
                <w:szCs w:val="21"/>
                <w:highlight w:val="yellow"/>
              </w:rPr>
            </w:pPr>
          </w:p>
        </w:tc>
      </w:tr>
      <w:tr w14:paraId="3497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52" w:type="dxa"/>
            <w:vMerge w:val="continue"/>
            <w:vAlign w:val="center"/>
          </w:tcPr>
          <w:p w14:paraId="2BAF3299">
            <w:pPr>
              <w:adjustRightInd w:val="0"/>
              <w:snapToGrid w:val="0"/>
              <w:spacing w:line="288" w:lineRule="auto"/>
              <w:ind w:firstLine="482" w:firstLineChars="200"/>
              <w:jc w:val="center"/>
              <w:rPr>
                <w:rFonts w:ascii="宋体" w:hAnsi="宋体" w:cs="宋体"/>
                <w:b/>
                <w:bCs/>
                <w:color w:val="000000"/>
                <w:sz w:val="24"/>
                <w:szCs w:val="21"/>
              </w:rPr>
            </w:pPr>
          </w:p>
        </w:tc>
        <w:tc>
          <w:tcPr>
            <w:tcW w:w="4413" w:type="dxa"/>
            <w:vAlign w:val="center"/>
          </w:tcPr>
          <w:p w14:paraId="5E0B4CA9">
            <w:pPr>
              <w:widowControl/>
              <w:adjustRightInd w:val="0"/>
              <w:snapToGrid w:val="0"/>
              <w:spacing w:line="288" w:lineRule="auto"/>
              <w:jc w:val="left"/>
              <w:textAlignment w:val="center"/>
              <w:rPr>
                <w:rFonts w:ascii="宋体" w:hAnsi="宋体" w:cs="宋体"/>
                <w:bCs/>
                <w:color w:val="000000"/>
                <w:sz w:val="24"/>
                <w:szCs w:val="21"/>
              </w:rPr>
            </w:pPr>
            <w:r>
              <w:rPr>
                <w:rFonts w:hint="eastAsia" w:ascii="宋体" w:hAnsi="宋体" w:cs="宋体"/>
                <w:bCs/>
                <w:color w:val="000000"/>
                <w:kern w:val="0"/>
                <w:sz w:val="24"/>
                <w:szCs w:val="21"/>
              </w:rPr>
              <w:t>2、语言文明礼貌，待人诚恳谦和，与同事和谐相处（10分）</w:t>
            </w:r>
          </w:p>
        </w:tc>
        <w:tc>
          <w:tcPr>
            <w:tcW w:w="1559" w:type="dxa"/>
            <w:noWrap/>
            <w:vAlign w:val="center"/>
          </w:tcPr>
          <w:p w14:paraId="7E8F3C41">
            <w:pPr>
              <w:adjustRightInd w:val="0"/>
              <w:snapToGrid w:val="0"/>
              <w:spacing w:line="288" w:lineRule="auto"/>
              <w:ind w:firstLine="482" w:firstLineChars="200"/>
              <w:jc w:val="left"/>
              <w:rPr>
                <w:rFonts w:ascii="宋体" w:hAnsi="宋体" w:cs="宋体"/>
                <w:b/>
                <w:bCs/>
                <w:color w:val="000000"/>
                <w:sz w:val="24"/>
                <w:szCs w:val="21"/>
              </w:rPr>
            </w:pPr>
          </w:p>
        </w:tc>
        <w:tc>
          <w:tcPr>
            <w:tcW w:w="801" w:type="dxa"/>
            <w:noWrap/>
            <w:vAlign w:val="center"/>
          </w:tcPr>
          <w:p w14:paraId="0FE85A0A">
            <w:pPr>
              <w:adjustRightInd w:val="0"/>
              <w:snapToGrid w:val="0"/>
              <w:spacing w:line="288" w:lineRule="auto"/>
              <w:ind w:firstLine="482" w:firstLineChars="200"/>
              <w:jc w:val="center"/>
              <w:rPr>
                <w:rFonts w:ascii="宋体" w:hAnsi="宋体" w:cs="宋体"/>
                <w:b/>
                <w:bCs/>
                <w:color w:val="000000"/>
                <w:sz w:val="24"/>
                <w:szCs w:val="21"/>
                <w:highlight w:val="yellow"/>
              </w:rPr>
            </w:pPr>
          </w:p>
        </w:tc>
        <w:tc>
          <w:tcPr>
            <w:tcW w:w="850" w:type="dxa"/>
            <w:noWrap/>
            <w:vAlign w:val="center"/>
          </w:tcPr>
          <w:p w14:paraId="7944EACF">
            <w:pPr>
              <w:adjustRightInd w:val="0"/>
              <w:snapToGrid w:val="0"/>
              <w:spacing w:line="288" w:lineRule="auto"/>
              <w:ind w:firstLine="482" w:firstLineChars="200"/>
              <w:jc w:val="center"/>
              <w:rPr>
                <w:rFonts w:ascii="宋体" w:hAnsi="宋体" w:cs="宋体"/>
                <w:b/>
                <w:bCs/>
                <w:color w:val="000000"/>
                <w:sz w:val="24"/>
                <w:szCs w:val="21"/>
                <w:highlight w:val="yellow"/>
              </w:rPr>
            </w:pPr>
          </w:p>
        </w:tc>
      </w:tr>
      <w:tr w14:paraId="2F00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2" w:type="dxa"/>
            <w:vMerge w:val="continue"/>
            <w:vAlign w:val="center"/>
          </w:tcPr>
          <w:p w14:paraId="71AC72F6">
            <w:pPr>
              <w:adjustRightInd w:val="0"/>
              <w:snapToGrid w:val="0"/>
              <w:spacing w:line="288" w:lineRule="auto"/>
              <w:ind w:firstLine="482" w:firstLineChars="200"/>
              <w:jc w:val="center"/>
              <w:rPr>
                <w:rFonts w:ascii="宋体" w:hAnsi="宋体" w:cs="宋体"/>
                <w:b/>
                <w:bCs/>
                <w:color w:val="000000"/>
                <w:sz w:val="24"/>
                <w:szCs w:val="21"/>
              </w:rPr>
            </w:pPr>
          </w:p>
        </w:tc>
        <w:tc>
          <w:tcPr>
            <w:tcW w:w="4413" w:type="dxa"/>
            <w:vAlign w:val="center"/>
          </w:tcPr>
          <w:p w14:paraId="3CFE706D">
            <w:pPr>
              <w:widowControl/>
              <w:adjustRightInd w:val="0"/>
              <w:snapToGrid w:val="0"/>
              <w:spacing w:line="288" w:lineRule="auto"/>
              <w:jc w:val="left"/>
              <w:textAlignment w:val="center"/>
              <w:rPr>
                <w:rFonts w:ascii="宋体" w:hAnsi="宋体" w:cs="宋体"/>
                <w:bCs/>
                <w:color w:val="000000"/>
                <w:sz w:val="24"/>
                <w:szCs w:val="21"/>
              </w:rPr>
            </w:pPr>
            <w:r>
              <w:rPr>
                <w:rFonts w:hint="eastAsia" w:ascii="宋体" w:hAnsi="宋体" w:cs="宋体"/>
                <w:bCs/>
                <w:color w:val="000000"/>
                <w:kern w:val="0"/>
                <w:sz w:val="24"/>
                <w:szCs w:val="21"/>
              </w:rPr>
              <w:t>3、不与患者或家属发生正面冲突，遇到问题及时汇报上级领导（10分）</w:t>
            </w:r>
          </w:p>
        </w:tc>
        <w:tc>
          <w:tcPr>
            <w:tcW w:w="1559" w:type="dxa"/>
            <w:noWrap/>
            <w:vAlign w:val="center"/>
          </w:tcPr>
          <w:p w14:paraId="0310B103">
            <w:pPr>
              <w:adjustRightInd w:val="0"/>
              <w:snapToGrid w:val="0"/>
              <w:spacing w:line="288" w:lineRule="auto"/>
              <w:ind w:firstLine="482" w:firstLineChars="200"/>
              <w:jc w:val="center"/>
              <w:rPr>
                <w:rFonts w:ascii="宋体" w:hAnsi="宋体" w:cs="宋体"/>
                <w:b/>
                <w:bCs/>
                <w:color w:val="000000"/>
                <w:sz w:val="24"/>
                <w:szCs w:val="21"/>
              </w:rPr>
            </w:pPr>
          </w:p>
        </w:tc>
        <w:tc>
          <w:tcPr>
            <w:tcW w:w="801" w:type="dxa"/>
            <w:noWrap/>
            <w:vAlign w:val="center"/>
          </w:tcPr>
          <w:p w14:paraId="0E900D00">
            <w:pPr>
              <w:adjustRightInd w:val="0"/>
              <w:snapToGrid w:val="0"/>
              <w:spacing w:line="288" w:lineRule="auto"/>
              <w:ind w:firstLine="482" w:firstLineChars="200"/>
              <w:jc w:val="center"/>
              <w:rPr>
                <w:rFonts w:ascii="宋体" w:hAnsi="宋体" w:cs="宋体"/>
                <w:b/>
                <w:bCs/>
                <w:color w:val="000000"/>
                <w:sz w:val="24"/>
                <w:szCs w:val="21"/>
                <w:highlight w:val="yellow"/>
              </w:rPr>
            </w:pPr>
          </w:p>
        </w:tc>
        <w:tc>
          <w:tcPr>
            <w:tcW w:w="850" w:type="dxa"/>
            <w:noWrap/>
            <w:vAlign w:val="center"/>
          </w:tcPr>
          <w:p w14:paraId="3980E2A9">
            <w:pPr>
              <w:adjustRightInd w:val="0"/>
              <w:snapToGrid w:val="0"/>
              <w:spacing w:line="288" w:lineRule="auto"/>
              <w:ind w:firstLine="482" w:firstLineChars="200"/>
              <w:jc w:val="center"/>
              <w:rPr>
                <w:rFonts w:ascii="宋体" w:hAnsi="宋体" w:cs="宋体"/>
                <w:b/>
                <w:bCs/>
                <w:color w:val="000000"/>
                <w:sz w:val="24"/>
                <w:szCs w:val="21"/>
                <w:highlight w:val="yellow"/>
              </w:rPr>
            </w:pPr>
          </w:p>
        </w:tc>
      </w:tr>
      <w:tr w14:paraId="56FF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vMerge w:val="restart"/>
            <w:noWrap/>
            <w:vAlign w:val="center"/>
          </w:tcPr>
          <w:p w14:paraId="5FDF5E3D">
            <w:pPr>
              <w:widowControl/>
              <w:adjustRightInd w:val="0"/>
              <w:snapToGrid w:val="0"/>
              <w:spacing w:line="288" w:lineRule="auto"/>
              <w:textAlignment w:val="center"/>
              <w:rPr>
                <w:rFonts w:ascii="宋体" w:hAnsi="宋体" w:cs="宋体"/>
                <w:b/>
                <w:bCs/>
                <w:color w:val="000000"/>
                <w:sz w:val="24"/>
                <w:szCs w:val="21"/>
              </w:rPr>
            </w:pPr>
            <w:r>
              <w:rPr>
                <w:rFonts w:hint="eastAsia" w:ascii="宋体" w:hAnsi="宋体" w:cs="宋体"/>
                <w:b/>
                <w:bCs/>
                <w:color w:val="000000"/>
                <w:kern w:val="0"/>
                <w:sz w:val="24"/>
                <w:szCs w:val="21"/>
              </w:rPr>
              <w:t>劳动纪律（30分）</w:t>
            </w:r>
          </w:p>
        </w:tc>
        <w:tc>
          <w:tcPr>
            <w:tcW w:w="4413" w:type="dxa"/>
            <w:vAlign w:val="center"/>
          </w:tcPr>
          <w:p w14:paraId="13D44DA3">
            <w:pPr>
              <w:widowControl/>
              <w:adjustRightInd w:val="0"/>
              <w:snapToGrid w:val="0"/>
              <w:spacing w:line="288" w:lineRule="auto"/>
              <w:textAlignment w:val="center"/>
              <w:rPr>
                <w:rFonts w:ascii="宋体" w:hAnsi="宋体" w:cs="宋体"/>
                <w:bCs/>
                <w:color w:val="000000"/>
                <w:sz w:val="24"/>
                <w:szCs w:val="21"/>
              </w:rPr>
            </w:pPr>
            <w:r>
              <w:rPr>
                <w:rFonts w:hint="eastAsia" w:ascii="宋体" w:hAnsi="宋体" w:cs="宋体"/>
                <w:bCs/>
                <w:color w:val="000000"/>
                <w:kern w:val="0"/>
                <w:sz w:val="24"/>
                <w:szCs w:val="21"/>
              </w:rPr>
              <w:t>l、遵守医院各项规章制度（不迟到、不早退、不脱岗、不串岗、不闲谈、不扎堆、上班时间不玩手机等）（10分）</w:t>
            </w:r>
          </w:p>
        </w:tc>
        <w:tc>
          <w:tcPr>
            <w:tcW w:w="1559" w:type="dxa"/>
            <w:noWrap/>
            <w:vAlign w:val="center"/>
          </w:tcPr>
          <w:p w14:paraId="2D13A172">
            <w:pPr>
              <w:adjustRightInd w:val="0"/>
              <w:snapToGrid w:val="0"/>
              <w:spacing w:line="288" w:lineRule="auto"/>
              <w:ind w:firstLine="482" w:firstLineChars="200"/>
              <w:jc w:val="left"/>
              <w:rPr>
                <w:rFonts w:ascii="宋体" w:hAnsi="宋体" w:cs="宋体"/>
                <w:b/>
                <w:bCs/>
                <w:color w:val="000000"/>
                <w:sz w:val="24"/>
                <w:szCs w:val="21"/>
              </w:rPr>
            </w:pPr>
          </w:p>
        </w:tc>
        <w:tc>
          <w:tcPr>
            <w:tcW w:w="801" w:type="dxa"/>
            <w:noWrap/>
            <w:vAlign w:val="center"/>
          </w:tcPr>
          <w:p w14:paraId="52FB5C59">
            <w:pPr>
              <w:adjustRightInd w:val="0"/>
              <w:snapToGrid w:val="0"/>
              <w:spacing w:line="288" w:lineRule="auto"/>
              <w:ind w:firstLine="482" w:firstLineChars="200"/>
              <w:jc w:val="center"/>
              <w:rPr>
                <w:rFonts w:ascii="宋体" w:hAnsi="宋体" w:cs="宋体"/>
                <w:b/>
                <w:bCs/>
                <w:color w:val="000000"/>
                <w:sz w:val="24"/>
                <w:szCs w:val="21"/>
                <w:highlight w:val="yellow"/>
              </w:rPr>
            </w:pPr>
          </w:p>
        </w:tc>
        <w:tc>
          <w:tcPr>
            <w:tcW w:w="850" w:type="dxa"/>
            <w:noWrap/>
            <w:vAlign w:val="center"/>
          </w:tcPr>
          <w:p w14:paraId="11457E8D">
            <w:pPr>
              <w:adjustRightInd w:val="0"/>
              <w:snapToGrid w:val="0"/>
              <w:spacing w:line="288" w:lineRule="auto"/>
              <w:ind w:firstLine="482" w:firstLineChars="200"/>
              <w:jc w:val="center"/>
              <w:rPr>
                <w:rFonts w:ascii="宋体" w:hAnsi="宋体" w:cs="宋体"/>
                <w:b/>
                <w:bCs/>
                <w:color w:val="000000"/>
                <w:sz w:val="24"/>
                <w:szCs w:val="21"/>
                <w:highlight w:val="yellow"/>
              </w:rPr>
            </w:pPr>
          </w:p>
        </w:tc>
      </w:tr>
      <w:tr w14:paraId="573B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252" w:type="dxa"/>
            <w:vMerge w:val="continue"/>
            <w:shd w:val="clear" w:color="auto" w:fill="auto"/>
            <w:noWrap/>
            <w:vAlign w:val="center"/>
          </w:tcPr>
          <w:p w14:paraId="478440EE">
            <w:pPr>
              <w:adjustRightInd w:val="0"/>
              <w:snapToGrid w:val="0"/>
              <w:spacing w:line="288" w:lineRule="auto"/>
              <w:ind w:firstLine="482" w:firstLineChars="200"/>
              <w:jc w:val="center"/>
              <w:rPr>
                <w:rFonts w:ascii="宋体" w:hAnsi="宋体" w:cs="宋体"/>
                <w:b/>
                <w:bCs/>
                <w:color w:val="000000"/>
                <w:sz w:val="24"/>
                <w:szCs w:val="21"/>
                <w:highlight w:val="yellow"/>
              </w:rPr>
            </w:pPr>
          </w:p>
        </w:tc>
        <w:tc>
          <w:tcPr>
            <w:tcW w:w="4413" w:type="dxa"/>
            <w:shd w:val="clear" w:color="auto" w:fill="FFFFFF"/>
            <w:vAlign w:val="center"/>
          </w:tcPr>
          <w:p w14:paraId="2CAE4EBB">
            <w:pPr>
              <w:widowControl/>
              <w:adjustRightInd w:val="0"/>
              <w:snapToGrid w:val="0"/>
              <w:spacing w:line="288" w:lineRule="auto"/>
              <w:textAlignment w:val="center"/>
              <w:rPr>
                <w:rFonts w:ascii="宋体" w:hAnsi="宋体" w:cs="宋体"/>
                <w:bCs/>
                <w:color w:val="000000"/>
                <w:sz w:val="24"/>
                <w:szCs w:val="21"/>
              </w:rPr>
            </w:pPr>
            <w:r>
              <w:rPr>
                <w:rFonts w:hint="eastAsia" w:ascii="宋体" w:hAnsi="宋体" w:cs="宋体"/>
                <w:bCs/>
                <w:color w:val="000000"/>
                <w:kern w:val="0"/>
                <w:sz w:val="24"/>
                <w:szCs w:val="21"/>
              </w:rPr>
              <w:t>2、顾全大局，</w:t>
            </w:r>
            <w:r>
              <w:rPr>
                <w:rFonts w:hint="eastAsia" w:ascii="宋体" w:hAnsi="宋体" w:cs="宋体"/>
                <w:bCs/>
                <w:color w:val="000000"/>
                <w:sz w:val="24"/>
                <w:szCs w:val="21"/>
              </w:rPr>
              <w:t>能够主动维护医院形象</w:t>
            </w:r>
            <w:r>
              <w:rPr>
                <w:rFonts w:hint="eastAsia" w:ascii="宋体" w:hAnsi="宋体" w:cs="宋体"/>
                <w:bCs/>
                <w:color w:val="000000"/>
                <w:kern w:val="0"/>
                <w:sz w:val="24"/>
                <w:szCs w:val="21"/>
              </w:rPr>
              <w:t>（10分）</w:t>
            </w:r>
          </w:p>
        </w:tc>
        <w:tc>
          <w:tcPr>
            <w:tcW w:w="1559" w:type="dxa"/>
            <w:noWrap/>
            <w:vAlign w:val="center"/>
          </w:tcPr>
          <w:p w14:paraId="283C39DB">
            <w:pPr>
              <w:adjustRightInd w:val="0"/>
              <w:snapToGrid w:val="0"/>
              <w:spacing w:line="288" w:lineRule="auto"/>
              <w:ind w:firstLine="482" w:firstLineChars="200"/>
              <w:jc w:val="left"/>
              <w:rPr>
                <w:rFonts w:ascii="宋体" w:hAnsi="宋体" w:cs="宋体"/>
                <w:b/>
                <w:bCs/>
                <w:color w:val="000000"/>
                <w:sz w:val="24"/>
                <w:szCs w:val="21"/>
              </w:rPr>
            </w:pPr>
          </w:p>
        </w:tc>
        <w:tc>
          <w:tcPr>
            <w:tcW w:w="801" w:type="dxa"/>
            <w:noWrap/>
            <w:vAlign w:val="center"/>
          </w:tcPr>
          <w:p w14:paraId="4D6A1056">
            <w:pPr>
              <w:adjustRightInd w:val="0"/>
              <w:snapToGrid w:val="0"/>
              <w:spacing w:line="288" w:lineRule="auto"/>
              <w:ind w:firstLine="482" w:firstLineChars="200"/>
              <w:jc w:val="center"/>
              <w:rPr>
                <w:rFonts w:ascii="宋体" w:hAnsi="宋体" w:cs="宋体"/>
                <w:b/>
                <w:bCs/>
                <w:color w:val="000000"/>
                <w:sz w:val="24"/>
                <w:szCs w:val="21"/>
                <w:highlight w:val="yellow"/>
              </w:rPr>
            </w:pPr>
          </w:p>
        </w:tc>
        <w:tc>
          <w:tcPr>
            <w:tcW w:w="850" w:type="dxa"/>
            <w:noWrap/>
            <w:vAlign w:val="center"/>
          </w:tcPr>
          <w:p w14:paraId="188B26D2">
            <w:pPr>
              <w:adjustRightInd w:val="0"/>
              <w:snapToGrid w:val="0"/>
              <w:spacing w:line="288" w:lineRule="auto"/>
              <w:ind w:firstLine="482" w:firstLineChars="200"/>
              <w:jc w:val="center"/>
              <w:rPr>
                <w:rFonts w:ascii="宋体" w:hAnsi="宋体" w:cs="宋体"/>
                <w:b/>
                <w:bCs/>
                <w:color w:val="000000"/>
                <w:sz w:val="24"/>
                <w:szCs w:val="21"/>
                <w:highlight w:val="yellow"/>
              </w:rPr>
            </w:pPr>
          </w:p>
        </w:tc>
      </w:tr>
      <w:tr w14:paraId="73C3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52" w:type="dxa"/>
            <w:vMerge w:val="continue"/>
            <w:noWrap/>
            <w:vAlign w:val="center"/>
          </w:tcPr>
          <w:p w14:paraId="4150E5BF">
            <w:pPr>
              <w:adjustRightInd w:val="0"/>
              <w:snapToGrid w:val="0"/>
              <w:spacing w:line="288" w:lineRule="auto"/>
              <w:ind w:firstLine="482" w:firstLineChars="200"/>
              <w:jc w:val="center"/>
              <w:rPr>
                <w:rFonts w:ascii="宋体" w:hAnsi="宋体" w:cs="宋体"/>
                <w:b/>
                <w:bCs/>
                <w:color w:val="000000"/>
                <w:sz w:val="24"/>
                <w:szCs w:val="21"/>
                <w:highlight w:val="yellow"/>
              </w:rPr>
            </w:pPr>
          </w:p>
        </w:tc>
        <w:tc>
          <w:tcPr>
            <w:tcW w:w="4413" w:type="dxa"/>
            <w:vAlign w:val="center"/>
          </w:tcPr>
          <w:p w14:paraId="5F528C8B">
            <w:pPr>
              <w:widowControl/>
              <w:adjustRightInd w:val="0"/>
              <w:snapToGrid w:val="0"/>
              <w:spacing w:line="288" w:lineRule="auto"/>
              <w:textAlignment w:val="center"/>
              <w:rPr>
                <w:rFonts w:ascii="宋体" w:hAnsi="宋体" w:cs="宋体"/>
                <w:bCs/>
                <w:color w:val="000000"/>
                <w:sz w:val="24"/>
                <w:szCs w:val="21"/>
              </w:rPr>
            </w:pPr>
            <w:r>
              <w:rPr>
                <w:rFonts w:hint="eastAsia" w:ascii="宋体" w:hAnsi="宋体" w:cs="宋体"/>
                <w:bCs/>
                <w:color w:val="000000"/>
                <w:kern w:val="0"/>
                <w:sz w:val="24"/>
                <w:szCs w:val="21"/>
              </w:rPr>
              <w:t>3、积极参加医院或科室组织的各项活动</w:t>
            </w:r>
            <w:r>
              <w:rPr>
                <w:rFonts w:hint="eastAsia" w:ascii="宋体" w:hAnsi="宋体" w:cs="宋体"/>
                <w:bCs/>
                <w:color w:val="000000"/>
                <w:sz w:val="24"/>
                <w:szCs w:val="21"/>
              </w:rPr>
              <w:t xml:space="preserve"> </w:t>
            </w:r>
            <w:r>
              <w:rPr>
                <w:rFonts w:hint="eastAsia" w:ascii="宋体" w:hAnsi="宋体" w:cs="宋体"/>
                <w:bCs/>
                <w:color w:val="000000"/>
                <w:kern w:val="0"/>
                <w:sz w:val="24"/>
                <w:szCs w:val="21"/>
              </w:rPr>
              <w:t>（10分）</w:t>
            </w:r>
          </w:p>
        </w:tc>
        <w:tc>
          <w:tcPr>
            <w:tcW w:w="1559" w:type="dxa"/>
            <w:noWrap/>
            <w:vAlign w:val="center"/>
          </w:tcPr>
          <w:p w14:paraId="189F9791">
            <w:pPr>
              <w:adjustRightInd w:val="0"/>
              <w:snapToGrid w:val="0"/>
              <w:spacing w:line="288" w:lineRule="auto"/>
              <w:ind w:firstLine="482" w:firstLineChars="200"/>
              <w:jc w:val="left"/>
              <w:rPr>
                <w:rFonts w:ascii="宋体" w:hAnsi="宋体" w:cs="宋体"/>
                <w:b/>
                <w:bCs/>
                <w:color w:val="000000"/>
                <w:sz w:val="24"/>
                <w:szCs w:val="21"/>
              </w:rPr>
            </w:pPr>
          </w:p>
        </w:tc>
        <w:tc>
          <w:tcPr>
            <w:tcW w:w="801" w:type="dxa"/>
            <w:noWrap/>
            <w:vAlign w:val="center"/>
          </w:tcPr>
          <w:p w14:paraId="26D68172">
            <w:pPr>
              <w:adjustRightInd w:val="0"/>
              <w:snapToGrid w:val="0"/>
              <w:spacing w:line="288" w:lineRule="auto"/>
              <w:ind w:firstLine="482" w:firstLineChars="200"/>
              <w:jc w:val="center"/>
              <w:rPr>
                <w:rFonts w:ascii="宋体" w:hAnsi="宋体" w:cs="宋体"/>
                <w:b/>
                <w:bCs/>
                <w:color w:val="000000"/>
                <w:sz w:val="24"/>
                <w:szCs w:val="21"/>
                <w:highlight w:val="yellow"/>
              </w:rPr>
            </w:pPr>
          </w:p>
        </w:tc>
        <w:tc>
          <w:tcPr>
            <w:tcW w:w="850" w:type="dxa"/>
            <w:noWrap/>
            <w:vAlign w:val="center"/>
          </w:tcPr>
          <w:p w14:paraId="4C9EE14F">
            <w:pPr>
              <w:adjustRightInd w:val="0"/>
              <w:snapToGrid w:val="0"/>
              <w:spacing w:line="288" w:lineRule="auto"/>
              <w:ind w:firstLine="482" w:firstLineChars="200"/>
              <w:jc w:val="center"/>
              <w:rPr>
                <w:rFonts w:ascii="宋体" w:hAnsi="宋体" w:cs="宋体"/>
                <w:b/>
                <w:bCs/>
                <w:color w:val="000000"/>
                <w:sz w:val="24"/>
                <w:szCs w:val="21"/>
                <w:highlight w:val="yellow"/>
              </w:rPr>
            </w:pPr>
          </w:p>
        </w:tc>
      </w:tr>
    </w:tbl>
    <w:p w14:paraId="25B184F1">
      <w:pPr>
        <w:adjustRightInd w:val="0"/>
        <w:snapToGrid w:val="0"/>
        <w:spacing w:after="120" w:line="288" w:lineRule="auto"/>
        <w:ind w:firstLine="422" w:firstLineChars="200"/>
        <w:rPr>
          <w:rFonts w:ascii="宋体" w:hAnsi="宋体" w:cs="宋体"/>
          <w:b/>
          <w:bCs/>
          <w:color w:val="000000"/>
          <w:sz w:val="24"/>
        </w:rPr>
      </w:pPr>
      <w:r>
        <w:rPr>
          <w:rFonts w:hint="eastAsia" w:ascii="宋体" w:hAnsi="宋体" w:cs="宋体"/>
          <w:b/>
          <w:bCs/>
          <w:color w:val="000000"/>
        </w:rPr>
        <w:br w:type="page"/>
      </w:r>
      <w:r>
        <w:rPr>
          <w:rFonts w:hint="eastAsia" w:ascii="宋体" w:hAnsi="宋体" w:cs="宋体"/>
          <w:b/>
          <w:bCs/>
          <w:color w:val="000000"/>
          <w:sz w:val="24"/>
        </w:rPr>
        <w:t>附件2：满意度测评量表</w:t>
      </w:r>
    </w:p>
    <w:tbl>
      <w:tblPr>
        <w:tblStyle w:val="12"/>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3"/>
      </w:tblGrid>
      <w:tr w14:paraId="1EDD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3" w:type="dxa"/>
          </w:tcPr>
          <w:p w14:paraId="539E473A">
            <w:pPr>
              <w:tabs>
                <w:tab w:val="left" w:pos="6426"/>
              </w:tabs>
              <w:adjustRightInd w:val="0"/>
              <w:snapToGrid w:val="0"/>
              <w:spacing w:line="288" w:lineRule="auto"/>
              <w:contextualSpacing/>
              <w:jc w:val="center"/>
              <w:rPr>
                <w:rFonts w:ascii="宋体" w:hAnsi="宋体"/>
                <w:sz w:val="24"/>
              </w:rPr>
            </w:pPr>
            <w:r>
              <w:rPr>
                <w:rFonts w:hint="eastAsia" w:ascii="宋体" w:hAnsi="宋体" w:cs="宋体"/>
                <w:b/>
                <w:bCs/>
                <w:color w:val="000000"/>
                <w:sz w:val="24"/>
              </w:rPr>
              <w:t>满意度测评量表</w:t>
            </w:r>
          </w:p>
        </w:tc>
      </w:tr>
      <w:tr w14:paraId="5DDE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3" w:type="dxa"/>
          </w:tcPr>
          <w:p w14:paraId="3E7D639A">
            <w:pPr>
              <w:tabs>
                <w:tab w:val="left" w:pos="6426"/>
              </w:tabs>
              <w:adjustRightInd w:val="0"/>
              <w:snapToGrid w:val="0"/>
              <w:spacing w:line="288" w:lineRule="auto"/>
              <w:contextualSpacing/>
              <w:jc w:val="left"/>
              <w:rPr>
                <w:rFonts w:ascii="宋体" w:hAnsi="宋体"/>
                <w:sz w:val="24"/>
              </w:rPr>
            </w:pPr>
            <w:r>
              <w:rPr>
                <w:rFonts w:hint="eastAsia" w:ascii="宋体" w:hAnsi="宋体"/>
                <w:sz w:val="24"/>
              </w:rPr>
              <w:t>为加强第三方服务人员服务监管，持续提升质量和服务水平，请协助填写满意度调查。非常感谢您的配合和支持！</w:t>
            </w:r>
          </w:p>
          <w:p w14:paraId="16848170">
            <w:pPr>
              <w:pStyle w:val="4"/>
              <w:adjustRightInd w:val="0"/>
              <w:snapToGrid w:val="0"/>
              <w:spacing w:line="288" w:lineRule="auto"/>
              <w:contextualSpacing/>
              <w:jc w:val="left"/>
              <w:rPr>
                <w:rFonts w:ascii="宋体" w:hAnsi="宋体"/>
              </w:rPr>
            </w:pPr>
            <w:r>
              <w:rPr>
                <w:rFonts w:hint="eastAsia"/>
              </w:rPr>
              <w:t>满意为20分，一般为10分，不满意为5分，很不满意为0分。总分100分。</w:t>
            </w:r>
          </w:p>
        </w:tc>
      </w:tr>
      <w:tr w14:paraId="0C3B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3" w:type="dxa"/>
          </w:tcPr>
          <w:p w14:paraId="5A605ABE">
            <w:pPr>
              <w:widowControl/>
              <w:shd w:val="clear" w:color="auto" w:fill="FFFFFF"/>
              <w:adjustRightInd w:val="0"/>
              <w:snapToGrid w:val="0"/>
              <w:spacing w:line="288" w:lineRule="auto"/>
              <w:contextualSpacing/>
              <w:rPr>
                <w:rFonts w:ascii="宋体" w:hAnsi="宋体"/>
                <w:b/>
                <w:sz w:val="24"/>
              </w:rPr>
            </w:pPr>
            <w:r>
              <w:rPr>
                <w:rFonts w:hint="eastAsia" w:ascii="宋体" w:hAnsi="宋体"/>
                <w:b/>
                <w:sz w:val="24"/>
              </w:rPr>
              <w:t>1、您对第三方服务人员的到岗情况</w:t>
            </w:r>
          </w:p>
          <w:p w14:paraId="3F48803D">
            <w:pPr>
              <w:widowControl/>
              <w:shd w:val="clear" w:color="auto" w:fill="FFFFFF"/>
              <w:adjustRightInd w:val="0"/>
              <w:snapToGrid w:val="0"/>
              <w:spacing w:line="288" w:lineRule="auto"/>
              <w:ind w:firstLine="480" w:firstLineChars="200"/>
              <w:contextualSpacing/>
              <w:jc w:val="center"/>
              <w:rPr>
                <w:rFonts w:ascii="宋体" w:hAnsi="宋体"/>
                <w:sz w:val="24"/>
              </w:rPr>
            </w:pPr>
            <w:r>
              <w:rPr>
                <w:rFonts w:hint="eastAsia" w:ascii="宋体" w:hAnsi="宋体" w:cs="Arial"/>
                <w:color w:val="000000"/>
                <w:kern w:val="0"/>
                <w:sz w:val="24"/>
              </w:rPr>
              <w:t>□A满意    □B一般    □C不满意    □D很不满意</w:t>
            </w:r>
          </w:p>
        </w:tc>
      </w:tr>
      <w:tr w14:paraId="545F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3" w:type="dxa"/>
          </w:tcPr>
          <w:p w14:paraId="7E02B0AF">
            <w:pPr>
              <w:widowControl/>
              <w:shd w:val="clear" w:color="auto" w:fill="FFFFFF"/>
              <w:adjustRightInd w:val="0"/>
              <w:snapToGrid w:val="0"/>
              <w:spacing w:line="288" w:lineRule="auto"/>
              <w:contextualSpacing/>
              <w:rPr>
                <w:rFonts w:ascii="宋体" w:hAnsi="宋体"/>
                <w:b/>
                <w:sz w:val="24"/>
              </w:rPr>
            </w:pPr>
            <w:r>
              <w:rPr>
                <w:rFonts w:hint="eastAsia" w:ascii="宋体" w:hAnsi="宋体"/>
                <w:b/>
                <w:sz w:val="24"/>
              </w:rPr>
              <w:t>2、您对第三方服务人员的着装、仪容仪表</w:t>
            </w:r>
          </w:p>
          <w:p w14:paraId="7000BF5C">
            <w:pPr>
              <w:widowControl/>
              <w:shd w:val="clear" w:color="auto" w:fill="FFFFFF"/>
              <w:adjustRightInd w:val="0"/>
              <w:snapToGrid w:val="0"/>
              <w:spacing w:line="288" w:lineRule="auto"/>
              <w:contextualSpacing/>
              <w:rPr>
                <w:rFonts w:ascii="宋体" w:hAnsi="宋体"/>
                <w:b/>
                <w:sz w:val="24"/>
              </w:rPr>
            </w:pPr>
            <w:r>
              <w:rPr>
                <w:rFonts w:hint="eastAsia" w:ascii="宋体" w:hAnsi="宋体" w:cs="Arial"/>
                <w:color w:val="000000"/>
                <w:kern w:val="0"/>
                <w:sz w:val="24"/>
              </w:rPr>
              <w:t>□A满意    □B一般    □C不满意    □D很不满意</w:t>
            </w:r>
          </w:p>
        </w:tc>
      </w:tr>
      <w:tr w14:paraId="78E6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3" w:type="dxa"/>
          </w:tcPr>
          <w:p w14:paraId="5D69FA14">
            <w:pPr>
              <w:widowControl/>
              <w:shd w:val="clear" w:color="auto" w:fill="FFFFFF"/>
              <w:adjustRightInd w:val="0"/>
              <w:snapToGrid w:val="0"/>
              <w:spacing w:line="288" w:lineRule="auto"/>
              <w:contextualSpacing/>
              <w:rPr>
                <w:rFonts w:ascii="宋体" w:hAnsi="宋体"/>
                <w:b/>
                <w:sz w:val="24"/>
              </w:rPr>
            </w:pPr>
            <w:r>
              <w:rPr>
                <w:rFonts w:hint="eastAsia" w:ascii="宋体" w:hAnsi="宋体"/>
                <w:b/>
                <w:sz w:val="24"/>
              </w:rPr>
              <w:t>3、您对第三方服务人员的专业知识</w:t>
            </w:r>
          </w:p>
          <w:p w14:paraId="6C26A0CA">
            <w:pPr>
              <w:widowControl/>
              <w:shd w:val="clear" w:color="auto" w:fill="FFFFFF"/>
              <w:adjustRightInd w:val="0"/>
              <w:snapToGrid w:val="0"/>
              <w:spacing w:line="288" w:lineRule="auto"/>
              <w:ind w:firstLine="480" w:firstLineChars="200"/>
              <w:contextualSpacing/>
              <w:jc w:val="center"/>
              <w:rPr>
                <w:rFonts w:ascii="宋体" w:hAnsi="宋体"/>
                <w:sz w:val="24"/>
              </w:rPr>
            </w:pPr>
            <w:r>
              <w:rPr>
                <w:rFonts w:hint="eastAsia" w:ascii="宋体" w:hAnsi="宋体" w:cs="Arial"/>
                <w:color w:val="000000"/>
                <w:kern w:val="0"/>
                <w:sz w:val="24"/>
              </w:rPr>
              <w:t>□A满意    □B一般    □C不满意    □D很不满意</w:t>
            </w:r>
          </w:p>
        </w:tc>
      </w:tr>
      <w:tr w14:paraId="69B8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3" w:type="dxa"/>
          </w:tcPr>
          <w:p w14:paraId="7562E8B2">
            <w:pPr>
              <w:widowControl/>
              <w:shd w:val="clear" w:color="auto" w:fill="FFFFFF"/>
              <w:adjustRightInd w:val="0"/>
              <w:snapToGrid w:val="0"/>
              <w:spacing w:line="288" w:lineRule="auto"/>
              <w:contextualSpacing/>
              <w:rPr>
                <w:rFonts w:ascii="宋体" w:hAnsi="宋体"/>
                <w:b/>
                <w:sz w:val="24"/>
              </w:rPr>
            </w:pPr>
            <w:r>
              <w:rPr>
                <w:rFonts w:hint="eastAsia" w:ascii="宋体" w:hAnsi="宋体"/>
                <w:b/>
                <w:sz w:val="24"/>
              </w:rPr>
              <w:t>4、您对第三方服务人员的工作质量</w:t>
            </w:r>
          </w:p>
          <w:p w14:paraId="0F06C42C">
            <w:pPr>
              <w:widowControl/>
              <w:shd w:val="clear" w:color="auto" w:fill="FFFFFF"/>
              <w:adjustRightInd w:val="0"/>
              <w:snapToGrid w:val="0"/>
              <w:spacing w:line="288" w:lineRule="auto"/>
              <w:ind w:firstLine="480" w:firstLineChars="200"/>
              <w:contextualSpacing/>
              <w:jc w:val="center"/>
              <w:rPr>
                <w:rFonts w:ascii="宋体" w:hAnsi="宋体" w:cs="Arial"/>
                <w:color w:val="000000"/>
                <w:kern w:val="0"/>
                <w:sz w:val="24"/>
              </w:rPr>
            </w:pPr>
            <w:r>
              <w:rPr>
                <w:rFonts w:hint="eastAsia" w:ascii="宋体" w:hAnsi="宋体" w:cs="Arial"/>
                <w:color w:val="000000"/>
                <w:kern w:val="0"/>
                <w:sz w:val="24"/>
              </w:rPr>
              <w:t>□A满意    □B一般    □C不满意    □D很不满意</w:t>
            </w:r>
          </w:p>
        </w:tc>
      </w:tr>
      <w:tr w14:paraId="67AE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3" w:type="dxa"/>
          </w:tcPr>
          <w:p w14:paraId="70C02389">
            <w:pPr>
              <w:widowControl/>
              <w:shd w:val="clear" w:color="auto" w:fill="FFFFFF"/>
              <w:adjustRightInd w:val="0"/>
              <w:snapToGrid w:val="0"/>
              <w:spacing w:line="288" w:lineRule="auto"/>
              <w:contextualSpacing/>
              <w:rPr>
                <w:rFonts w:ascii="宋体" w:hAnsi="宋体"/>
                <w:b/>
                <w:sz w:val="24"/>
              </w:rPr>
            </w:pPr>
            <w:r>
              <w:rPr>
                <w:rFonts w:hint="eastAsia" w:ascii="宋体" w:hAnsi="宋体"/>
                <w:b/>
                <w:sz w:val="24"/>
              </w:rPr>
              <w:t>5、您对第三方服务人员的服务态度</w:t>
            </w:r>
          </w:p>
          <w:p w14:paraId="6207064B">
            <w:pPr>
              <w:widowControl/>
              <w:shd w:val="clear" w:color="auto" w:fill="FFFFFF"/>
              <w:adjustRightInd w:val="0"/>
              <w:snapToGrid w:val="0"/>
              <w:spacing w:line="288" w:lineRule="auto"/>
              <w:ind w:firstLine="480" w:firstLineChars="200"/>
              <w:contextualSpacing/>
              <w:jc w:val="center"/>
              <w:rPr>
                <w:rFonts w:ascii="宋体" w:hAnsi="宋体" w:cs="Arial"/>
                <w:color w:val="000000"/>
                <w:kern w:val="0"/>
                <w:sz w:val="24"/>
              </w:rPr>
            </w:pPr>
            <w:r>
              <w:rPr>
                <w:rFonts w:hint="eastAsia" w:ascii="宋体" w:hAnsi="宋体" w:cs="Arial"/>
                <w:color w:val="000000"/>
                <w:kern w:val="0"/>
                <w:sz w:val="24"/>
              </w:rPr>
              <w:t>□A满意    □B一般    □C不满意    □D很不满意</w:t>
            </w:r>
          </w:p>
        </w:tc>
      </w:tr>
      <w:tr w14:paraId="4378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3" w:type="dxa"/>
          </w:tcPr>
          <w:p w14:paraId="7B55D9B0">
            <w:pPr>
              <w:widowControl/>
              <w:shd w:val="clear" w:color="auto" w:fill="FFFFFF"/>
              <w:adjustRightInd w:val="0"/>
              <w:snapToGrid w:val="0"/>
              <w:spacing w:line="288" w:lineRule="auto"/>
              <w:ind w:firstLine="482" w:firstLineChars="200"/>
              <w:contextualSpacing/>
              <w:jc w:val="center"/>
              <w:rPr>
                <w:rFonts w:ascii="宋体" w:hAnsi="宋体"/>
                <w:b/>
                <w:sz w:val="24"/>
              </w:rPr>
            </w:pPr>
            <w:r>
              <w:rPr>
                <w:rFonts w:hint="eastAsia" w:ascii="宋体" w:hAnsi="宋体"/>
                <w:b/>
                <w:sz w:val="24"/>
              </w:rPr>
              <w:t>投诉和建议（此项不记分）</w:t>
            </w:r>
          </w:p>
          <w:p w14:paraId="0A9388DD">
            <w:pPr>
              <w:widowControl/>
              <w:shd w:val="clear" w:color="auto" w:fill="FFFFFF"/>
              <w:adjustRightInd w:val="0"/>
              <w:snapToGrid w:val="0"/>
              <w:spacing w:line="288" w:lineRule="auto"/>
              <w:contextualSpacing/>
              <w:rPr>
                <w:rFonts w:ascii="宋体" w:hAnsi="宋体"/>
                <w:b/>
                <w:sz w:val="24"/>
              </w:rPr>
            </w:pPr>
            <w:r>
              <w:rPr>
                <w:rFonts w:ascii="宋体" w:hAnsi="宋体"/>
                <w:b/>
                <w:sz w:val="24"/>
              </w:rPr>
              <w:t>1</w:t>
            </w:r>
            <w:r>
              <w:rPr>
                <w:rFonts w:hint="eastAsia" w:ascii="宋体" w:hAnsi="宋体"/>
                <w:b/>
                <w:sz w:val="24"/>
              </w:rPr>
              <w:t>、您对第三方公司投诉和建议处理的及时性</w:t>
            </w:r>
          </w:p>
          <w:p w14:paraId="017F5C32">
            <w:pPr>
              <w:widowControl/>
              <w:shd w:val="clear" w:color="auto" w:fill="FFFFFF"/>
              <w:adjustRightInd w:val="0"/>
              <w:snapToGrid w:val="0"/>
              <w:spacing w:line="288" w:lineRule="auto"/>
              <w:ind w:firstLine="480" w:firstLineChars="200"/>
              <w:contextualSpacing/>
              <w:jc w:val="center"/>
              <w:rPr>
                <w:rFonts w:ascii="宋体" w:hAnsi="宋体" w:cs="宋体"/>
                <w:color w:val="000000"/>
                <w:kern w:val="0"/>
                <w:sz w:val="24"/>
              </w:rPr>
            </w:pPr>
            <w:r>
              <w:rPr>
                <w:rFonts w:hint="eastAsia" w:ascii="宋体" w:hAnsi="宋体" w:cs="Arial"/>
                <w:color w:val="000000"/>
                <w:kern w:val="0"/>
                <w:sz w:val="24"/>
              </w:rPr>
              <w:t>□A满意    □B一般    □C不满意    □D很不满意</w:t>
            </w:r>
          </w:p>
          <w:p w14:paraId="66B30EC4">
            <w:pPr>
              <w:widowControl/>
              <w:shd w:val="clear" w:color="auto" w:fill="FFFFFF"/>
              <w:adjustRightInd w:val="0"/>
              <w:snapToGrid w:val="0"/>
              <w:spacing w:line="288" w:lineRule="auto"/>
              <w:contextualSpacing/>
              <w:rPr>
                <w:rFonts w:ascii="宋体" w:hAnsi="宋体" w:cs="宋体"/>
                <w:b/>
                <w:color w:val="000000"/>
                <w:kern w:val="0"/>
                <w:sz w:val="24"/>
              </w:rPr>
            </w:pPr>
            <w:r>
              <w:rPr>
                <w:rFonts w:ascii="宋体" w:hAnsi="宋体" w:cs="宋体"/>
                <w:b/>
                <w:color w:val="000000"/>
                <w:kern w:val="0"/>
                <w:sz w:val="24"/>
              </w:rPr>
              <w:t>2</w:t>
            </w:r>
            <w:r>
              <w:rPr>
                <w:rFonts w:hint="eastAsia" w:ascii="宋体" w:hAnsi="宋体" w:cs="宋体"/>
                <w:b/>
                <w:color w:val="000000"/>
                <w:kern w:val="0"/>
                <w:sz w:val="24"/>
              </w:rPr>
              <w:t>、</w:t>
            </w:r>
            <w:r>
              <w:rPr>
                <w:rFonts w:hint="eastAsia" w:ascii="宋体" w:hAnsi="宋体"/>
                <w:b/>
                <w:sz w:val="24"/>
              </w:rPr>
              <w:t>您对第三方公司投诉和建议处理的服务态度</w:t>
            </w:r>
          </w:p>
          <w:p w14:paraId="30084C24">
            <w:pPr>
              <w:widowControl/>
              <w:shd w:val="clear" w:color="auto" w:fill="FFFFFF"/>
              <w:adjustRightInd w:val="0"/>
              <w:snapToGrid w:val="0"/>
              <w:spacing w:line="288" w:lineRule="auto"/>
              <w:ind w:firstLine="480" w:firstLineChars="200"/>
              <w:contextualSpacing/>
              <w:jc w:val="center"/>
              <w:rPr>
                <w:rFonts w:ascii="宋体" w:hAnsi="宋体" w:cs="宋体"/>
                <w:color w:val="000000"/>
                <w:kern w:val="0"/>
                <w:sz w:val="24"/>
              </w:rPr>
            </w:pPr>
            <w:r>
              <w:rPr>
                <w:rFonts w:hint="eastAsia" w:ascii="宋体" w:hAnsi="宋体" w:cs="Arial"/>
                <w:color w:val="000000"/>
                <w:kern w:val="0"/>
                <w:sz w:val="24"/>
              </w:rPr>
              <w:t>□A满意    □B一般    □C不满意    □D很不满意</w:t>
            </w:r>
          </w:p>
          <w:p w14:paraId="38EE5810">
            <w:pPr>
              <w:widowControl/>
              <w:shd w:val="clear" w:color="auto" w:fill="FFFFFF"/>
              <w:adjustRightInd w:val="0"/>
              <w:snapToGrid w:val="0"/>
              <w:spacing w:line="288" w:lineRule="auto"/>
              <w:contextualSpacing/>
              <w:rPr>
                <w:rFonts w:ascii="宋体" w:hAnsi="宋体" w:cs="宋体"/>
                <w:b/>
                <w:color w:val="000000"/>
                <w:kern w:val="0"/>
                <w:sz w:val="24"/>
              </w:rPr>
            </w:pPr>
            <w:r>
              <w:rPr>
                <w:rFonts w:ascii="宋体" w:hAnsi="宋体" w:cs="宋体"/>
                <w:b/>
                <w:color w:val="000000"/>
                <w:kern w:val="0"/>
                <w:sz w:val="24"/>
              </w:rPr>
              <w:t>3</w:t>
            </w:r>
            <w:r>
              <w:rPr>
                <w:rFonts w:hint="eastAsia" w:ascii="宋体" w:hAnsi="宋体" w:cs="宋体"/>
                <w:b/>
                <w:color w:val="000000"/>
                <w:kern w:val="0"/>
                <w:sz w:val="24"/>
              </w:rPr>
              <w:t>、</w:t>
            </w:r>
            <w:r>
              <w:rPr>
                <w:rFonts w:hint="eastAsia" w:ascii="宋体" w:hAnsi="宋体"/>
                <w:b/>
                <w:sz w:val="24"/>
              </w:rPr>
              <w:t>您对第三方公司投诉和建议处理的效果</w:t>
            </w:r>
          </w:p>
          <w:p w14:paraId="2F35BFE0">
            <w:pPr>
              <w:adjustRightInd w:val="0"/>
              <w:snapToGrid w:val="0"/>
              <w:spacing w:line="288" w:lineRule="auto"/>
              <w:ind w:firstLine="480" w:firstLineChars="200"/>
              <w:jc w:val="center"/>
              <w:rPr>
                <w:rFonts w:ascii="宋体" w:hAnsi="宋体"/>
                <w:b/>
                <w:sz w:val="24"/>
              </w:rPr>
            </w:pPr>
            <w:r>
              <w:rPr>
                <w:rFonts w:hint="eastAsia" w:ascii="宋体" w:hAnsi="宋体" w:cs="Arial"/>
                <w:color w:val="000000"/>
                <w:kern w:val="0"/>
                <w:sz w:val="24"/>
              </w:rPr>
              <w:t>□A满意    □B一般    □C不满意    □D很不满意</w:t>
            </w:r>
          </w:p>
          <w:p w14:paraId="437D92A6">
            <w:pPr>
              <w:widowControl/>
              <w:shd w:val="clear" w:color="auto" w:fill="FFFFFF"/>
              <w:adjustRightInd w:val="0"/>
              <w:snapToGrid w:val="0"/>
              <w:spacing w:line="288" w:lineRule="auto"/>
              <w:contextualSpacing/>
              <w:jc w:val="left"/>
              <w:rPr>
                <w:rFonts w:ascii="宋体" w:hAnsi="宋体" w:cs="Arial"/>
                <w:color w:val="000000"/>
                <w:kern w:val="0"/>
                <w:sz w:val="24"/>
              </w:rPr>
            </w:pPr>
            <w:r>
              <w:rPr>
                <w:rFonts w:ascii="宋体" w:hAnsi="宋体" w:cs="宋体"/>
                <w:b/>
                <w:color w:val="000000"/>
                <w:kern w:val="0"/>
                <w:sz w:val="24"/>
              </w:rPr>
              <w:t>4</w:t>
            </w:r>
            <w:r>
              <w:rPr>
                <w:rFonts w:hint="eastAsia" w:ascii="宋体" w:hAnsi="宋体" w:cs="宋体"/>
                <w:b/>
                <w:color w:val="000000"/>
                <w:kern w:val="0"/>
                <w:sz w:val="24"/>
              </w:rPr>
              <w:t>、</w:t>
            </w:r>
            <w:r>
              <w:rPr>
                <w:rFonts w:hint="eastAsia" w:ascii="宋体" w:hAnsi="宋体"/>
                <w:b/>
                <w:sz w:val="24"/>
              </w:rPr>
              <w:t>您对第三方公司的工作改进的建议是：</w:t>
            </w:r>
          </w:p>
          <w:p w14:paraId="7393D948">
            <w:pPr>
              <w:widowControl/>
              <w:shd w:val="clear" w:color="auto" w:fill="FFFFFF"/>
              <w:adjustRightInd w:val="0"/>
              <w:snapToGrid w:val="0"/>
              <w:spacing w:line="288" w:lineRule="auto"/>
              <w:ind w:firstLine="480" w:firstLineChars="200"/>
              <w:contextualSpacing/>
              <w:jc w:val="center"/>
              <w:rPr>
                <w:rFonts w:ascii="宋体" w:hAnsi="宋体" w:cs="Arial"/>
                <w:color w:val="000000"/>
                <w:kern w:val="0"/>
                <w:sz w:val="24"/>
              </w:rPr>
            </w:pPr>
          </w:p>
        </w:tc>
      </w:tr>
      <w:tr w14:paraId="2148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3" w:type="dxa"/>
          </w:tcPr>
          <w:p w14:paraId="2EB80361">
            <w:pPr>
              <w:widowControl/>
              <w:shd w:val="clear" w:color="auto" w:fill="FFFFFF"/>
              <w:adjustRightInd w:val="0"/>
              <w:snapToGrid w:val="0"/>
              <w:spacing w:line="288" w:lineRule="auto"/>
              <w:ind w:right="964" w:firstLine="4096" w:firstLineChars="1700"/>
              <w:rPr>
                <w:rFonts w:ascii="Calibri" w:hAnsi="Calibri"/>
                <w:b/>
                <w:sz w:val="24"/>
              </w:rPr>
            </w:pPr>
            <w:r>
              <w:rPr>
                <w:rFonts w:hint="eastAsia" w:ascii="Calibri" w:hAnsi="Calibri"/>
                <w:b/>
                <w:sz w:val="24"/>
              </w:rPr>
              <w:t xml:space="preserve">科室：                  签名：       </w:t>
            </w:r>
          </w:p>
          <w:p w14:paraId="2E784876">
            <w:pPr>
              <w:widowControl/>
              <w:shd w:val="clear" w:color="auto" w:fill="FFFFFF"/>
              <w:adjustRightInd w:val="0"/>
              <w:snapToGrid w:val="0"/>
              <w:spacing w:line="288" w:lineRule="auto"/>
              <w:ind w:firstLine="482" w:firstLineChars="200"/>
              <w:contextualSpacing/>
              <w:jc w:val="center"/>
              <w:rPr>
                <w:rFonts w:ascii="Calibri" w:hAnsi="Calibri"/>
                <w:b/>
                <w:sz w:val="24"/>
              </w:rPr>
            </w:pPr>
            <w:r>
              <w:rPr>
                <w:rFonts w:hint="eastAsia" w:ascii="Calibri" w:hAnsi="Calibri"/>
                <w:b/>
                <w:sz w:val="24"/>
              </w:rPr>
              <w:t xml:space="preserve">                      </w:t>
            </w:r>
          </w:p>
          <w:p w14:paraId="20943B5A">
            <w:pPr>
              <w:widowControl/>
              <w:shd w:val="clear" w:color="auto" w:fill="FFFFFF"/>
              <w:adjustRightInd w:val="0"/>
              <w:snapToGrid w:val="0"/>
              <w:spacing w:line="288" w:lineRule="auto"/>
              <w:ind w:firstLine="482" w:firstLineChars="200"/>
              <w:contextualSpacing/>
              <w:jc w:val="center"/>
              <w:rPr>
                <w:rFonts w:ascii="????" w:hAnsi="????" w:cs="宋体"/>
                <w:b/>
                <w:color w:val="000000"/>
                <w:kern w:val="0"/>
                <w:sz w:val="24"/>
              </w:rPr>
            </w:pPr>
            <w:r>
              <w:rPr>
                <w:rFonts w:hint="eastAsia" w:ascii="Calibri" w:hAnsi="Calibri"/>
                <w:b/>
                <w:sz w:val="24"/>
              </w:rPr>
              <w:t xml:space="preserve">                                                                                年          月         日</w:t>
            </w:r>
          </w:p>
          <w:p w14:paraId="7E301060">
            <w:pPr>
              <w:widowControl/>
              <w:shd w:val="clear" w:color="auto" w:fill="FFFFFF"/>
              <w:adjustRightInd w:val="0"/>
              <w:snapToGrid w:val="0"/>
              <w:spacing w:line="288" w:lineRule="auto"/>
              <w:ind w:firstLine="480" w:firstLineChars="200"/>
              <w:contextualSpacing/>
              <w:jc w:val="center"/>
              <w:rPr>
                <w:rFonts w:ascii="宋体" w:hAnsi="宋体" w:cs="Arial"/>
                <w:color w:val="000000"/>
                <w:kern w:val="0"/>
                <w:sz w:val="24"/>
              </w:rPr>
            </w:pPr>
          </w:p>
        </w:tc>
      </w:tr>
    </w:tbl>
    <w:p w14:paraId="3C308BE5">
      <w:pPr>
        <w:pStyle w:val="4"/>
        <w:rPr>
          <w:rFonts w:hint="eastAsia"/>
          <w:lang w:val="en-US" w:eastAsia="zh-CN"/>
        </w:rPr>
      </w:pPr>
    </w:p>
    <w:p w14:paraId="2DF98DAC">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Theme="minorEastAsia" w:hAnsiTheme="minorEastAsia" w:eastAsiaTheme="minorEastAsia" w:cstheme="minorEastAsia"/>
          <w:b/>
          <w:bCs/>
          <w:sz w:val="24"/>
          <w:szCs w:val="24"/>
        </w:rPr>
      </w:pPr>
    </w:p>
    <w:p w14:paraId="5F84F4B2">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备注：“★”号条款为实质性条款，有任何一条负偏离则导致无效投标；打“▲”号条款为重要技术参数，但不作为无效投标条款。</w:t>
      </w:r>
    </w:p>
    <w:p w14:paraId="3DDF5734">
      <w:pPr>
        <w:numPr>
          <w:ilvl w:val="0"/>
          <w:numId w:val="0"/>
        </w:numPr>
        <w:spacing w:line="540" w:lineRule="exact"/>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eastAsia="zh-CN"/>
        </w:rPr>
        <w:t>二、</w:t>
      </w:r>
      <w:r>
        <w:rPr>
          <w:rFonts w:hint="eastAsia" w:ascii="宋体" w:hAnsi="宋体" w:eastAsia="宋体" w:cs="宋体"/>
          <w:b/>
          <w:bCs/>
          <w:sz w:val="28"/>
          <w:szCs w:val="28"/>
          <w:highlight w:val="none"/>
        </w:rPr>
        <w:t>商务</w:t>
      </w:r>
      <w:r>
        <w:rPr>
          <w:rFonts w:hint="eastAsia" w:ascii="宋体" w:hAnsi="宋体" w:eastAsia="宋体" w:cs="宋体"/>
          <w:b/>
          <w:bCs/>
          <w:sz w:val="28"/>
          <w:szCs w:val="28"/>
          <w:highlight w:val="none"/>
          <w:lang w:eastAsia="zh-CN"/>
        </w:rPr>
        <w:t>要求</w:t>
      </w:r>
    </w:p>
    <w:p w14:paraId="295630B1">
      <w:pPr>
        <w:keepNext w:val="0"/>
        <w:keepLines w:val="0"/>
        <w:pageBreakBefore w:val="0"/>
        <w:widowControl w:val="0"/>
        <w:tabs>
          <w:tab w:val="right" w:pos="709"/>
        </w:tabs>
        <w:kinsoku/>
        <w:overflowPunct/>
        <w:topLinePunct w:val="0"/>
        <w:autoSpaceDE/>
        <w:autoSpaceDN/>
        <w:bidi w:val="0"/>
        <w:adjustRightInd/>
        <w:snapToGrid/>
        <w:spacing w:beforeLines="0" w:afterLines="0" w:line="360" w:lineRule="auto"/>
        <w:ind w:firstLine="482" w:firstLineChars="200"/>
        <w:textAlignment w:val="auto"/>
        <w:rPr>
          <w:rFonts w:hint="eastAsia" w:ascii="宋体" w:hAnsi="宋体" w:eastAsia="宋体" w:cs="宋体"/>
          <w:b w:val="0"/>
          <w:bCs w:val="0"/>
          <w:sz w:val="24"/>
          <w:szCs w:val="24"/>
        </w:rPr>
      </w:pPr>
      <w:r>
        <w:rPr>
          <w:rFonts w:hint="eastAsia" w:ascii="宋体" w:hAnsi="宋体" w:eastAsia="宋体" w:cs="宋体"/>
          <w:b/>
          <w:bCs/>
          <w:sz w:val="24"/>
          <w:szCs w:val="24"/>
        </w:rPr>
        <w:t>（一）服务时间:</w:t>
      </w:r>
      <w:r>
        <w:rPr>
          <w:rFonts w:hint="eastAsia" w:ascii="宋体" w:hAnsi="宋体" w:eastAsia="宋体" w:cs="宋体"/>
          <w:b w:val="0"/>
          <w:bCs w:val="0"/>
          <w:sz w:val="24"/>
          <w:szCs w:val="24"/>
        </w:rPr>
        <w:t>自合同签订之日起1年。本项目为长期服务类项目，第一年为本次招标的中标服务期限，采购人可根据项目需求和中标供应商的履约情况确定合同期限是否延长，但最长不超过三年，合同期累计不超过36个月，合同一年一签。</w:t>
      </w:r>
    </w:p>
    <w:p w14:paraId="2A24AD5F">
      <w:pPr>
        <w:keepNext w:val="0"/>
        <w:keepLines w:val="0"/>
        <w:pageBreakBefore w:val="0"/>
        <w:widowControl w:val="0"/>
        <w:tabs>
          <w:tab w:val="right" w:pos="709"/>
        </w:tabs>
        <w:kinsoku/>
        <w:overflowPunct/>
        <w:topLinePunct w:val="0"/>
        <w:autoSpaceDE/>
        <w:autoSpaceDN/>
        <w:bidi w:val="0"/>
        <w:adjustRightInd/>
        <w:snapToGrid/>
        <w:spacing w:beforeLines="0" w:afterLines="0" w:line="360" w:lineRule="auto"/>
        <w:ind w:firstLine="482" w:firstLineChars="200"/>
        <w:textAlignment w:val="auto"/>
        <w:rPr>
          <w:rFonts w:hint="eastAsia" w:ascii="宋体" w:hAnsi="宋体" w:eastAsia="宋体" w:cs="宋体"/>
          <w:b w:val="0"/>
          <w:bCs w:val="0"/>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服务地点：</w:t>
      </w:r>
      <w:r>
        <w:rPr>
          <w:rFonts w:hint="eastAsia" w:ascii="宋体" w:hAnsi="宋体" w:eastAsia="宋体" w:cs="宋体"/>
          <w:b w:val="0"/>
          <w:bCs w:val="0"/>
          <w:sz w:val="24"/>
          <w:szCs w:val="24"/>
        </w:rPr>
        <w:t>中山大学附属第八医院（深圳福田）</w:t>
      </w:r>
    </w:p>
    <w:p w14:paraId="1745DC31">
      <w:pPr>
        <w:keepNext w:val="0"/>
        <w:keepLines w:val="0"/>
        <w:pageBreakBefore w:val="0"/>
        <w:widowControl w:val="0"/>
        <w:tabs>
          <w:tab w:val="right" w:pos="709"/>
        </w:tabs>
        <w:kinsoku/>
        <w:overflowPunct/>
        <w:topLinePunct w:val="0"/>
        <w:autoSpaceDE/>
        <w:autoSpaceDN/>
        <w:bidi w:val="0"/>
        <w:adjustRightInd/>
        <w:snapToGrid/>
        <w:spacing w:beforeLines="0" w:afterLines="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rPr>
        <w:t>投标报价要求</w:t>
      </w:r>
    </w:p>
    <w:p w14:paraId="07009441">
      <w:pPr>
        <w:keepNext w:val="0"/>
        <w:keepLines w:val="0"/>
        <w:pageBreakBefore w:val="0"/>
        <w:widowControl w:val="0"/>
        <w:tabs>
          <w:tab w:val="right" w:pos="709"/>
        </w:tabs>
        <w:kinsoku/>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投标总价必须是完成该项目的一切费用总和，包括零备件费、维修费、运输费、装卸费、保险费、技术培训费、差旅费、设备安装费、调试费、软件升级费、售后服务费、国家规定的各项税费等全部费用。除该报价外，采购方不再向中标方支付任何其他费用。</w:t>
      </w:r>
    </w:p>
    <w:p w14:paraId="5B6A3E87">
      <w:pPr>
        <w:keepNext w:val="0"/>
        <w:keepLines w:val="0"/>
        <w:pageBreakBefore w:val="0"/>
        <w:widowControl w:val="0"/>
        <w:tabs>
          <w:tab w:val="right" w:pos="709"/>
        </w:tabs>
        <w:kinsoku/>
        <w:overflowPunct/>
        <w:topLinePunct w:val="0"/>
        <w:autoSpaceDE/>
        <w:autoSpaceDN/>
        <w:bidi w:val="0"/>
        <w:adjustRightInd/>
        <w:snapToGrid/>
        <w:spacing w:beforeLines="0" w:afterLines="0" w:line="360" w:lineRule="auto"/>
        <w:ind w:firstLine="482" w:firstLineChars="200"/>
        <w:textAlignment w:val="auto"/>
        <w:rPr>
          <w:rFonts w:hint="eastAsia" w:ascii="宋体" w:hAnsi="宋体" w:eastAsia="宋体" w:cs="宋体"/>
          <w:b w:val="0"/>
          <w:bCs w:val="0"/>
          <w:sz w:val="24"/>
          <w:szCs w:val="24"/>
        </w:rPr>
      </w:pPr>
      <w:r>
        <w:rPr>
          <w:rFonts w:hint="eastAsia" w:ascii="宋体" w:hAnsi="宋体" w:eastAsia="宋体" w:cs="宋体"/>
          <w:b/>
          <w:bCs/>
          <w:sz w:val="24"/>
          <w:szCs w:val="24"/>
        </w:rPr>
        <w:t>（四）付款方式：</w:t>
      </w:r>
      <w:r>
        <w:rPr>
          <w:rFonts w:hint="eastAsia" w:ascii="宋体" w:hAnsi="宋体" w:eastAsia="宋体" w:cs="宋体"/>
          <w:b w:val="0"/>
          <w:bCs w:val="0"/>
          <w:sz w:val="24"/>
          <w:szCs w:val="24"/>
        </w:rPr>
        <w:t>按照中山大学附属第八医院（深圳福田）有关规定付款</w:t>
      </w:r>
    </w:p>
    <w:p w14:paraId="0571C325">
      <w:pPr>
        <w:keepNext w:val="0"/>
        <w:keepLines w:val="0"/>
        <w:pageBreakBefore w:val="0"/>
        <w:widowControl w:val="0"/>
        <w:tabs>
          <w:tab w:val="right" w:pos="709"/>
        </w:tabs>
        <w:kinsoku/>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1.采购人按月向投标人支付服务费（据实结算，并扣减由于投标人服务人员不达标扣除的费用），每月服务费的结算金额须为采购人与投标人双方一致确认后的金额。</w:t>
      </w:r>
    </w:p>
    <w:p w14:paraId="461CDA80">
      <w:pPr>
        <w:keepNext w:val="0"/>
        <w:keepLines w:val="0"/>
        <w:pageBreakBefore w:val="0"/>
        <w:widowControl w:val="0"/>
        <w:tabs>
          <w:tab w:val="right" w:pos="709"/>
        </w:tabs>
        <w:kinsoku/>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在合同签订后，采购人按月支付投标人服务费。每月5号前，投标人提供全部服务人员上月的考勤，经采购人确认后，双方共同核算服务费用，投标人于8号前开具发票，提交至采购人，采购人每月20号前（如遇节假日或特殊情况顺延）将投标人上月的服务费用汇入投标人公账。</w:t>
      </w:r>
    </w:p>
    <w:p w14:paraId="422E44D8">
      <w:pPr>
        <w:keepNext w:val="0"/>
        <w:keepLines w:val="0"/>
        <w:pageBreakBefore w:val="0"/>
        <w:widowControl w:val="0"/>
        <w:tabs>
          <w:tab w:val="right" w:pos="709"/>
        </w:tabs>
        <w:kinsoku/>
        <w:overflowPunct/>
        <w:topLinePunct w:val="0"/>
        <w:autoSpaceDE/>
        <w:autoSpaceDN/>
        <w:bidi w:val="0"/>
        <w:adjustRightInd/>
        <w:snapToGrid/>
        <w:spacing w:beforeLines="0" w:afterLines="0" w:line="360" w:lineRule="auto"/>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（五）关于验收</w:t>
      </w:r>
    </w:p>
    <w:p w14:paraId="4151B7BD">
      <w:pPr>
        <w:keepNext w:val="0"/>
        <w:keepLines w:val="0"/>
        <w:pageBreakBefore w:val="0"/>
        <w:widowControl w:val="0"/>
        <w:tabs>
          <w:tab w:val="right" w:pos="709"/>
        </w:tabs>
        <w:kinsoku/>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1、服务质量考核验收标准： </w:t>
      </w:r>
    </w:p>
    <w:tbl>
      <w:tblPr>
        <w:tblStyle w:val="11"/>
        <w:tblW w:w="89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1170"/>
        <w:gridCol w:w="2580"/>
        <w:gridCol w:w="3225"/>
      </w:tblGrid>
      <w:tr w14:paraId="5A87E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7ACA5F6B">
            <w:pPr>
              <w:pStyle w:val="4"/>
              <w:jc w:val="center"/>
              <w:rPr>
                <w:rFonts w:ascii="宋体" w:hAnsi="宋体" w:cs="宋体"/>
                <w:b w:val="0"/>
              </w:rPr>
            </w:pPr>
            <w:r>
              <w:rPr>
                <w:rFonts w:hint="eastAsia" w:ascii="宋体" w:hAnsi="宋体" w:cs="宋体"/>
                <w:b w:val="0"/>
              </w:rPr>
              <w:t>考评内容</w:t>
            </w:r>
          </w:p>
        </w:tc>
        <w:tc>
          <w:tcPr>
            <w:tcW w:w="1170" w:type="dxa"/>
            <w:vAlign w:val="center"/>
          </w:tcPr>
          <w:p w14:paraId="6C9981ED">
            <w:pPr>
              <w:pStyle w:val="4"/>
              <w:jc w:val="center"/>
              <w:rPr>
                <w:rFonts w:ascii="宋体" w:hAnsi="宋体" w:cs="宋体"/>
                <w:b w:val="0"/>
              </w:rPr>
            </w:pPr>
            <w:r>
              <w:rPr>
                <w:rFonts w:hint="eastAsia" w:ascii="宋体" w:hAnsi="宋体" w:cs="宋体"/>
                <w:b w:val="0"/>
              </w:rPr>
              <w:t>目标值</w:t>
            </w:r>
          </w:p>
        </w:tc>
        <w:tc>
          <w:tcPr>
            <w:tcW w:w="2580" w:type="dxa"/>
            <w:vAlign w:val="center"/>
          </w:tcPr>
          <w:p w14:paraId="5B2A7AEB">
            <w:pPr>
              <w:pStyle w:val="4"/>
              <w:jc w:val="center"/>
              <w:rPr>
                <w:rFonts w:ascii="宋体" w:hAnsi="宋体" w:cs="宋体"/>
                <w:b w:val="0"/>
              </w:rPr>
            </w:pPr>
            <w:r>
              <w:rPr>
                <w:rFonts w:hint="eastAsia" w:ascii="宋体" w:hAnsi="宋体" w:cs="宋体"/>
                <w:b w:val="0"/>
              </w:rPr>
              <w:t>评分标准</w:t>
            </w:r>
          </w:p>
        </w:tc>
        <w:tc>
          <w:tcPr>
            <w:tcW w:w="3225" w:type="dxa"/>
            <w:vAlign w:val="center"/>
          </w:tcPr>
          <w:p w14:paraId="7746F92F">
            <w:pPr>
              <w:pStyle w:val="4"/>
              <w:jc w:val="center"/>
              <w:rPr>
                <w:rFonts w:ascii="宋体" w:hAnsi="宋体" w:cs="宋体"/>
                <w:b w:val="0"/>
              </w:rPr>
            </w:pPr>
            <w:r>
              <w:rPr>
                <w:rFonts w:hint="eastAsia" w:ascii="宋体" w:hAnsi="宋体" w:cs="宋体"/>
                <w:b w:val="0"/>
              </w:rPr>
              <w:t>考核办法</w:t>
            </w:r>
          </w:p>
        </w:tc>
      </w:tr>
      <w:tr w14:paraId="0644C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59" w:type="dxa"/>
            <w:vAlign w:val="center"/>
          </w:tcPr>
          <w:p w14:paraId="71267A99">
            <w:pPr>
              <w:pStyle w:val="4"/>
              <w:rPr>
                <w:rFonts w:ascii="宋体" w:hAnsi="宋体" w:cs="宋体"/>
                <w:b w:val="0"/>
              </w:rPr>
            </w:pPr>
            <w:r>
              <w:rPr>
                <w:rFonts w:ascii="宋体" w:hAnsi="宋体" w:cs="宋体"/>
                <w:b w:val="0"/>
              </w:rPr>
              <w:t>1.岗位职责</w:t>
            </w:r>
          </w:p>
        </w:tc>
        <w:tc>
          <w:tcPr>
            <w:tcW w:w="1170" w:type="dxa"/>
            <w:vAlign w:val="center"/>
          </w:tcPr>
          <w:p w14:paraId="0469A08E">
            <w:pPr>
              <w:pStyle w:val="4"/>
              <w:rPr>
                <w:rFonts w:ascii="宋体" w:hAnsi="宋体" w:cs="宋体"/>
                <w:b w:val="0"/>
              </w:rPr>
            </w:pPr>
            <w:r>
              <w:rPr>
                <w:rFonts w:hint="eastAsia" w:ascii="宋体" w:hAnsi="宋体" w:cs="宋体"/>
                <w:b w:val="0"/>
              </w:rPr>
              <w:t>≥</w:t>
            </w:r>
            <w:r>
              <w:rPr>
                <w:rFonts w:ascii="宋体" w:hAnsi="宋体" w:cs="宋体"/>
                <w:b w:val="0"/>
              </w:rPr>
              <w:t>90分</w:t>
            </w:r>
          </w:p>
        </w:tc>
        <w:tc>
          <w:tcPr>
            <w:tcW w:w="2580" w:type="dxa"/>
            <w:vAlign w:val="center"/>
          </w:tcPr>
          <w:p w14:paraId="4132F892">
            <w:pPr>
              <w:pStyle w:val="4"/>
              <w:rPr>
                <w:rFonts w:ascii="宋体" w:hAnsi="宋体" w:cs="宋体"/>
                <w:b w:val="0"/>
              </w:rPr>
            </w:pPr>
            <w:r>
              <w:rPr>
                <w:rFonts w:hint="eastAsia" w:ascii="宋体" w:hAnsi="宋体" w:cs="宋体"/>
                <w:b w:val="0"/>
              </w:rPr>
              <w:t>平均分在</w:t>
            </w:r>
            <w:r>
              <w:rPr>
                <w:rFonts w:ascii="宋体" w:hAnsi="宋体" w:cs="宋体"/>
                <w:b w:val="0"/>
              </w:rPr>
              <w:t>85-90分之间，每低于标准1分扣罚100元。</w:t>
            </w:r>
          </w:p>
          <w:p w14:paraId="06BB87BB">
            <w:pPr>
              <w:pStyle w:val="4"/>
              <w:rPr>
                <w:rFonts w:ascii="宋体" w:hAnsi="宋体" w:cs="宋体"/>
                <w:b w:val="0"/>
              </w:rPr>
            </w:pPr>
            <w:r>
              <w:rPr>
                <w:rFonts w:hint="eastAsia" w:ascii="宋体" w:hAnsi="宋体" w:cs="宋体"/>
                <w:b w:val="0"/>
              </w:rPr>
              <w:t>平均分在</w:t>
            </w:r>
            <w:r>
              <w:rPr>
                <w:rFonts w:ascii="宋体" w:hAnsi="宋体" w:cs="宋体"/>
                <w:b w:val="0"/>
              </w:rPr>
              <w:t>85分以下，每低于标准1分扣罚200元。</w:t>
            </w:r>
          </w:p>
        </w:tc>
        <w:tc>
          <w:tcPr>
            <w:tcW w:w="3225" w:type="dxa"/>
            <w:vAlign w:val="center"/>
          </w:tcPr>
          <w:p w14:paraId="166826CD">
            <w:pPr>
              <w:pStyle w:val="4"/>
              <w:rPr>
                <w:rFonts w:ascii="宋体" w:hAnsi="宋体"/>
                <w:b w:val="0"/>
              </w:rPr>
            </w:pPr>
            <w:r>
              <w:rPr>
                <w:rFonts w:hint="eastAsia" w:ascii="宋体" w:hAnsi="宋体"/>
                <w:b w:val="0"/>
              </w:rPr>
              <w:t>根据岗位职责制定查检表，现场抽查</w:t>
            </w:r>
            <w:r>
              <w:rPr>
                <w:rFonts w:ascii="宋体" w:hAnsi="宋体"/>
                <w:b w:val="0"/>
              </w:rPr>
              <w:t>10%的服务人员，定</w:t>
            </w:r>
            <w:r>
              <w:rPr>
                <w:rFonts w:hint="eastAsia" w:ascii="宋体" w:hAnsi="宋体"/>
                <w:b w:val="0"/>
              </w:rPr>
              <w:t>期考评。</w:t>
            </w:r>
          </w:p>
          <w:p w14:paraId="11267945">
            <w:pPr>
              <w:pStyle w:val="4"/>
              <w:rPr>
                <w:rFonts w:ascii="宋体" w:hAnsi="宋体"/>
                <w:b w:val="0"/>
              </w:rPr>
            </w:pPr>
            <w:r>
              <w:rPr>
                <w:rFonts w:hint="eastAsia" w:ascii="宋体" w:hAnsi="宋体" w:cs="宋体"/>
                <w:b w:val="0"/>
              </w:rPr>
              <w:t>（考评表见服务需求中附件</w:t>
            </w:r>
            <w:r>
              <w:rPr>
                <w:rFonts w:ascii="宋体" w:hAnsi="宋体" w:cs="宋体"/>
                <w:b w:val="0"/>
              </w:rPr>
              <w:t>1：第三</w:t>
            </w:r>
            <w:r>
              <w:rPr>
                <w:rFonts w:hint="eastAsia" w:ascii="宋体" w:hAnsi="宋体" w:cs="宋体"/>
                <w:b w:val="0"/>
              </w:rPr>
              <w:t>方服务人员工作质量查检表）</w:t>
            </w:r>
          </w:p>
        </w:tc>
      </w:tr>
      <w:tr w14:paraId="51A48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08DD6AD9">
            <w:pPr>
              <w:pStyle w:val="4"/>
              <w:rPr>
                <w:rFonts w:ascii="宋体" w:hAnsi="宋体" w:cs="宋体"/>
                <w:b w:val="0"/>
              </w:rPr>
            </w:pPr>
            <w:r>
              <w:rPr>
                <w:rFonts w:ascii="宋体" w:hAnsi="宋体" w:cs="宋体"/>
                <w:b w:val="0"/>
              </w:rPr>
              <w:t>2.满意度</w:t>
            </w:r>
          </w:p>
        </w:tc>
        <w:tc>
          <w:tcPr>
            <w:tcW w:w="1170" w:type="dxa"/>
            <w:vAlign w:val="center"/>
          </w:tcPr>
          <w:p w14:paraId="73B07048">
            <w:pPr>
              <w:pStyle w:val="4"/>
              <w:rPr>
                <w:rFonts w:ascii="宋体" w:hAnsi="宋体" w:cs="宋体"/>
                <w:b w:val="0"/>
              </w:rPr>
            </w:pPr>
            <w:r>
              <w:rPr>
                <w:rFonts w:hint="eastAsia" w:ascii="宋体" w:hAnsi="宋体" w:cs="宋体"/>
                <w:b w:val="0"/>
              </w:rPr>
              <w:t>≥</w:t>
            </w:r>
            <w:r>
              <w:rPr>
                <w:rFonts w:ascii="宋体" w:hAnsi="宋体" w:cs="宋体"/>
                <w:b w:val="0"/>
              </w:rPr>
              <w:t>90%</w:t>
            </w:r>
          </w:p>
        </w:tc>
        <w:tc>
          <w:tcPr>
            <w:tcW w:w="2580" w:type="dxa"/>
            <w:vAlign w:val="center"/>
          </w:tcPr>
          <w:p w14:paraId="50D63997">
            <w:pPr>
              <w:pStyle w:val="4"/>
              <w:rPr>
                <w:rFonts w:ascii="宋体" w:hAnsi="宋体" w:cs="宋体"/>
                <w:b w:val="0"/>
              </w:rPr>
            </w:pPr>
            <w:r>
              <w:rPr>
                <w:rFonts w:hint="eastAsia" w:ascii="宋体" w:hAnsi="宋体" w:cs="宋体"/>
                <w:b w:val="0"/>
              </w:rPr>
              <w:t>平均分在</w:t>
            </w:r>
            <w:r>
              <w:rPr>
                <w:rFonts w:ascii="宋体" w:hAnsi="宋体" w:cs="宋体"/>
                <w:b w:val="0"/>
              </w:rPr>
              <w:t>85%-90%之间，每低于标准1%扣罚100元。</w:t>
            </w:r>
          </w:p>
          <w:p w14:paraId="70BB825A">
            <w:pPr>
              <w:pStyle w:val="4"/>
              <w:rPr>
                <w:rFonts w:ascii="宋体" w:hAnsi="宋体" w:cs="宋体"/>
                <w:b w:val="0"/>
              </w:rPr>
            </w:pPr>
            <w:r>
              <w:rPr>
                <w:rFonts w:hint="eastAsia" w:ascii="宋体" w:hAnsi="宋体" w:cs="宋体"/>
                <w:b w:val="0"/>
              </w:rPr>
              <w:t>平均分在</w:t>
            </w:r>
            <w:r>
              <w:rPr>
                <w:rFonts w:ascii="宋体" w:hAnsi="宋体" w:cs="宋体"/>
                <w:b w:val="0"/>
              </w:rPr>
              <w:t>85%以下每低标准1%扣罚200元。</w:t>
            </w:r>
          </w:p>
        </w:tc>
        <w:tc>
          <w:tcPr>
            <w:tcW w:w="3225" w:type="dxa"/>
            <w:vAlign w:val="center"/>
          </w:tcPr>
          <w:p w14:paraId="587AD531">
            <w:pPr>
              <w:pStyle w:val="4"/>
              <w:rPr>
                <w:rFonts w:ascii="宋体" w:hAnsi="宋体"/>
                <w:b w:val="0"/>
              </w:rPr>
            </w:pPr>
            <w:r>
              <w:rPr>
                <w:rFonts w:hint="eastAsia" w:ascii="宋体" w:hAnsi="宋体"/>
                <w:b w:val="0"/>
              </w:rPr>
              <w:t>通过医、护、技、管理等科室</w:t>
            </w:r>
            <w:r>
              <w:rPr>
                <w:rFonts w:ascii="宋体" w:hAnsi="宋体"/>
                <w:b w:val="0"/>
              </w:rPr>
              <w:t>/部门发放调查表，每季度考评一次。</w:t>
            </w:r>
            <w:r>
              <w:rPr>
                <w:rFonts w:hint="eastAsia" w:ascii="宋体" w:hAnsi="宋体" w:cs="宋体"/>
                <w:b w:val="0"/>
              </w:rPr>
              <w:t>（考评表见服务需求中附件</w:t>
            </w:r>
            <w:r>
              <w:rPr>
                <w:rFonts w:ascii="宋体" w:hAnsi="宋体" w:cs="宋体"/>
                <w:b w:val="0"/>
              </w:rPr>
              <w:t>2：满意度测评量表）</w:t>
            </w:r>
          </w:p>
        </w:tc>
      </w:tr>
      <w:tr w14:paraId="7F4996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46929BF6">
            <w:pPr>
              <w:pStyle w:val="4"/>
              <w:rPr>
                <w:rFonts w:ascii="宋体" w:hAnsi="宋体" w:cs="宋体"/>
                <w:b w:val="0"/>
              </w:rPr>
            </w:pPr>
            <w:bookmarkStart w:id="1" w:name="_Hlk81933800"/>
            <w:r>
              <w:rPr>
                <w:rFonts w:ascii="宋体" w:hAnsi="宋体" w:cs="宋体"/>
                <w:b w:val="0"/>
              </w:rPr>
              <w:t>3.在岗人数</w:t>
            </w:r>
            <w:bookmarkEnd w:id="1"/>
          </w:p>
        </w:tc>
        <w:tc>
          <w:tcPr>
            <w:tcW w:w="1170" w:type="dxa"/>
            <w:vAlign w:val="center"/>
          </w:tcPr>
          <w:p w14:paraId="38421AAE">
            <w:pPr>
              <w:pStyle w:val="4"/>
              <w:rPr>
                <w:rFonts w:ascii="宋体" w:hAnsi="宋体" w:cs="宋体"/>
                <w:b w:val="0"/>
              </w:rPr>
            </w:pPr>
            <w:bookmarkStart w:id="2" w:name="_Hlk81933808"/>
            <w:r>
              <w:rPr>
                <w:rFonts w:hint="eastAsia" w:ascii="宋体" w:hAnsi="宋体" w:cs="宋体"/>
                <w:b w:val="0"/>
              </w:rPr>
              <w:t>≥</w:t>
            </w:r>
            <w:r>
              <w:rPr>
                <w:rFonts w:ascii="宋体" w:hAnsi="宋体" w:cs="宋体"/>
                <w:b w:val="0"/>
              </w:rPr>
              <w:t>95%</w:t>
            </w:r>
            <w:bookmarkEnd w:id="2"/>
          </w:p>
        </w:tc>
        <w:tc>
          <w:tcPr>
            <w:tcW w:w="2580" w:type="dxa"/>
            <w:vAlign w:val="center"/>
          </w:tcPr>
          <w:p w14:paraId="5FBA02A3">
            <w:pPr>
              <w:pStyle w:val="4"/>
              <w:rPr>
                <w:rFonts w:ascii="宋体" w:hAnsi="宋体" w:cs="宋体"/>
                <w:b w:val="0"/>
              </w:rPr>
            </w:pPr>
            <w:bookmarkStart w:id="3" w:name="_Hlk81933823"/>
            <w:r>
              <w:rPr>
                <w:rFonts w:hint="eastAsia" w:ascii="宋体" w:hAnsi="宋体" w:cs="宋体"/>
                <w:b w:val="0"/>
              </w:rPr>
              <w:t>每低于标准</w:t>
            </w:r>
            <w:r>
              <w:rPr>
                <w:rFonts w:ascii="宋体" w:hAnsi="宋体" w:cs="宋体"/>
                <w:b w:val="0"/>
              </w:rPr>
              <w:t>0.5%给予扣罚相应缺编人数当月管理费</w:t>
            </w:r>
            <w:bookmarkEnd w:id="3"/>
          </w:p>
        </w:tc>
        <w:tc>
          <w:tcPr>
            <w:tcW w:w="3225" w:type="dxa"/>
            <w:vAlign w:val="center"/>
          </w:tcPr>
          <w:p w14:paraId="0432B21C">
            <w:pPr>
              <w:pStyle w:val="4"/>
              <w:rPr>
                <w:rFonts w:ascii="宋体" w:hAnsi="宋体" w:cs="宋体"/>
                <w:b w:val="0"/>
              </w:rPr>
            </w:pPr>
            <w:r>
              <w:rPr>
                <w:rFonts w:hint="eastAsia" w:ascii="宋体" w:hAnsi="宋体" w:cs="宋体"/>
                <w:b w:val="0"/>
              </w:rPr>
              <w:t>每月查考勤表、查现场一次。</w:t>
            </w:r>
          </w:p>
        </w:tc>
      </w:tr>
      <w:tr w14:paraId="5F272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79CE0E8B">
            <w:pPr>
              <w:pStyle w:val="4"/>
              <w:rPr>
                <w:rFonts w:ascii="宋体" w:hAnsi="宋体" w:cs="宋体"/>
                <w:b w:val="0"/>
              </w:rPr>
            </w:pPr>
            <w:r>
              <w:rPr>
                <w:rFonts w:ascii="宋体" w:hAnsi="宋体" w:cs="宋体"/>
                <w:b w:val="0"/>
              </w:rPr>
              <w:t>4.生产安全事件/医疗安全事故</w:t>
            </w:r>
          </w:p>
        </w:tc>
        <w:tc>
          <w:tcPr>
            <w:tcW w:w="1170" w:type="dxa"/>
            <w:vAlign w:val="center"/>
          </w:tcPr>
          <w:p w14:paraId="74221E84">
            <w:pPr>
              <w:pStyle w:val="4"/>
              <w:rPr>
                <w:rFonts w:ascii="宋体" w:hAnsi="宋体" w:cs="宋体"/>
                <w:b w:val="0"/>
              </w:rPr>
            </w:pPr>
            <w:r>
              <w:rPr>
                <w:rFonts w:ascii="宋体" w:hAnsi="宋体" w:cs="宋体"/>
                <w:b w:val="0"/>
              </w:rPr>
              <w:t>0</w:t>
            </w:r>
          </w:p>
        </w:tc>
        <w:tc>
          <w:tcPr>
            <w:tcW w:w="2580" w:type="dxa"/>
            <w:vAlign w:val="center"/>
          </w:tcPr>
          <w:p w14:paraId="552BE5DD">
            <w:pPr>
              <w:pStyle w:val="4"/>
              <w:rPr>
                <w:rFonts w:ascii="宋体" w:hAnsi="宋体" w:cs="宋体"/>
                <w:b w:val="0"/>
              </w:rPr>
            </w:pPr>
            <w:r>
              <w:rPr>
                <w:rFonts w:hint="eastAsia" w:ascii="宋体" w:hAnsi="宋体" w:cs="宋体"/>
                <w:b w:val="0"/>
              </w:rPr>
              <w:t>服务人员为主要责任者</w:t>
            </w:r>
          </w:p>
        </w:tc>
        <w:tc>
          <w:tcPr>
            <w:tcW w:w="3225" w:type="dxa"/>
            <w:vAlign w:val="center"/>
          </w:tcPr>
          <w:p w14:paraId="408A4999">
            <w:pPr>
              <w:pStyle w:val="4"/>
              <w:jc w:val="left"/>
              <w:rPr>
                <w:rFonts w:hint="eastAsia" w:eastAsiaTheme="minorEastAsia"/>
                <w:b w:val="0"/>
                <w:lang w:eastAsia="zh-CN"/>
              </w:rPr>
            </w:pPr>
            <w:r>
              <w:rPr>
                <w:rFonts w:hint="eastAsia" w:ascii="宋体" w:hAnsi="宋体" w:cs="宋体"/>
                <w:b w:val="0"/>
              </w:rPr>
              <w:t>退回该服务人员，并</w:t>
            </w:r>
            <w:r>
              <w:rPr>
                <w:rFonts w:hint="eastAsia"/>
                <w:b w:val="0"/>
              </w:rPr>
              <w:t>扣罚服务费</w:t>
            </w:r>
            <w:r>
              <w:rPr>
                <w:b w:val="0"/>
              </w:rPr>
              <w:t>1</w:t>
            </w:r>
            <w:r>
              <w:rPr>
                <w:rFonts w:hint="eastAsia"/>
                <w:b w:val="0"/>
              </w:rPr>
              <w:t>万元</w:t>
            </w:r>
            <w:r>
              <w:rPr>
                <w:rFonts w:hint="eastAsia"/>
                <w:b w:val="0"/>
                <w:lang w:eastAsia="zh-CN"/>
              </w:rPr>
              <w:t>。</w:t>
            </w:r>
          </w:p>
        </w:tc>
      </w:tr>
    </w:tbl>
    <w:p w14:paraId="1B0A4C51">
      <w:pPr>
        <w:pStyle w:val="4"/>
        <w:numPr>
          <w:ilvl w:val="0"/>
          <w:numId w:val="7"/>
        </w:numPr>
        <w:ind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服务管理验收标准：</w:t>
      </w:r>
    </w:p>
    <w:p w14:paraId="26EA8035">
      <w:pPr>
        <w:pStyle w:val="4"/>
        <w:numPr>
          <w:ilvl w:val="0"/>
          <w:numId w:val="0"/>
        </w:numPr>
        <w:ind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（1）投标人与为采购人提供服务的员工有合法的用工关系；</w:t>
      </w:r>
    </w:p>
    <w:p w14:paraId="52C8CB15">
      <w:pPr>
        <w:pStyle w:val="4"/>
        <w:ind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（2）投标人按照采购文件的要求进行管理，包括项目负责人、项目对接人是否按照采购人要求履行管理义务；是否按照采购文件要求向服务人员足额发放服务费用；是否按照采购人要求完成全部人员到岗任务。</w:t>
      </w:r>
    </w:p>
    <w:p w14:paraId="530932E0">
      <w:pPr>
        <w:pStyle w:val="4"/>
        <w:ind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3、验收方式：分期验收。</w:t>
      </w:r>
    </w:p>
    <w:p w14:paraId="511178DB">
      <w:pPr>
        <w:pStyle w:val="4"/>
        <w:ind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按季度验收：每季度投标人提供验收报告（包括《第三方服务人员工作质量查检表》、《满意度测评量表》），提交实际服务的科室签字确认后，交采购人管理部门审核。</w:t>
      </w:r>
    </w:p>
    <w:p w14:paraId="706479F2">
      <w:pPr>
        <w:pStyle w:val="4"/>
        <w:numPr>
          <w:ilvl w:val="0"/>
          <w:numId w:val="0"/>
        </w:numPr>
        <w:ind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4、验收报告：服务经过双方检验认可后，当满足以下条件时，采购人才向投标人签发验收报告：（1）投标人已按照合同规定提供了全部资料；（2）服务项目符合招标文件的服务要求。（3）达到验收的标准。</w:t>
      </w:r>
    </w:p>
    <w:p w14:paraId="51060CCC">
      <w:pPr>
        <w:keepNext w:val="0"/>
        <w:keepLines w:val="0"/>
        <w:pageBreakBefore w:val="0"/>
        <w:widowControl w:val="0"/>
        <w:tabs>
          <w:tab w:val="right" w:pos="709"/>
        </w:tabs>
        <w:kinsoku/>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kern w:val="2"/>
          <w:sz w:val="24"/>
          <w:szCs w:val="24"/>
          <w:lang w:val="en-US" w:eastAsia="zh-CN" w:bidi="ar-SA"/>
        </w:rPr>
        <w:t>5、验收监管：</w:t>
      </w:r>
      <w:r>
        <w:rPr>
          <w:rFonts w:hint="eastAsia" w:ascii="宋体" w:hAnsi="宋体" w:eastAsia="宋体" w:cs="宋体"/>
          <w:bCs/>
          <w:kern w:val="2"/>
          <w:sz w:val="24"/>
          <w:szCs w:val="24"/>
          <w:lang w:val="zh-CN" w:eastAsia="zh-CN" w:bidi="ar-SA"/>
        </w:rPr>
        <w:t>采购人每月不定期向在院提供服务的人员通过问询或电话核实的方式，了解服务人员的实际收到的工资薪酬，是否按经采购人核定的金额发放。如发现投标人发放的实际工资与经核定的金额不一致，采购人有权责令投标人在两个工作日内返还。同类事件发生两次及以上的，采购人有权单方解除合同。</w:t>
      </w:r>
    </w:p>
    <w:p w14:paraId="0FF6617F">
      <w:pPr>
        <w:keepNext w:val="0"/>
        <w:keepLines w:val="0"/>
        <w:pageBreakBefore w:val="0"/>
        <w:widowControl w:val="0"/>
        <w:tabs>
          <w:tab w:val="right" w:pos="709"/>
        </w:tabs>
        <w:kinsoku/>
        <w:overflowPunct/>
        <w:topLinePunct w:val="0"/>
        <w:autoSpaceDE/>
        <w:autoSpaceDN/>
        <w:bidi w:val="0"/>
        <w:adjustRightInd/>
        <w:snapToGrid/>
        <w:spacing w:beforeLines="0" w:afterLines="0" w:line="360" w:lineRule="auto"/>
        <w:ind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（六）违约责任</w:t>
      </w:r>
    </w:p>
    <w:p w14:paraId="70E55D3A">
      <w:pPr>
        <w:pStyle w:val="4"/>
        <w:numPr>
          <w:ilvl w:val="0"/>
          <w:numId w:val="0"/>
        </w:numPr>
        <w:ind w:firstLine="480" w:firstLineChars="200"/>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zh-CN" w:eastAsia="zh-CN" w:bidi="ar-SA"/>
        </w:rPr>
        <w:t>1.在合同期内，若由于投标人原因导致投标人提前终止合同或退场，须至少提前两个月书面通知采购人，并向采购人支付已发生全部服务费的30%作为违约金，采购人不需要支付当月全部服务费，并由投标人承担因此给采购人造成的全部损失。</w:t>
      </w:r>
    </w:p>
    <w:p w14:paraId="2E50AA34">
      <w:pPr>
        <w:pStyle w:val="4"/>
        <w:numPr>
          <w:ilvl w:val="0"/>
          <w:numId w:val="0"/>
        </w:numPr>
        <w:ind w:firstLine="480" w:firstLineChars="200"/>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zh-CN" w:eastAsia="zh-CN" w:bidi="ar-SA"/>
        </w:rPr>
        <w:t>2.投标人服务人员在服务期间应遵守采购人的规章制度，爱护采购人的设备财物，若因投标人原因造成采购人设备财物毁损、灭失的须由投标人按照原价进行赔偿。</w:t>
      </w:r>
    </w:p>
    <w:p w14:paraId="6C455BF5">
      <w:pPr>
        <w:pStyle w:val="4"/>
        <w:numPr>
          <w:ilvl w:val="0"/>
          <w:numId w:val="0"/>
        </w:numPr>
        <w:ind w:firstLine="480" w:firstLineChars="200"/>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zh-CN" w:eastAsia="zh-CN" w:bidi="ar-SA"/>
        </w:rPr>
        <w:t>3.投标人需在采购人提出服务岗位需求后7日内，按照所报费用标准提供相应岗位的服务人员。如投标人无法在约定时间内按照所报费用标准提供相应岗位的服务人员的，自投标人逾期之日起，采购人有权自行委托第三方代为履行，因此产生的全部费用（包括但不限于采购人委托第三方代为履行产生的全部服务费以及因投标人逾期履行给采购人造成的一切损失）均由投标人承担。</w:t>
      </w:r>
    </w:p>
    <w:p w14:paraId="3405C706">
      <w:pPr>
        <w:pStyle w:val="4"/>
        <w:numPr>
          <w:ilvl w:val="0"/>
          <w:numId w:val="0"/>
        </w:numPr>
        <w:ind w:firstLine="480" w:firstLineChars="200"/>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zh-CN" w:eastAsia="zh-CN" w:bidi="ar-SA"/>
        </w:rPr>
        <w:t>4.采购人对投标人的服务不满意的，或投标人未按照合同约定履行义务的（包括但不限于投标人未按照招标文件及投标承诺配置人员、服务质量</w:t>
      </w:r>
      <w:r>
        <w:rPr>
          <w:rFonts w:hint="eastAsia" w:ascii="宋体" w:hAnsi="宋体" w:eastAsia="宋体" w:cs="宋体"/>
          <w:bCs/>
          <w:kern w:val="2"/>
          <w:sz w:val="24"/>
          <w:szCs w:val="24"/>
          <w:lang w:val="en-US" w:eastAsia="zh-CN" w:bidi="ar-SA"/>
        </w:rPr>
        <w:t>未达服务成果标准或</w:t>
      </w:r>
      <w:r>
        <w:rPr>
          <w:rFonts w:hint="eastAsia" w:ascii="宋体" w:hAnsi="宋体" w:eastAsia="宋体" w:cs="宋体"/>
          <w:bCs/>
          <w:kern w:val="2"/>
          <w:sz w:val="24"/>
          <w:szCs w:val="24"/>
          <w:lang w:val="zh-CN" w:eastAsia="zh-CN" w:bidi="ar-SA"/>
        </w:rPr>
        <w:t>不符合招标文件要求、未经采购人同意随意更换项目管理人员），采购人可要求投标人立即整改。投标人不进行整改的，或虽然进行整改但未达到采购人要求的经再次整改仍未达到采购人要求的，采购人有权按已发生全部服务费的30%/次从合同费用中扣除违约费用，并有权单方解除合同。</w:t>
      </w:r>
    </w:p>
    <w:p w14:paraId="2C1639B4">
      <w:pPr>
        <w:pStyle w:val="4"/>
        <w:numPr>
          <w:ilvl w:val="0"/>
          <w:numId w:val="0"/>
        </w:numPr>
        <w:ind w:firstLine="480" w:firstLineChars="200"/>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zh-CN" w:eastAsia="zh-CN" w:bidi="ar-SA"/>
        </w:rPr>
        <w:t>5.在合同期内，如因投标人现场管理不善、违规操作或其他投标人及投标人服务人员原因，给采购人正常诊疗秩序环境造成严重影响的，或造成设备毁损、灭失的，或者造成人员伤亡等事故的，由投标人赔偿一切损失并承担全部法律责任。</w:t>
      </w:r>
    </w:p>
    <w:p w14:paraId="42E0E267">
      <w:pPr>
        <w:pStyle w:val="4"/>
        <w:numPr>
          <w:ilvl w:val="0"/>
          <w:numId w:val="0"/>
        </w:numPr>
        <w:ind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zh-CN" w:eastAsia="zh-CN" w:bidi="ar-SA"/>
        </w:rPr>
        <w:t>6.合同期满后，如双方不再续约，投标人应积极配合将人员、工作与后续的投标人进行交接。如投标人不配合或怠于配合的，采购人不予支付尚未支付投标人的服务费直至投标人配合完成交接为止。如因投标人不配合或怠于配合交接的行为给采购人造成损失的，投标人应承担采购人遭受的全部损失。</w:t>
      </w:r>
    </w:p>
    <w:p w14:paraId="6E4E4D47">
      <w:pPr>
        <w:pStyle w:val="4"/>
        <w:numPr>
          <w:ilvl w:val="0"/>
          <w:numId w:val="0"/>
        </w:numPr>
        <w:ind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7.投标人不按时支付员工工资，有下列情况的，采购人有权要求投标人承担违约责任：</w:t>
      </w:r>
    </w:p>
    <w:p w14:paraId="38DD6B61">
      <w:pPr>
        <w:pStyle w:val="4"/>
        <w:numPr>
          <w:ilvl w:val="0"/>
          <w:numId w:val="0"/>
        </w:numPr>
        <w:ind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投标人逾期发放员工工资的，采购人可督促投标人支付并向投标人收取相应的违约金。每逾期一天，收取逾期发放员工工资总额的0.3%，逾期十五天以上的，采购人有权单方解除合同，并要求投标人承担因此给采购人造成的一切损失。</w:t>
      </w:r>
    </w:p>
    <w:p w14:paraId="181E302F">
      <w:pPr>
        <w:pStyle w:val="4"/>
        <w:numPr>
          <w:ilvl w:val="0"/>
          <w:numId w:val="0"/>
        </w:numPr>
        <w:ind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（2）如投标人无故克扣员工工资，采购人有权责令投标人在两个工作日内返还。同类事件发生三次及以上的的，采购人有权单方解除合同，并要求投标人承担因此给采购人造成的一切损失。</w:t>
      </w:r>
    </w:p>
    <w:p w14:paraId="56F0F3A2">
      <w:pPr>
        <w:keepNext w:val="0"/>
        <w:keepLines w:val="0"/>
        <w:pageBreakBefore w:val="0"/>
        <w:widowControl w:val="0"/>
        <w:tabs>
          <w:tab w:val="right" w:pos="709"/>
        </w:tabs>
        <w:kinsoku/>
        <w:overflowPunct/>
        <w:topLinePunct w:val="0"/>
        <w:autoSpaceDE/>
        <w:autoSpaceDN/>
        <w:bidi w:val="0"/>
        <w:adjustRightInd/>
        <w:snapToGrid/>
        <w:spacing w:beforeLines="0" w:afterLines="0" w:line="360" w:lineRule="auto"/>
        <w:ind w:firstLine="482" w:firstLineChars="200"/>
        <w:textAlignment w:val="auto"/>
        <w:outlineLvl w:val="2"/>
        <w:rPr>
          <w:rFonts w:hint="eastAsia" w:eastAsia="宋体"/>
          <w:lang w:val="en-US" w:eastAsia="zh-CN"/>
        </w:rPr>
      </w:pPr>
      <w:r>
        <w:rPr>
          <w:rFonts w:hint="eastAsia" w:ascii="宋体" w:hAnsi="宋体" w:eastAsia="宋体" w:cs="宋体"/>
          <w:b/>
          <w:sz w:val="24"/>
          <w:szCs w:val="24"/>
        </w:rPr>
        <w:t>（</w:t>
      </w:r>
      <w:r>
        <w:rPr>
          <w:rFonts w:hint="eastAsia" w:ascii="宋体" w:hAnsi="宋体" w:eastAsia="宋体" w:cs="宋体"/>
          <w:b/>
          <w:sz w:val="24"/>
          <w:szCs w:val="24"/>
          <w:lang w:val="en-US" w:eastAsia="zh-CN"/>
        </w:rPr>
        <w:t>七</w:t>
      </w:r>
      <w:r>
        <w:rPr>
          <w:rFonts w:hint="eastAsia" w:ascii="宋体" w:hAnsi="宋体" w:eastAsia="宋体" w:cs="宋体"/>
          <w:b/>
          <w:sz w:val="24"/>
          <w:szCs w:val="24"/>
        </w:rPr>
        <w:t>）</w:t>
      </w:r>
      <w:r>
        <w:rPr>
          <w:rFonts w:hint="eastAsia" w:ascii="宋体" w:hAnsi="宋体" w:eastAsia="宋体" w:cs="宋体"/>
          <w:b/>
          <w:sz w:val="24"/>
          <w:szCs w:val="24"/>
          <w:lang w:val="en-US" w:eastAsia="zh-CN"/>
        </w:rPr>
        <w:t>履约保证金</w:t>
      </w:r>
    </w:p>
    <w:p w14:paraId="32C58BE5">
      <w:pPr>
        <w:keepNext w:val="0"/>
        <w:keepLines w:val="0"/>
        <w:pageBreakBefore w:val="0"/>
        <w:widowControl w:val="0"/>
        <w:kinsoku/>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向采购人支付合同总价1%的履约保证金，用于补偿采购人因投标人不履行或不妥善履行合同义务而蒙受的损失，如投标人不履行或不妥善履行合同义务的，采购人有权直接从履约保证金中扣除相应违约金/损失赔偿款项。如果自合同签订之日起至服务期结束期间未发生投标人不履行或不妥善履行合同义务的情况，在服务期满后，投标人向采购人提供完整资料到达采购人财务之日起30日内（最长不超过60天），采购人将履约保证金无息返还给投标人。</w:t>
      </w:r>
    </w:p>
    <w:p w14:paraId="6D9E45B9">
      <w:pPr>
        <w:keepNext w:val="0"/>
        <w:keepLines w:val="0"/>
        <w:pageBreakBefore w:val="0"/>
        <w:widowControl w:val="0"/>
        <w:kinsoku/>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sz w:val="24"/>
          <w:szCs w:val="24"/>
        </w:rPr>
      </w:pPr>
    </w:p>
    <w:p w14:paraId="296121A6">
      <w:pPr>
        <w:keepNext w:val="0"/>
        <w:keepLines w:val="0"/>
        <w:pageBreakBefore w:val="0"/>
        <w:widowControl w:val="0"/>
        <w:kinsoku/>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sz w:val="24"/>
          <w:szCs w:val="24"/>
          <w:lang w:val="en-US" w:eastAsia="zh-CN"/>
        </w:rPr>
      </w:pPr>
    </w:p>
    <w:p w14:paraId="58A36DFF">
      <w:pPr>
        <w:keepNext w:val="0"/>
        <w:keepLines w:val="0"/>
        <w:pageBreakBefore w:val="0"/>
        <w:widowControl w:val="0"/>
        <w:kinsoku/>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sz w:val="24"/>
          <w:szCs w:val="24"/>
          <w:lang w:val="en-US" w:eastAsia="zh-CN"/>
        </w:rPr>
      </w:pPr>
    </w:p>
    <w:p w14:paraId="5448B850">
      <w:pPr>
        <w:numPr>
          <w:ilvl w:val="0"/>
          <w:numId w:val="0"/>
        </w:numPr>
        <w:spacing w:line="540" w:lineRule="exact"/>
        <w:jc w:val="center"/>
        <w:rPr>
          <w:rFonts w:hint="eastAsia" w:ascii="方正小标宋简体" w:hAnsi="方正小标宋简体" w:eastAsia="方正小标宋简体" w:cs="方正小标宋简体"/>
          <w:sz w:val="36"/>
          <w:szCs w:val="36"/>
          <w:lang w:eastAsia="zh-CN"/>
        </w:rPr>
      </w:pPr>
    </w:p>
    <w:p w14:paraId="78F472A9">
      <w:pPr>
        <w:numPr>
          <w:ilvl w:val="0"/>
          <w:numId w:val="0"/>
        </w:numPr>
        <w:spacing w:line="540" w:lineRule="exact"/>
        <w:jc w:val="center"/>
        <w:rPr>
          <w:rFonts w:hint="eastAsia" w:ascii="方正小标宋简体" w:hAnsi="方正小标宋简体" w:eastAsia="方正小标宋简体" w:cs="方正小标宋简体"/>
          <w:sz w:val="36"/>
          <w:szCs w:val="36"/>
          <w:lang w:eastAsia="zh-CN"/>
        </w:rPr>
      </w:pPr>
    </w:p>
    <w:p w14:paraId="415ACEBD">
      <w:pPr>
        <w:numPr>
          <w:ilvl w:val="0"/>
          <w:numId w:val="0"/>
        </w:numPr>
        <w:spacing w:line="540" w:lineRule="exact"/>
        <w:jc w:val="center"/>
        <w:rPr>
          <w:rFonts w:hint="eastAsia" w:ascii="方正小标宋简体" w:hAnsi="方正小标宋简体" w:eastAsia="方正小标宋简体" w:cs="方正小标宋简体"/>
          <w:sz w:val="36"/>
          <w:szCs w:val="36"/>
          <w:lang w:eastAsia="zh-CN"/>
        </w:rPr>
      </w:pPr>
    </w:p>
    <w:p w14:paraId="1BABC8E1">
      <w:pPr>
        <w:numPr>
          <w:ilvl w:val="0"/>
          <w:numId w:val="0"/>
        </w:numPr>
        <w:spacing w:line="540" w:lineRule="exact"/>
        <w:jc w:val="center"/>
        <w:rPr>
          <w:rFonts w:hint="eastAsia" w:ascii="方正小标宋简体" w:hAnsi="方正小标宋简体" w:eastAsia="方正小标宋简体" w:cs="方正小标宋简体"/>
          <w:sz w:val="36"/>
          <w:szCs w:val="36"/>
          <w:lang w:eastAsia="zh-CN"/>
        </w:rPr>
      </w:pPr>
    </w:p>
    <w:p w14:paraId="5DC906BB">
      <w:pPr>
        <w:numPr>
          <w:ilvl w:val="0"/>
          <w:numId w:val="0"/>
        </w:numPr>
        <w:spacing w:line="540" w:lineRule="exact"/>
        <w:jc w:val="center"/>
        <w:rPr>
          <w:rFonts w:hint="eastAsia" w:ascii="方正小标宋简体" w:hAnsi="方正小标宋简体" w:eastAsia="方正小标宋简体" w:cs="方正小标宋简体"/>
          <w:sz w:val="36"/>
          <w:szCs w:val="36"/>
          <w:lang w:eastAsia="zh-CN"/>
        </w:rPr>
      </w:pPr>
    </w:p>
    <w:p w14:paraId="0C124A48">
      <w:pPr>
        <w:numPr>
          <w:ilvl w:val="0"/>
          <w:numId w:val="0"/>
        </w:numPr>
        <w:spacing w:line="540" w:lineRule="exact"/>
        <w:jc w:val="center"/>
        <w:rPr>
          <w:rFonts w:hint="eastAsia" w:ascii="方正小标宋简体" w:hAnsi="方正小标宋简体" w:eastAsia="方正小标宋简体" w:cs="方正小标宋简体"/>
          <w:sz w:val="36"/>
          <w:szCs w:val="36"/>
          <w:lang w:eastAsia="zh-CN"/>
        </w:rPr>
      </w:pPr>
    </w:p>
    <w:p w14:paraId="2263DD7F">
      <w:pPr>
        <w:pStyle w:val="6"/>
        <w:rPr>
          <w:rFonts w:ascii="Times New Roman" w:hAnsi="Times New Roman" w:eastAsia="仿宋_GB2312" w:cs="Times New Roman"/>
          <w:b/>
          <w:bCs/>
          <w:sz w:val="22"/>
          <w:szCs w:val="22"/>
        </w:rPr>
      </w:pPr>
      <w:bookmarkStart w:id="4" w:name="_GoBack"/>
      <w:bookmarkEnd w:id="4"/>
    </w:p>
    <w:sectPr>
      <w:headerReference r:id="rId3" w:type="default"/>
      <w:footerReference r:id="rId4" w:type="default"/>
      <w:pgSz w:w="11906" w:h="16838"/>
      <w:pgMar w:top="873"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F15067F-6835-4A7D-B5B4-7FA3B6F954C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2CACA82-8380-4A67-8020-1DA9751EB979}"/>
  </w:font>
  <w:font w:name="长城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auto"/>
    <w:pitch w:val="default"/>
    <w:sig w:usb0="00000001" w:usb1="080E0000" w:usb2="00000000" w:usb3="00000000" w:csb0="00040000" w:csb1="00000000"/>
    <w:embedRegular r:id="rId3" w:fontKey="{A266FF24-8E62-4522-B08D-490170EFCC3F}"/>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4" w:fontKey="{F159FCC9-897F-42FC-A608-C4DFCB643984}"/>
  </w:font>
  <w:font w:name="仿宋">
    <w:panose1 w:val="02010609060101010101"/>
    <w:charset w:val="86"/>
    <w:family w:val="auto"/>
    <w:pitch w:val="default"/>
    <w:sig w:usb0="800002BF" w:usb1="38CF7CFA" w:usb2="00000016" w:usb3="00000000" w:csb0="00040001" w:csb1="00000000"/>
    <w:embedRegular r:id="rId5" w:fontKey="{3B918F6D-7FB8-4C9C-B9FF-E164D2B46D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F772F">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C803B2">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8C803B2">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986BC">
    <w:pPr>
      <w:widowControl w:val="0"/>
      <w:autoSpaceDE w:val="0"/>
      <w:autoSpaceDN w:val="0"/>
      <w:spacing w:before="0" w:after="0" w:line="14" w:lineRule="auto"/>
      <w:ind w:left="0" w:right="0" w:firstLine="0"/>
      <w:jc w:val="left"/>
      <w:rPr>
        <w:rFonts w:ascii="仿宋" w:hAnsi="仿宋" w:eastAsia="仿宋" w:cs="仿宋"/>
        <w:sz w:val="20"/>
        <w:szCs w:val="24"/>
        <w:lang w:val="en-US" w:eastAsia="en-US"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B41802"/>
    <w:multiLevelType w:val="singleLevel"/>
    <w:tmpl w:val="E8B41802"/>
    <w:lvl w:ilvl="0" w:tentative="0">
      <w:start w:val="2"/>
      <w:numFmt w:val="chineseCounting"/>
      <w:suff w:val="nothing"/>
      <w:lvlText w:val="（%1）"/>
      <w:lvlJc w:val="left"/>
      <w:rPr>
        <w:rFonts w:hint="eastAsia"/>
      </w:rPr>
    </w:lvl>
  </w:abstractNum>
  <w:abstractNum w:abstractNumId="1">
    <w:nsid w:val="F6D11C01"/>
    <w:multiLevelType w:val="singleLevel"/>
    <w:tmpl w:val="F6D11C01"/>
    <w:lvl w:ilvl="0" w:tentative="0">
      <w:start w:val="2"/>
      <w:numFmt w:val="decimal"/>
      <w:suff w:val="nothing"/>
      <w:lvlText w:val="%1、"/>
      <w:lvlJc w:val="left"/>
    </w:lvl>
  </w:abstractNum>
  <w:abstractNum w:abstractNumId="2">
    <w:nsid w:val="0000000F"/>
    <w:multiLevelType w:val="singleLevel"/>
    <w:tmpl w:val="0000000F"/>
    <w:lvl w:ilvl="0" w:tentative="0">
      <w:start w:val="2"/>
      <w:numFmt w:val="chineseCounting"/>
      <w:suff w:val="nothing"/>
      <w:lvlText w:val="%1、"/>
      <w:lvlJc w:val="left"/>
      <w:rPr>
        <w:rFonts w:hint="eastAsia"/>
      </w:rPr>
    </w:lvl>
  </w:abstractNum>
  <w:abstractNum w:abstractNumId="3">
    <w:nsid w:val="1B9B557A"/>
    <w:multiLevelType w:val="singleLevel"/>
    <w:tmpl w:val="1B9B557A"/>
    <w:lvl w:ilvl="0" w:tentative="0">
      <w:start w:val="1"/>
      <w:numFmt w:val="decimal"/>
      <w:suff w:val="nothing"/>
      <w:lvlText w:val="%1．"/>
      <w:lvlJc w:val="left"/>
      <w:pPr>
        <w:ind w:left="0" w:firstLine="400"/>
      </w:pPr>
      <w:rPr>
        <w:rFonts w:hint="default"/>
      </w:rPr>
    </w:lvl>
  </w:abstractNum>
  <w:abstractNum w:abstractNumId="4">
    <w:nsid w:val="29F0F4DC"/>
    <w:multiLevelType w:val="singleLevel"/>
    <w:tmpl w:val="29F0F4DC"/>
    <w:lvl w:ilvl="0" w:tentative="0">
      <w:start w:val="1"/>
      <w:numFmt w:val="decimal"/>
      <w:lvlText w:val="%1."/>
      <w:lvlJc w:val="left"/>
      <w:pPr>
        <w:tabs>
          <w:tab w:val="left" w:pos="312"/>
        </w:tabs>
      </w:pPr>
    </w:lvl>
  </w:abstractNum>
  <w:abstractNum w:abstractNumId="5">
    <w:nsid w:val="34A61C82"/>
    <w:multiLevelType w:val="singleLevel"/>
    <w:tmpl w:val="34A61C82"/>
    <w:lvl w:ilvl="0" w:tentative="0">
      <w:start w:val="1"/>
      <w:numFmt w:val="decimal"/>
      <w:suff w:val="nothing"/>
      <w:lvlText w:val="%1．"/>
      <w:lvlJc w:val="left"/>
      <w:pPr>
        <w:ind w:left="26" w:firstLine="400"/>
      </w:pPr>
      <w:rPr>
        <w:rFonts w:hint="default"/>
      </w:rPr>
    </w:lvl>
  </w:abstractNum>
  <w:abstractNum w:abstractNumId="6">
    <w:nsid w:val="49A8936B"/>
    <w:multiLevelType w:val="singleLevel"/>
    <w:tmpl w:val="49A8936B"/>
    <w:lvl w:ilvl="0" w:tentative="0">
      <w:start w:val="1"/>
      <w:numFmt w:val="decimal"/>
      <w:suff w:val="nothing"/>
      <w:lvlText w:val="%1．"/>
      <w:lvlJc w:val="left"/>
      <w:pPr>
        <w:ind w:left="0" w:firstLine="400"/>
      </w:pPr>
      <w:rPr>
        <w:rFont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xZWQyNTAwYzdjNjkwZjU3NWU4ZDY4ZWM1MmQ5Y2YifQ=="/>
  </w:docVars>
  <w:rsids>
    <w:rsidRoot w:val="00172A27"/>
    <w:rsid w:val="000624C6"/>
    <w:rsid w:val="001C35EF"/>
    <w:rsid w:val="006105BC"/>
    <w:rsid w:val="006A471C"/>
    <w:rsid w:val="00A23411"/>
    <w:rsid w:val="00C528DB"/>
    <w:rsid w:val="025A2061"/>
    <w:rsid w:val="02D14340"/>
    <w:rsid w:val="031B4DDD"/>
    <w:rsid w:val="041D2A27"/>
    <w:rsid w:val="04F835A0"/>
    <w:rsid w:val="05044FA9"/>
    <w:rsid w:val="05C30855"/>
    <w:rsid w:val="05D031E0"/>
    <w:rsid w:val="066639D5"/>
    <w:rsid w:val="07207949"/>
    <w:rsid w:val="08B6005B"/>
    <w:rsid w:val="0AF34F6D"/>
    <w:rsid w:val="0B7221D3"/>
    <w:rsid w:val="0C1E10EA"/>
    <w:rsid w:val="0C3B5BEE"/>
    <w:rsid w:val="0CB734F0"/>
    <w:rsid w:val="0E4D5CB6"/>
    <w:rsid w:val="0E9A5359"/>
    <w:rsid w:val="0FC87C7C"/>
    <w:rsid w:val="109F26E4"/>
    <w:rsid w:val="11602F3E"/>
    <w:rsid w:val="13C045D3"/>
    <w:rsid w:val="145A2EDB"/>
    <w:rsid w:val="14E07226"/>
    <w:rsid w:val="154E4416"/>
    <w:rsid w:val="168B310E"/>
    <w:rsid w:val="17D70046"/>
    <w:rsid w:val="18823C45"/>
    <w:rsid w:val="1AB64061"/>
    <w:rsid w:val="1C411248"/>
    <w:rsid w:val="1C9F4EE7"/>
    <w:rsid w:val="1D390E43"/>
    <w:rsid w:val="1E7239A4"/>
    <w:rsid w:val="1E7D169F"/>
    <w:rsid w:val="20DB2F52"/>
    <w:rsid w:val="20E11A4D"/>
    <w:rsid w:val="228C6B97"/>
    <w:rsid w:val="22D737D5"/>
    <w:rsid w:val="23591E7A"/>
    <w:rsid w:val="24104118"/>
    <w:rsid w:val="24D03E54"/>
    <w:rsid w:val="25F37AAF"/>
    <w:rsid w:val="26180E7B"/>
    <w:rsid w:val="27611031"/>
    <w:rsid w:val="29ED6FF1"/>
    <w:rsid w:val="2B3D2467"/>
    <w:rsid w:val="2B5014F4"/>
    <w:rsid w:val="2DF9465C"/>
    <w:rsid w:val="2F4B1AAD"/>
    <w:rsid w:val="2F5939CF"/>
    <w:rsid w:val="2FC041FF"/>
    <w:rsid w:val="3001707A"/>
    <w:rsid w:val="3018126C"/>
    <w:rsid w:val="3215472C"/>
    <w:rsid w:val="323B5E90"/>
    <w:rsid w:val="32AD00B9"/>
    <w:rsid w:val="34023489"/>
    <w:rsid w:val="34815751"/>
    <w:rsid w:val="35400969"/>
    <w:rsid w:val="366A0076"/>
    <w:rsid w:val="36BC2F59"/>
    <w:rsid w:val="370B0B2C"/>
    <w:rsid w:val="37AE2539"/>
    <w:rsid w:val="381D2DFD"/>
    <w:rsid w:val="39FD4282"/>
    <w:rsid w:val="3AF109F6"/>
    <w:rsid w:val="3B4A6275"/>
    <w:rsid w:val="3B915A92"/>
    <w:rsid w:val="3BDB4DF3"/>
    <w:rsid w:val="3C2E3F81"/>
    <w:rsid w:val="3C9A6F62"/>
    <w:rsid w:val="3E0233F7"/>
    <w:rsid w:val="3ED879C7"/>
    <w:rsid w:val="3F593C0C"/>
    <w:rsid w:val="41072269"/>
    <w:rsid w:val="420B225C"/>
    <w:rsid w:val="42BE4C61"/>
    <w:rsid w:val="472B40E0"/>
    <w:rsid w:val="4811248E"/>
    <w:rsid w:val="48493C41"/>
    <w:rsid w:val="48E61E4B"/>
    <w:rsid w:val="491D5CAA"/>
    <w:rsid w:val="4A086EB1"/>
    <w:rsid w:val="4A1C3C31"/>
    <w:rsid w:val="4B0C22F0"/>
    <w:rsid w:val="4B1E5CB5"/>
    <w:rsid w:val="4EE203B7"/>
    <w:rsid w:val="4FFC5FA2"/>
    <w:rsid w:val="523B17BE"/>
    <w:rsid w:val="53460CB6"/>
    <w:rsid w:val="53D75700"/>
    <w:rsid w:val="55630EE8"/>
    <w:rsid w:val="55B55BE8"/>
    <w:rsid w:val="56FA2A30"/>
    <w:rsid w:val="5AA92E49"/>
    <w:rsid w:val="5B285746"/>
    <w:rsid w:val="5B9D1491"/>
    <w:rsid w:val="5CF9226D"/>
    <w:rsid w:val="60660A9F"/>
    <w:rsid w:val="608E2BDB"/>
    <w:rsid w:val="60ED780A"/>
    <w:rsid w:val="61F3709D"/>
    <w:rsid w:val="62355AF7"/>
    <w:rsid w:val="62EA2ED9"/>
    <w:rsid w:val="681A194E"/>
    <w:rsid w:val="691D3680"/>
    <w:rsid w:val="69623539"/>
    <w:rsid w:val="6A1C5DDE"/>
    <w:rsid w:val="6CDB5633"/>
    <w:rsid w:val="70866F42"/>
    <w:rsid w:val="70BB3402"/>
    <w:rsid w:val="70FA3C96"/>
    <w:rsid w:val="73942E89"/>
    <w:rsid w:val="757D7C3D"/>
    <w:rsid w:val="7A2B0238"/>
    <w:rsid w:val="7B086181"/>
    <w:rsid w:val="7B8E01BE"/>
    <w:rsid w:val="7BB865F7"/>
    <w:rsid w:val="7CD56FFA"/>
    <w:rsid w:val="7D34021E"/>
    <w:rsid w:val="7DFF2EA4"/>
    <w:rsid w:val="7E0A2AE6"/>
    <w:rsid w:val="7F170FBC"/>
    <w:rsid w:val="7F46351C"/>
    <w:rsid w:val="7FD7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jc w:val="left"/>
      <w:textAlignment w:val="baseline"/>
    </w:pPr>
    <w:rPr>
      <w:kern w:val="0"/>
      <w:sz w:val="24"/>
    </w:rPr>
  </w:style>
  <w:style w:type="paragraph" w:styleId="3">
    <w:name w:val="annotation text"/>
    <w:basedOn w:val="1"/>
    <w:qFormat/>
    <w:uiPriority w:val="0"/>
    <w:pPr>
      <w:jc w:val="left"/>
    </w:pPr>
  </w:style>
  <w:style w:type="paragraph" w:styleId="4">
    <w:name w:val="Body Text"/>
    <w:basedOn w:val="1"/>
    <w:next w:val="1"/>
    <w:qFormat/>
    <w:uiPriority w:val="0"/>
    <w:pPr>
      <w:spacing w:line="360" w:lineRule="auto"/>
    </w:pPr>
    <w:rPr>
      <w:szCs w:val="20"/>
    </w:rPr>
  </w:style>
  <w:style w:type="paragraph" w:styleId="5">
    <w:name w:val="Body Text Indent"/>
    <w:basedOn w:val="1"/>
    <w:qFormat/>
    <w:uiPriority w:val="0"/>
    <w:pPr>
      <w:spacing w:line="560" w:lineRule="exact"/>
      <w:ind w:left="300"/>
    </w:pPr>
    <w:rPr>
      <w:sz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rFonts w:cs="Times New Roman"/>
      <w:kern w:val="0"/>
      <w:sz w:val="24"/>
    </w:rPr>
  </w:style>
  <w:style w:type="paragraph" w:styleId="10">
    <w:name w:val="Body Text First Indent 2"/>
    <w:basedOn w:val="5"/>
    <w:next w:val="1"/>
    <w:qFormat/>
    <w:uiPriority w:val="0"/>
    <w:pPr>
      <w:ind w:firstLine="420" w:firstLineChars="200"/>
    </w:pPr>
    <w:rPr>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4">
    <w:name w:val="annotation reference"/>
    <w:qFormat/>
    <w:uiPriority w:val="99"/>
    <w:rPr>
      <w:sz w:val="21"/>
      <w:szCs w:val="21"/>
    </w:rPr>
  </w:style>
  <w:style w:type="paragraph" w:styleId="15">
    <w:name w:val="List Paragraph"/>
    <w:basedOn w:val="1"/>
    <w:qFormat/>
    <w:uiPriority w:val="0"/>
    <w:pPr>
      <w:ind w:firstLine="420" w:firstLineChars="200"/>
    </w:pPr>
    <w:rPr>
      <w:rFonts w:ascii="Times New Roman" w:hAnsi="Times New Roman" w:eastAsia="宋体" w:cs="Times New Roman"/>
      <w:szCs w:val="20"/>
    </w:rPr>
  </w:style>
  <w:style w:type="paragraph" w:customStyle="1" w:styleId="16">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1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
    <w:name w:val="列出段落1"/>
    <w:basedOn w:val="1"/>
    <w:qFormat/>
    <w:uiPriority w:val="0"/>
    <w:pPr>
      <w:ind w:firstLine="420" w:firstLineChars="200"/>
    </w:pPr>
    <w:rPr>
      <w:rFonts w:ascii="Times New Roman" w:hAnsi="Times New Roman" w:eastAsia="宋体" w:cs="Times New Roman"/>
    </w:rPr>
  </w:style>
  <w:style w:type="paragraph" w:customStyle="1" w:styleId="19">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0">
    <w:name w:val="NormalCharacter"/>
    <w:qFormat/>
    <w:uiPriority w:val="0"/>
  </w:style>
  <w:style w:type="paragraph" w:customStyle="1" w:styleId="21">
    <w:name w:val="_Style 3"/>
    <w:basedOn w:val="1"/>
    <w:autoRedefine/>
    <w:qFormat/>
    <w:uiPriority w:val="0"/>
    <w:rPr>
      <w:rFonts w:ascii="Calibri" w:hAnsi="Calibri"/>
      <w:szCs w:val="21"/>
    </w:rPr>
  </w:style>
  <w:style w:type="paragraph" w:customStyle="1" w:styleId="22">
    <w:name w:val="正文文本 (2)1"/>
    <w:basedOn w:val="1"/>
    <w:link w:val="24"/>
    <w:qFormat/>
    <w:uiPriority w:val="99"/>
    <w:pPr>
      <w:shd w:val="clear" w:color="auto" w:fill="FFFFFF"/>
      <w:spacing w:line="240" w:lineRule="atLeast"/>
      <w:jc w:val="left"/>
    </w:pPr>
    <w:rPr>
      <w:rFonts w:ascii="MingLiU" w:eastAsia="MingLiU" w:cs="MingLiU"/>
      <w:sz w:val="22"/>
      <w:szCs w:val="22"/>
    </w:rPr>
  </w:style>
  <w:style w:type="character" w:customStyle="1" w:styleId="23">
    <w:name w:val="正文文本 (2)"/>
    <w:basedOn w:val="24"/>
    <w:qFormat/>
    <w:uiPriority w:val="99"/>
    <w:rPr>
      <w:rFonts w:ascii="MingLiU" w:eastAsia="MingLiU" w:cs="MingLiU"/>
      <w:kern w:val="2"/>
      <w:sz w:val="22"/>
      <w:szCs w:val="22"/>
      <w:shd w:val="clear" w:color="auto" w:fill="FFFFFF"/>
    </w:rPr>
  </w:style>
  <w:style w:type="character" w:customStyle="1" w:styleId="24">
    <w:name w:val="正文文本 (2)_"/>
    <w:basedOn w:val="13"/>
    <w:link w:val="22"/>
    <w:qFormat/>
    <w:uiPriority w:val="99"/>
    <w:rPr>
      <w:rFonts w:ascii="MingLiU" w:eastAsia="MingLiU" w:cs="MingLiU"/>
      <w:sz w:val="22"/>
      <w:szCs w:val="22"/>
    </w:rPr>
  </w:style>
  <w:style w:type="table" w:customStyle="1" w:styleId="25">
    <w:name w:val="网格型2"/>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7524</Words>
  <Characters>7730</Characters>
  <Lines>1</Lines>
  <Paragraphs>1</Paragraphs>
  <TotalTime>5</TotalTime>
  <ScaleCrop>false</ScaleCrop>
  <LinksUpToDate>false</LinksUpToDate>
  <CharactersWithSpaces>8025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2019-11-07T01:08:00Z</dcterms:created>
  <dc:creator>yc</dc:creator>
  <cp:lastModifiedBy>王俊人</cp:lastModifiedBy>
  <cp:lastPrinted>2025-08-20T08:45:00Z</cp:lastPrinted>
  <dcterms:modified xsi:type="dcterms:W3CDTF">2025-12-03T01:50:47Z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1F1875A5C7184503B3758DE8C1F0C2A6_13</vt:lpwstr>
  </property>
  <property fmtid="{D5CDD505-2E9C-101B-9397-08002B2CF9AE}" pid="4" name="KSOTemplateDocerSaveRecord">
    <vt:lpwstr>eyJoZGlkIjoiZjk3Mzc2N2U3MDNiYjJiNDY2MmJiN2E4YjBmZDJjMjgiLCJ1c2VySWQiOiI2ODYwMjE3OTAifQ==</vt:lpwstr>
  </property>
</Properties>
</file>