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3B1DE">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28BA665">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71176B00">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1840B49">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69295CCE">
      <w:pPr>
        <w:spacing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BB7498A">
      <w:pPr>
        <w:spacing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产科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吴琳琳            </w:t>
      </w:r>
      <w:r>
        <w:rPr>
          <w:rFonts w:hint="eastAsia" w:cs="宋体" w:asciiTheme="majorEastAsia" w:hAnsiTheme="majorEastAsia" w:eastAsiaTheme="majorEastAsia"/>
          <w:b/>
          <w:color w:val="000000"/>
          <w:sz w:val="24"/>
          <w:szCs w:val="21"/>
        </w:rPr>
        <w:t>负责人电话：13603022289</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490"/>
        <w:gridCol w:w="425"/>
        <w:gridCol w:w="567"/>
        <w:gridCol w:w="1417"/>
        <w:gridCol w:w="993"/>
        <w:gridCol w:w="1062"/>
      </w:tblGrid>
      <w:tr w14:paraId="13A95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1D328C2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6306EA0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505DFA3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2576C9A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C73E1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1191D7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AB11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666767BA">
            <w:pPr>
              <w:jc w:val="center"/>
              <w:rPr>
                <w:rFonts w:asciiTheme="majorEastAsia" w:hAnsiTheme="majorEastAsia" w:eastAsiaTheme="majorEastAsia"/>
                <w:sz w:val="24"/>
                <w:szCs w:val="21"/>
              </w:rPr>
            </w:pPr>
            <w:bookmarkStart w:id="0" w:name="OLE_LINK1"/>
            <w:r>
              <w:rPr>
                <w:rFonts w:hint="eastAsia" w:asciiTheme="majorEastAsia" w:hAnsiTheme="majorEastAsia" w:eastAsiaTheme="majorEastAsia"/>
                <w:b/>
                <w:szCs w:val="20"/>
              </w:rPr>
              <w:t>负离子治疗仪</w:t>
            </w:r>
            <w:bookmarkEnd w:id="0"/>
          </w:p>
        </w:tc>
        <w:tc>
          <w:tcPr>
            <w:tcW w:w="1559" w:type="dxa"/>
            <w:gridSpan w:val="3"/>
            <w:shd w:val="clear" w:color="auto" w:fill="auto"/>
            <w:vAlign w:val="center"/>
          </w:tcPr>
          <w:p w14:paraId="1BD2669A">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1134" w:type="dxa"/>
            <w:gridSpan w:val="3"/>
            <w:shd w:val="clear" w:color="auto" w:fill="auto"/>
            <w:vAlign w:val="center"/>
          </w:tcPr>
          <w:p w14:paraId="3ED36BD7">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915" w:type="dxa"/>
            <w:gridSpan w:val="2"/>
            <w:shd w:val="clear" w:color="auto" w:fill="auto"/>
            <w:vAlign w:val="center"/>
          </w:tcPr>
          <w:p w14:paraId="290263E9">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984" w:type="dxa"/>
            <w:gridSpan w:val="2"/>
            <w:shd w:val="clear" w:color="auto" w:fill="auto"/>
            <w:vAlign w:val="center"/>
          </w:tcPr>
          <w:p w14:paraId="05869735">
            <w:pPr>
              <w:spacing w:line="276" w:lineRule="auto"/>
              <w:rPr>
                <w:rFonts w:asciiTheme="majorEastAsia" w:hAnsiTheme="majorEastAsia" w:eastAsiaTheme="majorEastAsia"/>
                <w:b/>
                <w:sz w:val="24"/>
                <w:szCs w:val="21"/>
              </w:rPr>
            </w:pPr>
            <w:r>
              <w:rPr>
                <w:rFonts w:asciiTheme="majorEastAsia" w:hAnsiTheme="majorEastAsia" w:eastAsiaTheme="majorEastAsia"/>
                <w:b/>
                <w:sz w:val="24"/>
                <w:szCs w:val="21"/>
              </w:rPr>
              <w:t>4</w:t>
            </w:r>
          </w:p>
        </w:tc>
        <w:tc>
          <w:tcPr>
            <w:tcW w:w="2055" w:type="dxa"/>
            <w:gridSpan w:val="2"/>
            <w:shd w:val="clear" w:color="auto" w:fill="auto"/>
            <w:vAlign w:val="center"/>
          </w:tcPr>
          <w:p w14:paraId="2E384ED4">
            <w:pPr>
              <w:spacing w:line="276" w:lineRule="auto"/>
              <w:rPr>
                <w:rFonts w:asciiTheme="majorEastAsia" w:hAnsiTheme="majorEastAsia" w:eastAsiaTheme="majorEastAsia"/>
                <w:b/>
                <w:sz w:val="24"/>
                <w:szCs w:val="21"/>
              </w:rPr>
            </w:pPr>
            <w:r>
              <w:rPr>
                <w:rFonts w:asciiTheme="majorEastAsia" w:hAnsiTheme="majorEastAsia" w:eastAsiaTheme="majorEastAsia"/>
                <w:b/>
                <w:sz w:val="24"/>
                <w:szCs w:val="21"/>
              </w:rPr>
              <w:t>16</w:t>
            </w:r>
          </w:p>
        </w:tc>
      </w:tr>
      <w:tr w14:paraId="05D3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374419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5AC6EFFA">
            <w:pPr>
              <w:ind w:firstLine="480" w:firstLineChars="200"/>
              <w:rPr>
                <w:rFonts w:asciiTheme="majorEastAsia" w:hAnsiTheme="majorEastAsia" w:eastAsiaTheme="majorEastAsia"/>
                <w:sz w:val="24"/>
                <w:szCs w:val="21"/>
              </w:rPr>
            </w:pPr>
            <w:r>
              <w:rPr>
                <w:rFonts w:hint="eastAsia" w:asciiTheme="majorEastAsia" w:hAnsiTheme="majorEastAsia" w:eastAsiaTheme="majorEastAsia"/>
                <w:sz w:val="24"/>
                <w:szCs w:val="21"/>
              </w:rPr>
              <w:t>患者住院期间，洁净的空气、舒适的病房环境更利于患者康复，提高患者满意度。国务院在2024年印发了《推动大规模设备更新和消费品以旧换新行动方案》中也关注到病房环境的问题，提出“推动医疗机构病房改造提升，补齐病房环境与设施短板”。</w:t>
            </w:r>
          </w:p>
          <w:p w14:paraId="3619C087">
            <w:pPr>
              <w:pStyle w:val="14"/>
              <w:ind w:firstLine="480" w:firstLineChars="200"/>
            </w:pPr>
            <w:r>
              <w:rPr>
                <w:rFonts w:hint="eastAsia" w:asciiTheme="majorEastAsia" w:hAnsiTheme="majorEastAsia" w:eastAsiaTheme="majorEastAsia"/>
                <w:sz w:val="24"/>
                <w:szCs w:val="21"/>
              </w:rPr>
              <w:t>为积极响应国务院“以旧换新方案”，推出病房环境改造新模式，可提供24小时的高浓度空气负离子治疗环境的同时可有效遏制病房内细菌病毒的传播，降低病房内交叉感染的风险。</w:t>
            </w:r>
          </w:p>
          <w:p w14:paraId="048FC119">
            <w:pPr>
              <w:ind w:firstLine="480" w:firstLineChars="200"/>
              <w:rPr>
                <w:rFonts w:asciiTheme="majorEastAsia" w:hAnsiTheme="majorEastAsia" w:eastAsiaTheme="majorEastAsia"/>
                <w:sz w:val="24"/>
                <w:szCs w:val="21"/>
              </w:rPr>
            </w:pPr>
            <w:r>
              <w:rPr>
                <w:rFonts w:hint="eastAsia" w:asciiTheme="majorEastAsia" w:hAnsiTheme="majorEastAsia" w:eastAsiaTheme="majorEastAsia"/>
                <w:sz w:val="24"/>
                <w:szCs w:val="21"/>
              </w:rPr>
              <w:t>根据国家医保服务平台公开信息显示，属于物理疗法的“空气负离子治疗”被纳入了国家治疗性收费服务项目：收费项目：空气负离子治疗 收费编码：340100016，广东省省收费物价：2.04元/30分钟。</w:t>
            </w:r>
          </w:p>
        </w:tc>
      </w:tr>
      <w:tr w14:paraId="7BDA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B6D0E5E">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37333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9FF5B3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343B85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40567E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683030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45C4528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993" w:type="dxa"/>
            <w:gridSpan w:val="2"/>
            <w:vAlign w:val="center"/>
          </w:tcPr>
          <w:p w14:paraId="781D613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992" w:type="dxa"/>
            <w:gridSpan w:val="2"/>
            <w:vAlign w:val="center"/>
          </w:tcPr>
          <w:p w14:paraId="765DEAB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7DE2EA7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EA0D2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019163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2B96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6D8E5F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shd w:val="clear" w:color="auto" w:fill="auto"/>
            <w:vAlign w:val="center"/>
          </w:tcPr>
          <w:p w14:paraId="430ED66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负离子治疗仪</w:t>
            </w:r>
          </w:p>
        </w:tc>
        <w:tc>
          <w:tcPr>
            <w:tcW w:w="850" w:type="dxa"/>
            <w:shd w:val="clear" w:color="auto" w:fill="auto"/>
            <w:vAlign w:val="center"/>
          </w:tcPr>
          <w:p w14:paraId="79D076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shd w:val="clear" w:color="auto" w:fill="auto"/>
            <w:vAlign w:val="center"/>
          </w:tcPr>
          <w:p w14:paraId="7CCA1C4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567" w:type="dxa"/>
            <w:shd w:val="clear" w:color="auto" w:fill="auto"/>
            <w:vAlign w:val="center"/>
          </w:tcPr>
          <w:p w14:paraId="630877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993" w:type="dxa"/>
            <w:gridSpan w:val="2"/>
            <w:shd w:val="clear" w:color="auto" w:fill="auto"/>
            <w:vAlign w:val="center"/>
          </w:tcPr>
          <w:p w14:paraId="42AB9397">
            <w:pPr>
              <w:jc w:val="center"/>
              <w:rPr>
                <w:rFonts w:asciiTheme="majorEastAsia" w:hAnsiTheme="majorEastAsia" w:eastAsiaTheme="majorEastAsia"/>
                <w:b/>
                <w:sz w:val="24"/>
                <w:szCs w:val="21"/>
              </w:rPr>
            </w:pPr>
            <w:r>
              <w:rPr>
                <w:rFonts w:asciiTheme="majorEastAsia" w:hAnsiTheme="majorEastAsia" w:eastAsiaTheme="majorEastAsia"/>
                <w:b/>
                <w:sz w:val="24"/>
                <w:szCs w:val="21"/>
              </w:rPr>
              <w:t>4</w:t>
            </w:r>
          </w:p>
        </w:tc>
        <w:tc>
          <w:tcPr>
            <w:tcW w:w="992" w:type="dxa"/>
            <w:gridSpan w:val="2"/>
            <w:shd w:val="clear" w:color="auto" w:fill="auto"/>
            <w:vAlign w:val="center"/>
          </w:tcPr>
          <w:p w14:paraId="054900DC">
            <w:pPr>
              <w:jc w:val="center"/>
              <w:rPr>
                <w:rFonts w:asciiTheme="majorEastAsia" w:hAnsiTheme="majorEastAsia" w:eastAsiaTheme="majorEastAsia"/>
                <w:b/>
                <w:sz w:val="24"/>
                <w:szCs w:val="21"/>
              </w:rPr>
            </w:pPr>
            <w:r>
              <w:rPr>
                <w:rFonts w:asciiTheme="majorEastAsia" w:hAnsiTheme="majorEastAsia" w:eastAsiaTheme="majorEastAsia"/>
                <w:b/>
                <w:sz w:val="24"/>
                <w:szCs w:val="21"/>
              </w:rPr>
              <w:t>16</w:t>
            </w:r>
          </w:p>
        </w:tc>
        <w:tc>
          <w:tcPr>
            <w:tcW w:w="1417" w:type="dxa"/>
            <w:shd w:val="clear" w:color="auto" w:fill="auto"/>
            <w:vAlign w:val="center"/>
          </w:tcPr>
          <w:p w14:paraId="10660E3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shd w:val="clear" w:color="auto" w:fill="auto"/>
            <w:vAlign w:val="center"/>
          </w:tcPr>
          <w:p w14:paraId="166D55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22BCE8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r>
      <w:tr w14:paraId="0027B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47E5FE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7CD0AD8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等离子体空气消毒机  </w:t>
            </w:r>
          </w:p>
        </w:tc>
        <w:tc>
          <w:tcPr>
            <w:tcW w:w="850" w:type="dxa"/>
            <w:vAlign w:val="center"/>
          </w:tcPr>
          <w:p w14:paraId="7005F8D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4E64888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567" w:type="dxa"/>
            <w:vAlign w:val="center"/>
          </w:tcPr>
          <w:p w14:paraId="3619055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993" w:type="dxa"/>
            <w:gridSpan w:val="2"/>
            <w:vAlign w:val="center"/>
          </w:tcPr>
          <w:p w14:paraId="4184DD3A">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992" w:type="dxa"/>
            <w:gridSpan w:val="2"/>
            <w:vAlign w:val="center"/>
          </w:tcPr>
          <w:p w14:paraId="22938358">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1417" w:type="dxa"/>
            <w:vAlign w:val="center"/>
          </w:tcPr>
          <w:p w14:paraId="4114333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372309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5D3FA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6E209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BE4BEC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2339C8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负离子态势感知仪</w:t>
            </w:r>
          </w:p>
        </w:tc>
        <w:tc>
          <w:tcPr>
            <w:tcW w:w="850" w:type="dxa"/>
            <w:shd w:val="clear" w:color="auto" w:fill="auto"/>
            <w:vAlign w:val="center"/>
          </w:tcPr>
          <w:p w14:paraId="37C58E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shd w:val="clear" w:color="auto" w:fill="auto"/>
            <w:vAlign w:val="center"/>
          </w:tcPr>
          <w:p w14:paraId="7D12E7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567" w:type="dxa"/>
            <w:shd w:val="clear" w:color="auto" w:fill="auto"/>
            <w:vAlign w:val="center"/>
          </w:tcPr>
          <w:p w14:paraId="5F57D1E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993" w:type="dxa"/>
            <w:gridSpan w:val="2"/>
            <w:shd w:val="clear" w:color="auto" w:fill="auto"/>
            <w:vAlign w:val="center"/>
          </w:tcPr>
          <w:p w14:paraId="42CCA6B9">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992" w:type="dxa"/>
            <w:gridSpan w:val="2"/>
            <w:shd w:val="clear" w:color="auto" w:fill="auto"/>
            <w:vAlign w:val="center"/>
          </w:tcPr>
          <w:p w14:paraId="7C5827E1">
            <w:pPr>
              <w:jc w:val="center"/>
              <w:rPr>
                <w:rFonts w:asciiTheme="majorEastAsia" w:hAnsiTheme="majorEastAsia" w:eastAsiaTheme="majorEastAsia"/>
                <w:b/>
                <w:sz w:val="24"/>
                <w:szCs w:val="21"/>
              </w:rPr>
            </w:pPr>
            <w:r>
              <w:rPr>
                <w:rFonts w:asciiTheme="majorEastAsia" w:hAnsiTheme="majorEastAsia" w:eastAsiaTheme="majorEastAsia"/>
                <w:b/>
                <w:sz w:val="24"/>
                <w:szCs w:val="21"/>
              </w:rPr>
              <w:t>/</w:t>
            </w:r>
          </w:p>
        </w:tc>
        <w:tc>
          <w:tcPr>
            <w:tcW w:w="1417" w:type="dxa"/>
            <w:vAlign w:val="center"/>
          </w:tcPr>
          <w:p w14:paraId="16B0CB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993" w:type="dxa"/>
            <w:vAlign w:val="center"/>
          </w:tcPr>
          <w:p w14:paraId="768A2E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F4A2E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594BE083">
      <w:pPr>
        <w:spacing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764E6142">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723B0322">
      <w:pPr>
        <w:pStyle w:val="17"/>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4A177D0">
      <w:pPr>
        <w:numPr>
          <w:ilvl w:val="0"/>
          <w:numId w:val="1"/>
        </w:numPr>
        <w:spacing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CB24B1F">
      <w:pPr>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34CE5F86">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1861380D">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6521B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1970E79B">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283AEDEB">
            <w:pPr>
              <w:adjustRightInd w:val="0"/>
              <w:snapToGrid w:val="0"/>
              <w:jc w:val="center"/>
              <w:rPr>
                <w:rFonts w:asciiTheme="majorEastAsia" w:hAnsiTheme="majorEastAsia" w:eastAsiaTheme="majorEastAsia"/>
                <w:b/>
                <w:sz w:val="24"/>
                <w:szCs w:val="21"/>
              </w:rPr>
            </w:pPr>
          </w:p>
        </w:tc>
      </w:tr>
      <w:tr w14:paraId="5161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3E05401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0E6F0926">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33130E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2C82F7C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5FC2D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712C4C4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6C1A159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Cs w:val="20"/>
              </w:rPr>
              <w:t>负离子治疗仪</w:t>
            </w:r>
          </w:p>
        </w:tc>
        <w:tc>
          <w:tcPr>
            <w:tcW w:w="7564" w:type="dxa"/>
            <w:gridSpan w:val="2"/>
            <w:shd w:val="clear" w:color="auto" w:fill="auto"/>
            <w:vAlign w:val="center"/>
          </w:tcPr>
          <w:p w14:paraId="5D2D0788">
            <w:pPr>
              <w:spacing w:line="276" w:lineRule="auto"/>
              <w:rPr>
                <w:rFonts w:asciiTheme="majorEastAsia" w:hAnsiTheme="majorEastAsia" w:eastAsiaTheme="majorEastAsia"/>
                <w:b/>
                <w:sz w:val="24"/>
                <w:szCs w:val="21"/>
              </w:rPr>
            </w:pPr>
            <w:r>
              <w:rPr>
                <w:rFonts w:ascii="宋体" w:hAnsi="宋体" w:cs="宋体"/>
                <w:b/>
                <w:color w:val="000000"/>
                <w:szCs w:val="21"/>
              </w:rPr>
              <w:t>1</w:t>
            </w:r>
            <w:r>
              <w:rPr>
                <w:rFonts w:hint="eastAsia" w:ascii="宋体" w:hAnsi="宋体" w:cs="宋体"/>
                <w:b/>
                <w:color w:val="000000"/>
                <w:szCs w:val="21"/>
              </w:rPr>
              <w:t>.设备性能</w:t>
            </w:r>
          </w:p>
        </w:tc>
        <w:tc>
          <w:tcPr>
            <w:tcW w:w="817" w:type="dxa"/>
          </w:tcPr>
          <w:p w14:paraId="4E5BDACA">
            <w:pPr>
              <w:adjustRightInd w:val="0"/>
              <w:snapToGrid w:val="0"/>
              <w:rPr>
                <w:rFonts w:asciiTheme="majorEastAsia" w:hAnsiTheme="majorEastAsia" w:eastAsiaTheme="majorEastAsia"/>
                <w:b/>
                <w:sz w:val="24"/>
                <w:szCs w:val="21"/>
              </w:rPr>
            </w:pPr>
          </w:p>
        </w:tc>
      </w:tr>
      <w:tr w14:paraId="1CD91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D06EAC5">
            <w:pPr>
              <w:adjustRightInd w:val="0"/>
              <w:snapToGrid w:val="0"/>
              <w:rPr>
                <w:rFonts w:asciiTheme="majorEastAsia" w:hAnsiTheme="majorEastAsia" w:eastAsiaTheme="majorEastAsia"/>
                <w:b/>
                <w:sz w:val="24"/>
                <w:szCs w:val="21"/>
              </w:rPr>
            </w:pPr>
          </w:p>
        </w:tc>
        <w:tc>
          <w:tcPr>
            <w:tcW w:w="935" w:type="dxa"/>
            <w:vMerge w:val="continue"/>
          </w:tcPr>
          <w:p w14:paraId="72E11DC5">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0F5985EF">
            <w:pPr>
              <w:widowControl/>
              <w:textAlignment w:val="center"/>
              <w:rPr>
                <w:rFonts w:ascii="宋体" w:hAnsi="宋体" w:cs="宋体"/>
                <w:color w:val="000000" w:themeColor="text1"/>
                <w:szCs w:val="21"/>
                <w14:textFill>
                  <w14:solidFill>
                    <w14:schemeClr w14:val="tx1"/>
                  </w14:solidFill>
                </w14:textFill>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.1</w:t>
            </w:r>
            <w:r>
              <w:rPr>
                <w:rFonts w:hint="eastAsia" w:ascii="宋体" w:hAnsi="宋体" w:cs="宋体"/>
                <w:highlight w:val="yellow"/>
              </w:rPr>
              <w:t>以出风口为圆心，3m半径内正向前方60度扇形区域内任一点负离子浓度</w:t>
            </w:r>
            <w:r>
              <w:rPr>
                <w:rFonts w:ascii="宋体" w:hAnsi="宋体" w:cs="宋体"/>
                <w:highlight w:val="yellow"/>
              </w:rPr>
              <w:t>≥30,000个/cm³</w:t>
            </w:r>
            <w:r>
              <w:rPr>
                <w:rFonts w:hint="eastAsia" w:ascii="宋体" w:hAnsi="宋体" w:cs="宋体"/>
                <w:highlight w:val="yellow"/>
              </w:rPr>
              <w:t>。</w:t>
            </w:r>
          </w:p>
        </w:tc>
        <w:tc>
          <w:tcPr>
            <w:tcW w:w="817" w:type="dxa"/>
          </w:tcPr>
          <w:p w14:paraId="1647AE91">
            <w:pPr>
              <w:adjustRightInd w:val="0"/>
              <w:snapToGrid w:val="0"/>
              <w:rPr>
                <w:rFonts w:asciiTheme="majorEastAsia" w:hAnsiTheme="majorEastAsia" w:eastAsiaTheme="majorEastAsia"/>
                <w:b/>
                <w:sz w:val="24"/>
                <w:szCs w:val="21"/>
              </w:rPr>
            </w:pPr>
          </w:p>
        </w:tc>
      </w:tr>
      <w:tr w14:paraId="6478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008F538">
            <w:pPr>
              <w:adjustRightInd w:val="0"/>
              <w:snapToGrid w:val="0"/>
              <w:rPr>
                <w:rFonts w:asciiTheme="majorEastAsia" w:hAnsiTheme="majorEastAsia" w:eastAsiaTheme="majorEastAsia"/>
                <w:b/>
                <w:sz w:val="24"/>
                <w:szCs w:val="21"/>
              </w:rPr>
            </w:pPr>
          </w:p>
        </w:tc>
        <w:tc>
          <w:tcPr>
            <w:tcW w:w="935" w:type="dxa"/>
            <w:vMerge w:val="continue"/>
          </w:tcPr>
          <w:p w14:paraId="388780A4">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00A2C248">
            <w:pPr>
              <w:widowControl/>
              <w:jc w:val="left"/>
              <w:textAlignment w:val="center"/>
              <w:rPr>
                <w:rFonts w:ascii="宋体" w:hAnsi="宋体" w:cs="宋体"/>
                <w:color w:val="000000" w:themeColor="text1"/>
                <w:szCs w:val="21"/>
                <w14:textFill>
                  <w14:solidFill>
                    <w14:schemeClr w14:val="tx1"/>
                  </w14:solidFill>
                </w14:textFill>
              </w:rPr>
            </w:pPr>
            <w:r>
              <w:rPr>
                <w:rFonts w:asciiTheme="majorEastAsia" w:hAnsiTheme="majorEastAsia" w:eastAsiaTheme="majorEastAsia" w:cstheme="majorEastAsia"/>
                <w:szCs w:val="21"/>
              </w:rPr>
              <w:t>1</w:t>
            </w:r>
            <w:r>
              <w:rPr>
                <w:rFonts w:hint="eastAsia" w:asciiTheme="majorEastAsia" w:hAnsiTheme="majorEastAsia" w:eastAsiaTheme="majorEastAsia" w:cstheme="majorEastAsia"/>
                <w:szCs w:val="21"/>
              </w:rPr>
              <w:t>.2</w:t>
            </w:r>
            <w:r>
              <w:rPr>
                <w:rFonts w:hint="eastAsia" w:asciiTheme="majorEastAsia" w:hAnsiTheme="majorEastAsia" w:eastAsiaTheme="majorEastAsia" w:cstheme="majorEastAsia"/>
                <w:szCs w:val="21"/>
                <w:highlight w:val="yellow"/>
              </w:rPr>
              <w:t>负离子发射源小粒径负离子浓度≥</w:t>
            </w:r>
            <w:r>
              <w:rPr>
                <w:rFonts w:ascii="宋体" w:hAnsi="宋体" w:cs="宋体"/>
                <w:highlight w:val="yellow"/>
              </w:rPr>
              <w:t>1200</w:t>
            </w:r>
            <w:r>
              <w:rPr>
                <w:rFonts w:hint="eastAsia" w:asciiTheme="majorEastAsia" w:hAnsiTheme="majorEastAsia" w:eastAsiaTheme="majorEastAsia" w:cstheme="majorEastAsia"/>
                <w:szCs w:val="21"/>
                <w:highlight w:val="yellow"/>
              </w:rPr>
              <w:t>万 ions/ cm³ 。</w:t>
            </w:r>
          </w:p>
        </w:tc>
        <w:tc>
          <w:tcPr>
            <w:tcW w:w="817" w:type="dxa"/>
          </w:tcPr>
          <w:p w14:paraId="10E0DF98">
            <w:pPr>
              <w:adjustRightInd w:val="0"/>
              <w:snapToGrid w:val="0"/>
              <w:rPr>
                <w:rFonts w:asciiTheme="majorEastAsia" w:hAnsiTheme="majorEastAsia" w:eastAsiaTheme="majorEastAsia"/>
                <w:b/>
                <w:sz w:val="24"/>
                <w:szCs w:val="21"/>
              </w:rPr>
            </w:pPr>
          </w:p>
        </w:tc>
      </w:tr>
      <w:tr w14:paraId="6CF2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00D1171">
            <w:pPr>
              <w:adjustRightInd w:val="0"/>
              <w:snapToGrid w:val="0"/>
              <w:rPr>
                <w:rFonts w:asciiTheme="majorEastAsia" w:hAnsiTheme="majorEastAsia" w:eastAsiaTheme="majorEastAsia"/>
                <w:b/>
                <w:sz w:val="24"/>
                <w:szCs w:val="21"/>
              </w:rPr>
            </w:pPr>
          </w:p>
        </w:tc>
        <w:tc>
          <w:tcPr>
            <w:tcW w:w="935" w:type="dxa"/>
            <w:vMerge w:val="continue"/>
          </w:tcPr>
          <w:p w14:paraId="6A75DACE">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56FA5D7F">
            <w:pPr>
              <w:jc w:val="left"/>
              <w:rPr>
                <w:rFonts w:ascii="宋体" w:hAnsi="宋体" w:cs="宋体"/>
                <w:color w:val="000000" w:themeColor="text1"/>
                <w:szCs w:val="21"/>
                <w14:textFill>
                  <w14:solidFill>
                    <w14:schemeClr w14:val="tx1"/>
                  </w14:solidFill>
                </w14:textFill>
              </w:rPr>
            </w:pPr>
            <w:r>
              <w:rPr>
                <w:rFonts w:ascii="宋体" w:hAnsi="宋体" w:cs="宋体"/>
                <w:b/>
                <w:color w:val="000000"/>
                <w:szCs w:val="21"/>
              </w:rPr>
              <w:t>2</w:t>
            </w:r>
            <w:r>
              <w:rPr>
                <w:rFonts w:hint="eastAsia" w:ascii="宋体" w:hAnsi="宋体" w:cs="宋体"/>
                <w:b/>
                <w:color w:val="000000"/>
                <w:szCs w:val="21"/>
              </w:rPr>
              <w:t>.使用性能</w:t>
            </w:r>
          </w:p>
        </w:tc>
        <w:tc>
          <w:tcPr>
            <w:tcW w:w="817" w:type="dxa"/>
          </w:tcPr>
          <w:p w14:paraId="182A2A1F">
            <w:pPr>
              <w:adjustRightInd w:val="0"/>
              <w:snapToGrid w:val="0"/>
              <w:rPr>
                <w:rFonts w:asciiTheme="majorEastAsia" w:hAnsiTheme="majorEastAsia" w:eastAsiaTheme="majorEastAsia"/>
                <w:b/>
                <w:sz w:val="24"/>
                <w:szCs w:val="21"/>
              </w:rPr>
            </w:pPr>
          </w:p>
        </w:tc>
      </w:tr>
      <w:tr w14:paraId="46A45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28B4575">
            <w:pPr>
              <w:adjustRightInd w:val="0"/>
              <w:snapToGrid w:val="0"/>
              <w:rPr>
                <w:rFonts w:asciiTheme="majorEastAsia" w:hAnsiTheme="majorEastAsia" w:eastAsiaTheme="majorEastAsia"/>
                <w:b/>
                <w:sz w:val="24"/>
                <w:szCs w:val="21"/>
              </w:rPr>
            </w:pPr>
          </w:p>
        </w:tc>
        <w:tc>
          <w:tcPr>
            <w:tcW w:w="935" w:type="dxa"/>
            <w:vMerge w:val="continue"/>
          </w:tcPr>
          <w:p w14:paraId="54563E1D">
            <w:pPr>
              <w:adjustRightInd w:val="0"/>
              <w:snapToGrid w:val="0"/>
              <w:rPr>
                <w:rFonts w:asciiTheme="majorEastAsia" w:hAnsiTheme="majorEastAsia" w:eastAsiaTheme="majorEastAsia"/>
                <w:b/>
                <w:sz w:val="24"/>
                <w:szCs w:val="21"/>
              </w:rPr>
            </w:pPr>
          </w:p>
        </w:tc>
        <w:tc>
          <w:tcPr>
            <w:tcW w:w="7564" w:type="dxa"/>
            <w:gridSpan w:val="2"/>
            <w:shd w:val="clear" w:color="auto" w:fill="auto"/>
            <w:vAlign w:val="center"/>
          </w:tcPr>
          <w:p w14:paraId="2A3D2C00">
            <w:pPr>
              <w:jc w:val="left"/>
              <w:rPr>
                <w:rFonts w:ascii="宋体" w:hAnsi="宋体" w:cs="宋体" w:eastAsiaTheme="majorEastAsia"/>
                <w:b/>
                <w:color w:val="000000"/>
                <w:szCs w:val="21"/>
                <w:highlight w:val="none"/>
              </w:rPr>
            </w:pPr>
            <w:r>
              <w:rPr>
                <w:rFonts w:asciiTheme="majorEastAsia" w:hAnsiTheme="majorEastAsia" w:eastAsiaTheme="majorEastAsia" w:cstheme="majorEastAsia"/>
                <w:szCs w:val="21"/>
                <w:highlight w:val="none"/>
              </w:rPr>
              <w:t>2</w:t>
            </w:r>
            <w:r>
              <w:rPr>
                <w:rFonts w:hint="eastAsia" w:asciiTheme="majorEastAsia" w:hAnsiTheme="majorEastAsia" w:eastAsiaTheme="majorEastAsia" w:cstheme="majorEastAsia"/>
                <w:szCs w:val="21"/>
                <w:highlight w:val="none"/>
              </w:rPr>
              <w:t>.1</w:t>
            </w:r>
            <w:r>
              <w:rPr>
                <w:rFonts w:asciiTheme="majorEastAsia" w:hAnsiTheme="majorEastAsia" w:eastAsiaTheme="majorEastAsia" w:cstheme="majorEastAsia"/>
                <w:szCs w:val="21"/>
                <w:highlight w:val="none"/>
              </w:rPr>
              <w:t>具有开关控制功能</w:t>
            </w:r>
            <w:r>
              <w:rPr>
                <w:rFonts w:hint="eastAsia" w:asciiTheme="majorEastAsia" w:hAnsiTheme="majorEastAsia" w:eastAsiaTheme="majorEastAsia" w:cstheme="majorEastAsia"/>
                <w:szCs w:val="21"/>
                <w:highlight w:val="none"/>
              </w:rPr>
              <w:t>。</w:t>
            </w:r>
          </w:p>
        </w:tc>
        <w:tc>
          <w:tcPr>
            <w:tcW w:w="817" w:type="dxa"/>
          </w:tcPr>
          <w:p w14:paraId="0F331EED">
            <w:pPr>
              <w:adjustRightInd w:val="0"/>
              <w:snapToGrid w:val="0"/>
              <w:rPr>
                <w:rFonts w:asciiTheme="majorEastAsia" w:hAnsiTheme="majorEastAsia" w:eastAsiaTheme="majorEastAsia"/>
                <w:b/>
                <w:sz w:val="24"/>
                <w:szCs w:val="21"/>
              </w:rPr>
            </w:pPr>
          </w:p>
        </w:tc>
      </w:tr>
      <w:tr w14:paraId="2B697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710" w:type="dxa"/>
            <w:vMerge w:val="continue"/>
          </w:tcPr>
          <w:p w14:paraId="3D7BB981">
            <w:pPr>
              <w:adjustRightInd w:val="0"/>
              <w:snapToGrid w:val="0"/>
              <w:rPr>
                <w:rFonts w:asciiTheme="majorEastAsia" w:hAnsiTheme="majorEastAsia" w:eastAsiaTheme="majorEastAsia"/>
                <w:b/>
                <w:sz w:val="24"/>
                <w:szCs w:val="21"/>
              </w:rPr>
            </w:pPr>
          </w:p>
        </w:tc>
        <w:tc>
          <w:tcPr>
            <w:tcW w:w="935" w:type="dxa"/>
            <w:vMerge w:val="continue"/>
          </w:tcPr>
          <w:p w14:paraId="2CED86AE">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2537518D">
            <w:pPr>
              <w:widowControl/>
              <w:jc w:val="left"/>
              <w:textAlignment w:val="center"/>
              <w:rPr>
                <w:rFonts w:ascii="宋体" w:hAnsi="宋体" w:cs="宋体"/>
                <w:color w:val="000000"/>
                <w:szCs w:val="21"/>
                <w:highlight w:val="none"/>
              </w:rPr>
            </w:pPr>
            <w:r>
              <w:rPr>
                <w:rFonts w:asciiTheme="majorEastAsia" w:hAnsiTheme="majorEastAsia" w:eastAsiaTheme="majorEastAsia" w:cstheme="majorEastAsia"/>
                <w:szCs w:val="21"/>
                <w:highlight w:val="none"/>
              </w:rPr>
              <w:t>2</w:t>
            </w:r>
            <w:r>
              <w:rPr>
                <w:rFonts w:hint="eastAsia" w:asciiTheme="majorEastAsia" w:hAnsiTheme="majorEastAsia" w:eastAsiaTheme="majorEastAsia" w:cstheme="majorEastAsia"/>
                <w:szCs w:val="21"/>
                <w:highlight w:val="none"/>
              </w:rPr>
              <w:t>.2具有风量控制功能。</w:t>
            </w:r>
          </w:p>
        </w:tc>
        <w:tc>
          <w:tcPr>
            <w:tcW w:w="817" w:type="dxa"/>
          </w:tcPr>
          <w:p w14:paraId="6B3C7DEA">
            <w:pPr>
              <w:adjustRightInd w:val="0"/>
              <w:snapToGrid w:val="0"/>
              <w:rPr>
                <w:rFonts w:asciiTheme="majorEastAsia" w:hAnsiTheme="majorEastAsia" w:eastAsiaTheme="majorEastAsia"/>
                <w:b/>
                <w:sz w:val="24"/>
                <w:szCs w:val="21"/>
              </w:rPr>
            </w:pPr>
          </w:p>
        </w:tc>
      </w:tr>
      <w:tr w14:paraId="6F693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7AAA07A">
            <w:pPr>
              <w:adjustRightInd w:val="0"/>
              <w:snapToGrid w:val="0"/>
              <w:rPr>
                <w:rFonts w:asciiTheme="majorEastAsia" w:hAnsiTheme="majorEastAsia" w:eastAsiaTheme="majorEastAsia"/>
                <w:b/>
                <w:sz w:val="24"/>
                <w:szCs w:val="21"/>
              </w:rPr>
            </w:pPr>
          </w:p>
        </w:tc>
        <w:tc>
          <w:tcPr>
            <w:tcW w:w="935" w:type="dxa"/>
            <w:vMerge w:val="continue"/>
          </w:tcPr>
          <w:p w14:paraId="61098CCD">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55CB48E0">
            <w:pPr>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.3屏幕显示功能：主机接通电源后，显示屏能正常显示电源开启状态、负氧离子工作状态，各显示内容应清晰可见。</w:t>
            </w:r>
          </w:p>
        </w:tc>
        <w:tc>
          <w:tcPr>
            <w:tcW w:w="817" w:type="dxa"/>
          </w:tcPr>
          <w:p w14:paraId="103B8C0E">
            <w:pPr>
              <w:adjustRightInd w:val="0"/>
              <w:snapToGrid w:val="0"/>
              <w:rPr>
                <w:rFonts w:asciiTheme="majorEastAsia" w:hAnsiTheme="majorEastAsia" w:eastAsiaTheme="majorEastAsia"/>
                <w:b/>
                <w:sz w:val="24"/>
                <w:szCs w:val="21"/>
              </w:rPr>
            </w:pPr>
          </w:p>
        </w:tc>
      </w:tr>
      <w:tr w14:paraId="2ADA1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80E884E">
            <w:pPr>
              <w:adjustRightInd w:val="0"/>
              <w:snapToGrid w:val="0"/>
              <w:rPr>
                <w:rFonts w:asciiTheme="majorEastAsia" w:hAnsiTheme="majorEastAsia" w:eastAsiaTheme="majorEastAsia"/>
                <w:b/>
                <w:sz w:val="24"/>
                <w:szCs w:val="21"/>
              </w:rPr>
            </w:pPr>
          </w:p>
        </w:tc>
        <w:tc>
          <w:tcPr>
            <w:tcW w:w="935" w:type="dxa"/>
            <w:vMerge w:val="continue"/>
          </w:tcPr>
          <w:p w14:paraId="3B6DB907">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01D009E">
            <w:pPr>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2</w:t>
            </w:r>
            <w:r>
              <w:rPr>
                <w:rFonts w:hint="eastAsia" w:asciiTheme="majorEastAsia" w:hAnsiTheme="majorEastAsia" w:eastAsiaTheme="majorEastAsia" w:cstheme="majorEastAsia"/>
                <w:szCs w:val="21"/>
              </w:rPr>
              <w:t>.4可</w:t>
            </w:r>
            <w:r>
              <w:rPr>
                <w:rFonts w:hint="eastAsia" w:ascii="宋体" w:hAnsi="宋体" w:cs="宋体"/>
              </w:rPr>
              <w:t>持续工作时间：可连续至少12小时工作。</w:t>
            </w:r>
          </w:p>
        </w:tc>
        <w:tc>
          <w:tcPr>
            <w:tcW w:w="817" w:type="dxa"/>
          </w:tcPr>
          <w:p w14:paraId="4EDF2FAF">
            <w:pPr>
              <w:adjustRightInd w:val="0"/>
              <w:snapToGrid w:val="0"/>
              <w:rPr>
                <w:rFonts w:asciiTheme="majorEastAsia" w:hAnsiTheme="majorEastAsia" w:eastAsiaTheme="majorEastAsia"/>
                <w:b/>
                <w:sz w:val="24"/>
                <w:szCs w:val="21"/>
              </w:rPr>
            </w:pPr>
          </w:p>
        </w:tc>
      </w:tr>
      <w:tr w14:paraId="5585E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50A326A">
            <w:pPr>
              <w:adjustRightInd w:val="0"/>
              <w:snapToGrid w:val="0"/>
              <w:rPr>
                <w:rFonts w:asciiTheme="majorEastAsia" w:hAnsiTheme="majorEastAsia" w:eastAsiaTheme="majorEastAsia"/>
                <w:b/>
                <w:sz w:val="24"/>
                <w:szCs w:val="21"/>
              </w:rPr>
            </w:pPr>
          </w:p>
        </w:tc>
        <w:tc>
          <w:tcPr>
            <w:tcW w:w="935" w:type="dxa"/>
            <w:vMerge w:val="continue"/>
          </w:tcPr>
          <w:p w14:paraId="5A8BBA5B">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698AFD30">
            <w:pPr>
              <w:jc w:val="left"/>
              <w:rPr>
                <w:rFonts w:asciiTheme="majorEastAsia" w:hAnsiTheme="majorEastAsia" w:eastAsiaTheme="majorEastAsia" w:cstheme="majorEastAsia"/>
                <w:szCs w:val="21"/>
              </w:rPr>
            </w:pPr>
            <w:r>
              <w:rPr>
                <w:rFonts w:ascii="宋体" w:hAnsi="宋体" w:cs="宋体"/>
                <w:b/>
                <w:color w:val="000000"/>
                <w:szCs w:val="21"/>
              </w:rPr>
              <w:t>3</w:t>
            </w:r>
            <w:r>
              <w:rPr>
                <w:rFonts w:hint="eastAsia" w:ascii="宋体" w:hAnsi="宋体" w:cs="宋体"/>
                <w:b/>
                <w:color w:val="000000"/>
                <w:szCs w:val="21"/>
              </w:rPr>
              <w:t>.健康指标要求</w:t>
            </w:r>
          </w:p>
        </w:tc>
        <w:tc>
          <w:tcPr>
            <w:tcW w:w="817" w:type="dxa"/>
          </w:tcPr>
          <w:p w14:paraId="5EBCB9FB">
            <w:pPr>
              <w:adjustRightInd w:val="0"/>
              <w:snapToGrid w:val="0"/>
              <w:rPr>
                <w:rFonts w:asciiTheme="majorEastAsia" w:hAnsiTheme="majorEastAsia" w:eastAsiaTheme="majorEastAsia"/>
                <w:b/>
                <w:sz w:val="24"/>
                <w:szCs w:val="21"/>
              </w:rPr>
            </w:pPr>
          </w:p>
        </w:tc>
      </w:tr>
      <w:tr w14:paraId="78DA1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E9A1B27">
            <w:pPr>
              <w:adjustRightInd w:val="0"/>
              <w:snapToGrid w:val="0"/>
              <w:rPr>
                <w:rFonts w:asciiTheme="majorEastAsia" w:hAnsiTheme="majorEastAsia" w:eastAsiaTheme="majorEastAsia"/>
                <w:b/>
                <w:sz w:val="24"/>
                <w:szCs w:val="21"/>
              </w:rPr>
            </w:pPr>
          </w:p>
        </w:tc>
        <w:tc>
          <w:tcPr>
            <w:tcW w:w="935" w:type="dxa"/>
            <w:vMerge w:val="continue"/>
          </w:tcPr>
          <w:p w14:paraId="43A986DE">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2877013A">
            <w:pPr>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3</w:t>
            </w:r>
            <w:r>
              <w:rPr>
                <w:rFonts w:hint="eastAsia" w:asciiTheme="majorEastAsia" w:hAnsiTheme="majorEastAsia" w:eastAsiaTheme="majorEastAsia" w:cstheme="majorEastAsia"/>
                <w:szCs w:val="21"/>
              </w:rPr>
              <w:t>.1本身所产生的其他物质：臭氧浓度≤0.1mg/m</w:t>
            </w:r>
            <w:r>
              <w:rPr>
                <w:rFonts w:hint="eastAsia" w:asciiTheme="majorEastAsia" w:hAnsiTheme="majorEastAsia" w:eastAsiaTheme="majorEastAsia" w:cstheme="majorEastAsia"/>
                <w:szCs w:val="21"/>
                <w:vertAlign w:val="superscript"/>
              </w:rPr>
              <w:t>3</w:t>
            </w:r>
            <w:r>
              <w:rPr>
                <w:rFonts w:hint="eastAsia" w:asciiTheme="majorEastAsia" w:hAnsiTheme="majorEastAsia" w:eastAsiaTheme="majorEastAsia" w:cstheme="majorEastAsia"/>
                <w:szCs w:val="21"/>
              </w:rPr>
              <w:t>。</w:t>
            </w:r>
          </w:p>
        </w:tc>
        <w:tc>
          <w:tcPr>
            <w:tcW w:w="817" w:type="dxa"/>
          </w:tcPr>
          <w:p w14:paraId="72662A6E">
            <w:pPr>
              <w:adjustRightInd w:val="0"/>
              <w:snapToGrid w:val="0"/>
              <w:rPr>
                <w:rFonts w:asciiTheme="majorEastAsia" w:hAnsiTheme="majorEastAsia" w:eastAsiaTheme="majorEastAsia"/>
                <w:b/>
                <w:sz w:val="24"/>
                <w:szCs w:val="21"/>
              </w:rPr>
            </w:pPr>
          </w:p>
        </w:tc>
      </w:tr>
      <w:tr w14:paraId="2E643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309173">
            <w:pPr>
              <w:adjustRightInd w:val="0"/>
              <w:snapToGrid w:val="0"/>
              <w:rPr>
                <w:rFonts w:asciiTheme="majorEastAsia" w:hAnsiTheme="majorEastAsia" w:eastAsiaTheme="majorEastAsia"/>
                <w:b/>
                <w:sz w:val="24"/>
                <w:szCs w:val="21"/>
              </w:rPr>
            </w:pPr>
          </w:p>
        </w:tc>
        <w:tc>
          <w:tcPr>
            <w:tcW w:w="935" w:type="dxa"/>
            <w:vMerge w:val="continue"/>
          </w:tcPr>
          <w:p w14:paraId="63F28E99">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32EB7970">
            <w:pPr>
              <w:jc w:val="left"/>
              <w:rPr>
                <w:rFonts w:asciiTheme="majorEastAsia" w:hAnsiTheme="majorEastAsia" w:eastAsiaTheme="majorEastAsia" w:cstheme="majorEastAsia"/>
                <w:szCs w:val="21"/>
              </w:rPr>
            </w:pPr>
            <w:r>
              <w:rPr>
                <w:rFonts w:asciiTheme="majorEastAsia" w:hAnsiTheme="majorEastAsia" w:eastAsiaTheme="majorEastAsia" w:cstheme="majorEastAsia"/>
                <w:szCs w:val="21"/>
              </w:rPr>
              <w:t>3</w:t>
            </w:r>
            <w:r>
              <w:rPr>
                <w:rFonts w:hint="eastAsia" w:asciiTheme="majorEastAsia" w:hAnsiTheme="majorEastAsia" w:eastAsiaTheme="majorEastAsia" w:cstheme="majorEastAsia"/>
                <w:szCs w:val="21"/>
              </w:rPr>
              <w:t>.2</w:t>
            </w:r>
            <w:r>
              <w:rPr>
                <w:rFonts w:hint="eastAsia" w:ascii="宋体" w:hAnsi="宋体"/>
                <w:szCs w:val="21"/>
              </w:rPr>
              <w:t>噪声：在正常使用过程中，产生的噪声不应超过</w:t>
            </w:r>
            <w:r>
              <w:rPr>
                <w:rFonts w:hint="eastAsia"/>
                <w:szCs w:val="21"/>
              </w:rPr>
              <w:t>65dB（A）</w:t>
            </w:r>
            <w:r>
              <w:rPr>
                <w:rFonts w:hint="eastAsia" w:ascii="宋体" w:hAnsi="宋体"/>
                <w:szCs w:val="21"/>
              </w:rPr>
              <w:t>。</w:t>
            </w:r>
          </w:p>
        </w:tc>
        <w:tc>
          <w:tcPr>
            <w:tcW w:w="817" w:type="dxa"/>
          </w:tcPr>
          <w:p w14:paraId="3477BC87">
            <w:pPr>
              <w:adjustRightInd w:val="0"/>
              <w:snapToGrid w:val="0"/>
              <w:rPr>
                <w:rFonts w:asciiTheme="majorEastAsia" w:hAnsiTheme="majorEastAsia" w:eastAsiaTheme="majorEastAsia"/>
                <w:b/>
                <w:sz w:val="24"/>
                <w:szCs w:val="21"/>
              </w:rPr>
            </w:pPr>
          </w:p>
        </w:tc>
      </w:tr>
      <w:tr w14:paraId="3E649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47E85B2">
            <w:pPr>
              <w:adjustRightInd w:val="0"/>
              <w:snapToGrid w:val="0"/>
              <w:rPr>
                <w:rFonts w:asciiTheme="majorEastAsia" w:hAnsiTheme="majorEastAsia" w:eastAsiaTheme="majorEastAsia"/>
                <w:b/>
                <w:sz w:val="24"/>
                <w:szCs w:val="21"/>
              </w:rPr>
            </w:pPr>
          </w:p>
        </w:tc>
        <w:tc>
          <w:tcPr>
            <w:tcW w:w="935" w:type="dxa"/>
            <w:vMerge w:val="continue"/>
          </w:tcPr>
          <w:p w14:paraId="52C9FFE6">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030122F">
            <w:pPr>
              <w:jc w:val="left"/>
              <w:rPr>
                <w:rFonts w:asciiTheme="majorEastAsia" w:hAnsiTheme="majorEastAsia" w:eastAsiaTheme="majorEastAsia" w:cstheme="majorEastAsia"/>
                <w:szCs w:val="21"/>
                <w:highlight w:val="yellow"/>
              </w:rPr>
            </w:pPr>
            <w:r>
              <w:rPr>
                <w:rFonts w:asciiTheme="majorEastAsia" w:hAnsiTheme="majorEastAsia" w:eastAsiaTheme="majorEastAsia" w:cstheme="majorEastAsia"/>
                <w:szCs w:val="21"/>
                <w:highlight w:val="yellow"/>
              </w:rPr>
              <w:t>3</w:t>
            </w:r>
            <w:r>
              <w:rPr>
                <w:rFonts w:hint="eastAsia" w:asciiTheme="majorEastAsia" w:hAnsiTheme="majorEastAsia" w:eastAsiaTheme="majorEastAsia" w:cstheme="majorEastAsia"/>
                <w:szCs w:val="21"/>
                <w:highlight w:val="yellow"/>
              </w:rPr>
              <w:t>.3电气安全要求：</w:t>
            </w:r>
            <w:r>
              <w:rPr>
                <w:rFonts w:hint="eastAsia" w:ascii="宋体" w:hAnsi="宋体" w:cs="宋体"/>
                <w:highlight w:val="yellow"/>
              </w:rPr>
              <w:t>符合GB 9706.1-2020的要求或更优</w:t>
            </w:r>
            <w:r>
              <w:rPr>
                <w:rFonts w:hint="eastAsia" w:asciiTheme="majorEastAsia" w:hAnsiTheme="majorEastAsia" w:eastAsiaTheme="majorEastAsia" w:cstheme="majorEastAsia"/>
                <w:szCs w:val="21"/>
                <w:highlight w:val="yellow"/>
              </w:rPr>
              <w:t>。</w:t>
            </w:r>
          </w:p>
        </w:tc>
        <w:tc>
          <w:tcPr>
            <w:tcW w:w="817" w:type="dxa"/>
          </w:tcPr>
          <w:p w14:paraId="1B233BEE">
            <w:pPr>
              <w:adjustRightInd w:val="0"/>
              <w:snapToGrid w:val="0"/>
              <w:rPr>
                <w:rFonts w:asciiTheme="majorEastAsia" w:hAnsiTheme="majorEastAsia" w:eastAsiaTheme="majorEastAsia"/>
                <w:b/>
                <w:sz w:val="24"/>
                <w:szCs w:val="21"/>
                <w:highlight w:val="yellow"/>
              </w:rPr>
            </w:pPr>
            <w:r>
              <w:rPr>
                <w:rFonts w:hint="eastAsia" w:cs="宋体" w:asciiTheme="majorEastAsia" w:hAnsiTheme="majorEastAsia" w:eastAsiaTheme="majorEastAsia"/>
                <w:b/>
                <w:sz w:val="24"/>
                <w:highlight w:val="yellow"/>
              </w:rPr>
              <w:t>★</w:t>
            </w:r>
          </w:p>
        </w:tc>
      </w:tr>
      <w:tr w14:paraId="737A6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AF9E387">
            <w:pPr>
              <w:adjustRightInd w:val="0"/>
              <w:snapToGrid w:val="0"/>
              <w:rPr>
                <w:rFonts w:asciiTheme="majorEastAsia" w:hAnsiTheme="majorEastAsia" w:eastAsiaTheme="majorEastAsia"/>
                <w:b/>
                <w:sz w:val="24"/>
                <w:szCs w:val="21"/>
              </w:rPr>
            </w:pPr>
          </w:p>
        </w:tc>
        <w:tc>
          <w:tcPr>
            <w:tcW w:w="935" w:type="dxa"/>
            <w:vMerge w:val="continue"/>
          </w:tcPr>
          <w:p w14:paraId="3CFE0E53">
            <w:pPr>
              <w:adjustRightInd w:val="0"/>
              <w:snapToGrid w:val="0"/>
              <w:rPr>
                <w:rFonts w:asciiTheme="majorEastAsia" w:hAnsiTheme="majorEastAsia" w:eastAsiaTheme="majorEastAsia"/>
                <w:b/>
                <w:sz w:val="24"/>
                <w:szCs w:val="21"/>
              </w:rPr>
            </w:pPr>
          </w:p>
        </w:tc>
        <w:tc>
          <w:tcPr>
            <w:tcW w:w="7564" w:type="dxa"/>
            <w:gridSpan w:val="2"/>
            <w:shd w:val="clear" w:color="auto" w:fill="auto"/>
          </w:tcPr>
          <w:p w14:paraId="13D79ADA">
            <w:pPr>
              <w:jc w:val="left"/>
              <w:rPr>
                <w:rFonts w:asciiTheme="majorEastAsia" w:hAnsiTheme="majorEastAsia" w:eastAsiaTheme="majorEastAsia" w:cstheme="majorEastAsia"/>
                <w:szCs w:val="21"/>
                <w:highlight w:val="yellow"/>
              </w:rPr>
            </w:pPr>
            <w:r>
              <w:rPr>
                <w:rFonts w:asciiTheme="majorEastAsia" w:hAnsiTheme="majorEastAsia" w:eastAsiaTheme="majorEastAsia" w:cstheme="majorEastAsia"/>
                <w:szCs w:val="21"/>
                <w:highlight w:val="yellow"/>
              </w:rPr>
              <w:t>3</w:t>
            </w:r>
            <w:r>
              <w:rPr>
                <w:rFonts w:hint="eastAsia" w:asciiTheme="majorEastAsia" w:hAnsiTheme="majorEastAsia" w:eastAsiaTheme="majorEastAsia" w:cstheme="majorEastAsia"/>
                <w:szCs w:val="21"/>
                <w:highlight w:val="yellow"/>
              </w:rPr>
              <w:t>.4电磁兼容性：</w:t>
            </w:r>
            <w:r>
              <w:rPr>
                <w:rFonts w:hint="eastAsia" w:ascii="宋体" w:hAnsi="宋体" w:cs="宋体"/>
                <w:highlight w:val="yellow"/>
              </w:rPr>
              <w:t>符合YY 9706.102-2021的要求或更优</w:t>
            </w:r>
            <w:r>
              <w:rPr>
                <w:rFonts w:hint="eastAsia" w:asciiTheme="majorEastAsia" w:hAnsiTheme="majorEastAsia" w:eastAsiaTheme="majorEastAsia" w:cstheme="majorEastAsia"/>
                <w:szCs w:val="21"/>
                <w:highlight w:val="yellow"/>
              </w:rPr>
              <w:t>。</w:t>
            </w:r>
          </w:p>
        </w:tc>
        <w:tc>
          <w:tcPr>
            <w:tcW w:w="817" w:type="dxa"/>
          </w:tcPr>
          <w:p w14:paraId="774EFF22">
            <w:pPr>
              <w:adjustRightInd w:val="0"/>
              <w:snapToGrid w:val="0"/>
              <w:rPr>
                <w:rFonts w:asciiTheme="majorEastAsia" w:hAnsiTheme="majorEastAsia" w:eastAsiaTheme="majorEastAsia"/>
                <w:b/>
                <w:sz w:val="24"/>
                <w:szCs w:val="21"/>
                <w:highlight w:val="yellow"/>
              </w:rPr>
            </w:pPr>
            <w:r>
              <w:rPr>
                <w:rFonts w:hint="eastAsia" w:cs="宋体" w:asciiTheme="majorEastAsia" w:hAnsiTheme="majorEastAsia" w:eastAsiaTheme="majorEastAsia"/>
                <w:b/>
                <w:sz w:val="24"/>
                <w:highlight w:val="yellow"/>
              </w:rPr>
              <w:t>★</w:t>
            </w:r>
          </w:p>
        </w:tc>
      </w:tr>
      <w:tr w14:paraId="28384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658C40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70FB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AD808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520D249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合同签订后并接采购人通知__30___日历日内。</w:t>
            </w:r>
          </w:p>
        </w:tc>
      </w:tr>
      <w:tr w14:paraId="2A441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71ABF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7DEEAAFA">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2F8D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AD443F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76E3AFA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03963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684A84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20A2C347">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合同总价≥3万付款方式：</w:t>
            </w:r>
          </w:p>
          <w:p w14:paraId="1F2A504A">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签订后三个工作日内，中标人将采购合同总价5%的履约保证金汇入采购人指定账户。货到清点、安装调试验收合格正常使用后，出具全额发票，采购人凭中标人提供的完整资料，自发票到达采购人财务之日起10个工作日内，支付100%合同货款到中标人指定账户。</w:t>
            </w:r>
          </w:p>
          <w:p w14:paraId="3556E406">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中标人向采购人支付合同总价5%的履约保证金，用于补偿采购人因中标人不履行/不妥善履行合同约定义务而蒙受的损失，如中标人不履行/不妥善履行合同约定义务的，采购人有权直接从履约保证金中扣除相应违约金/损失赔偿款项。如果在合同签订后至中标人履行完毕合同约定义务事项期间未发生中标人不履行或不妥善履行合同约定义务的情况，在中标人履行完毕合同约定义务事项后，中标人向采购人提供完整资料到达采购人财务之日起10个工作日内，采购人将履约保证金无息返还给中标人。</w:t>
            </w:r>
          </w:p>
          <w:p w14:paraId="61769C69">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合同总价＜3万付款方式：</w:t>
            </w:r>
          </w:p>
          <w:p w14:paraId="49B83ED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货到清点、安装调试验收合格正常使用后，出具全额发票，采购人凭中标人提供的完整资料，自发票到达采购人财务之日起10个工作日内，支付100%合同货款到中标人指定账户。</w:t>
            </w:r>
          </w:p>
        </w:tc>
      </w:tr>
      <w:tr w14:paraId="40894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326579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6E7574A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6FBE834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55FE54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8013A6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60E272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941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3A1685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54C0877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4057BE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59DCB7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41935C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7FCAB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772E5A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4492271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EC4A08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694E9B7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8422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B3808B6">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426AC830">
            <w:pPr>
              <w:adjustRightInd w:val="0"/>
              <w:snapToGrid w:val="0"/>
              <w:rPr>
                <w:rFonts w:asciiTheme="majorEastAsia" w:hAnsiTheme="majorEastAsia" w:eastAsiaTheme="majorEastAsia"/>
                <w:sz w:val="24"/>
                <w:szCs w:val="21"/>
              </w:rPr>
            </w:pPr>
          </w:p>
        </w:tc>
        <w:tc>
          <w:tcPr>
            <w:tcW w:w="8261" w:type="dxa"/>
            <w:gridSpan w:val="2"/>
          </w:tcPr>
          <w:p w14:paraId="3B68222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      年（填写的数值≥3年）</w:t>
            </w:r>
            <w:bookmarkStart w:id="1" w:name="_GoBack"/>
            <w:bookmarkEnd w:id="1"/>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3946683">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242EABC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6ECB707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5B467AE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F93DA3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14A3C3D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156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733645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762571D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7805B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845914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74B9CB2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0CC787E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00EAD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74715B2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69EC95B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3439492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14B840AD">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5B7DC19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B4F1912">
      <w:pPr>
        <w:spacing w:line="360" w:lineRule="auto"/>
        <w:ind w:firstLine="150" w:firstLineChars="100"/>
        <w:rPr>
          <w:rFonts w:cs="方正小标宋简体" w:asciiTheme="majorEastAsia" w:hAnsiTheme="majorEastAsia" w:eastAsiaTheme="majorEastAsia"/>
          <w:sz w:val="15"/>
          <w:szCs w:val="15"/>
        </w:rPr>
      </w:pPr>
    </w:p>
    <w:p w14:paraId="1DAE48DD">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46CE8AE6">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5DE96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592A12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54926F5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w:t>
            </w:r>
          </w:p>
          <w:p w14:paraId="69213E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1B902A0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515BA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B8504B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141226E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7EFDCD5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6816026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1C3A6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F8116B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7435993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520872C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6B39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511BFE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49498BC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 _______________</w:t>
            </w:r>
          </w:p>
          <w:p w14:paraId="4F6BC2A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7A9EE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385ED0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679FCC9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506B475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4256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797623D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2E9455CC">
            <w:pPr>
              <w:adjustRightInd w:val="0"/>
              <w:snapToGrid w:val="0"/>
              <w:rPr>
                <w:rFonts w:ascii="宋体" w:hAnsi="宋体" w:cs="宋体"/>
                <w:bCs/>
                <w:color w:val="000000"/>
                <w:szCs w:val="21"/>
              </w:rPr>
            </w:pPr>
            <w:r>
              <w:rPr>
                <w:rFonts w:hint="eastAsia" w:ascii="宋体" w:hAnsi="宋体" w:cs="宋体"/>
                <w:bCs/>
                <w:color w:val="000000"/>
                <w:szCs w:val="21"/>
              </w:rPr>
              <w:t>5年</w:t>
            </w:r>
          </w:p>
        </w:tc>
      </w:tr>
      <w:tr w14:paraId="3EE1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7AD1C2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32D90D4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7213BDCD">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33A4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1960F29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08D8F19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3ECDBED1">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7B2CB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76342641">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46C20F8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378B289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4D36858A">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3CDB288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68C69D9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0453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67D7EA3A">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4F77D098">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c>
          <w:tcPr>
            <w:tcW w:w="2005" w:type="dxa"/>
          </w:tcPr>
          <w:p w14:paraId="7BEEB312">
            <w:pPr>
              <w:widowControl/>
              <w:adjustRightInd w:val="0"/>
              <w:snapToGrid w:val="0"/>
              <w:rPr>
                <w:rFonts w:cs="方正小标宋简体" w:asciiTheme="majorEastAsia" w:hAnsiTheme="majorEastAsia" w:eastAsiaTheme="majorEastAsia"/>
                <w:sz w:val="24"/>
              </w:rPr>
            </w:pPr>
          </w:p>
        </w:tc>
        <w:tc>
          <w:tcPr>
            <w:tcW w:w="1843" w:type="dxa"/>
          </w:tcPr>
          <w:p w14:paraId="366FB4B1">
            <w:pPr>
              <w:widowControl/>
              <w:adjustRightInd w:val="0"/>
              <w:snapToGrid w:val="0"/>
              <w:rPr>
                <w:rFonts w:cs="方正小标宋简体" w:asciiTheme="majorEastAsia" w:hAnsiTheme="majorEastAsia" w:eastAsiaTheme="majorEastAsia"/>
                <w:sz w:val="24"/>
              </w:rPr>
            </w:pPr>
          </w:p>
        </w:tc>
        <w:tc>
          <w:tcPr>
            <w:tcW w:w="1417" w:type="dxa"/>
          </w:tcPr>
          <w:p w14:paraId="5B45EA81">
            <w:pPr>
              <w:widowControl/>
              <w:adjustRightInd w:val="0"/>
              <w:snapToGrid w:val="0"/>
              <w:rPr>
                <w:rFonts w:cs="方正小标宋简体" w:asciiTheme="majorEastAsia" w:hAnsiTheme="majorEastAsia" w:eastAsiaTheme="majorEastAsia"/>
                <w:sz w:val="24"/>
              </w:rPr>
            </w:pPr>
          </w:p>
        </w:tc>
        <w:tc>
          <w:tcPr>
            <w:tcW w:w="1560" w:type="dxa"/>
          </w:tcPr>
          <w:p w14:paraId="4773534D">
            <w:pPr>
              <w:widowControl/>
              <w:adjustRightInd w:val="0"/>
              <w:snapToGrid w:val="0"/>
              <w:rPr>
                <w:rFonts w:cs="方正小标宋简体" w:asciiTheme="majorEastAsia" w:hAnsiTheme="majorEastAsia" w:eastAsiaTheme="majorEastAsia"/>
                <w:sz w:val="24"/>
              </w:rPr>
            </w:pPr>
          </w:p>
        </w:tc>
      </w:tr>
    </w:tbl>
    <w:p w14:paraId="5CDCF84E">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48026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CFF453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0D5DA99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340F0F34">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1E26B47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3ACB9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7B235BA">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25FC3D41">
            <w:pPr>
              <w:widowControl/>
              <w:jc w:val="center"/>
              <w:rPr>
                <w:rFonts w:asciiTheme="majorEastAsia" w:hAnsiTheme="majorEastAsia" w:eastAsiaTheme="majorEastAsia"/>
                <w:b/>
                <w:sz w:val="24"/>
              </w:rPr>
            </w:pPr>
            <w:r>
              <w:rPr>
                <w:rFonts w:hint="eastAsia" w:asciiTheme="majorEastAsia" w:hAnsiTheme="majorEastAsia" w:eastAsiaTheme="majorEastAsia"/>
                <w:b/>
                <w:sz w:val="24"/>
              </w:rPr>
              <w:t>四年延续保修合同</w:t>
            </w:r>
          </w:p>
        </w:tc>
        <w:tc>
          <w:tcPr>
            <w:tcW w:w="2605" w:type="dxa"/>
            <w:vAlign w:val="center"/>
          </w:tcPr>
          <w:p w14:paraId="082137BD">
            <w:pPr>
              <w:widowControl/>
              <w:jc w:val="center"/>
              <w:rPr>
                <w:rFonts w:cs="方正小标宋简体" w:asciiTheme="majorEastAsia" w:hAnsiTheme="majorEastAsia" w:eastAsiaTheme="majorEastAsia"/>
                <w:sz w:val="24"/>
              </w:rPr>
            </w:pPr>
          </w:p>
        </w:tc>
        <w:tc>
          <w:tcPr>
            <w:tcW w:w="2605" w:type="dxa"/>
            <w:vAlign w:val="center"/>
          </w:tcPr>
          <w:p w14:paraId="483417BB">
            <w:pPr>
              <w:widowControl/>
              <w:jc w:val="center"/>
              <w:rPr>
                <w:rFonts w:cs="方正小标宋简体" w:asciiTheme="majorEastAsia" w:hAnsiTheme="majorEastAsia" w:eastAsiaTheme="majorEastAsia"/>
                <w:sz w:val="24"/>
              </w:rPr>
            </w:pPr>
          </w:p>
        </w:tc>
      </w:tr>
    </w:tbl>
    <w:p w14:paraId="0CB15364">
      <w:pPr>
        <w:widowControl/>
        <w:rPr>
          <w:rFonts w:cs="方正小标宋简体" w:asciiTheme="majorEastAsia" w:hAnsiTheme="majorEastAsia" w:eastAsiaTheme="majorEastAsia"/>
          <w:sz w:val="36"/>
          <w:szCs w:val="36"/>
        </w:rPr>
      </w:pPr>
    </w:p>
    <w:tbl>
      <w:tblPr>
        <w:tblStyle w:val="9"/>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8723"/>
      </w:tblGrid>
      <w:tr w14:paraId="2971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jc w:val="center"/>
        </w:trPr>
        <w:tc>
          <w:tcPr>
            <w:tcW w:w="2120" w:type="dxa"/>
            <w:vAlign w:val="center"/>
          </w:tcPr>
          <w:p w14:paraId="63D41827">
            <w:pPr>
              <w:spacing w:line="276" w:lineRule="auto"/>
              <w:jc w:val="center"/>
              <w:rPr>
                <w:rFonts w:ascii="宋体" w:hAnsi="宋体"/>
                <w:b/>
                <w:bCs/>
                <w:sz w:val="28"/>
                <w:szCs w:val="28"/>
              </w:rPr>
            </w:pPr>
            <w:r>
              <w:rPr>
                <w:rFonts w:hint="eastAsia" w:ascii="宋体" w:hAnsi="宋体"/>
                <w:b/>
                <w:bCs/>
                <w:sz w:val="28"/>
                <w:szCs w:val="28"/>
              </w:rPr>
              <w:t>论证小组成员其他意见</w:t>
            </w:r>
          </w:p>
        </w:tc>
        <w:tc>
          <w:tcPr>
            <w:tcW w:w="8723" w:type="dxa"/>
          </w:tcPr>
          <w:p w14:paraId="2CA1B30F">
            <w:pPr>
              <w:spacing w:line="280" w:lineRule="exact"/>
              <w:rPr>
                <w:rFonts w:ascii="宋体" w:hAnsi="宋体"/>
                <w:bCs/>
                <w:sz w:val="18"/>
                <w:szCs w:val="18"/>
              </w:rPr>
            </w:pPr>
          </w:p>
          <w:p w14:paraId="3A68B255">
            <w:pPr>
              <w:spacing w:line="280" w:lineRule="exact"/>
              <w:rPr>
                <w:rFonts w:ascii="宋体" w:hAnsi="宋体"/>
                <w:bCs/>
                <w:sz w:val="28"/>
                <w:szCs w:val="28"/>
              </w:rPr>
            </w:pPr>
          </w:p>
        </w:tc>
      </w:tr>
      <w:tr w14:paraId="73E7C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120" w:type="dxa"/>
            <w:vAlign w:val="center"/>
          </w:tcPr>
          <w:p w14:paraId="11C7455C">
            <w:pPr>
              <w:spacing w:line="276" w:lineRule="auto"/>
              <w:jc w:val="center"/>
              <w:rPr>
                <w:rFonts w:ascii="宋体" w:hAnsi="宋体"/>
                <w:b/>
                <w:bCs/>
                <w:sz w:val="28"/>
                <w:szCs w:val="28"/>
              </w:rPr>
            </w:pPr>
            <w:r>
              <w:rPr>
                <w:rFonts w:hint="eastAsia" w:ascii="宋体" w:hAnsi="宋体"/>
                <w:b/>
                <w:bCs/>
                <w:sz w:val="28"/>
                <w:szCs w:val="28"/>
              </w:rPr>
              <w:t>论证小组汇签</w:t>
            </w:r>
          </w:p>
        </w:tc>
        <w:tc>
          <w:tcPr>
            <w:tcW w:w="8723" w:type="dxa"/>
          </w:tcPr>
          <w:p w14:paraId="570ADE4D">
            <w:pPr>
              <w:spacing w:line="280" w:lineRule="exact"/>
              <w:rPr>
                <w:rFonts w:ascii="宋体" w:hAnsi="宋体"/>
                <w:bCs/>
                <w:sz w:val="18"/>
                <w:szCs w:val="18"/>
              </w:rPr>
            </w:pPr>
          </w:p>
        </w:tc>
      </w:tr>
      <w:tr w14:paraId="7ED63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jc w:val="center"/>
        </w:trPr>
        <w:tc>
          <w:tcPr>
            <w:tcW w:w="2120" w:type="dxa"/>
            <w:vAlign w:val="center"/>
          </w:tcPr>
          <w:p w14:paraId="26CD83EC">
            <w:pPr>
              <w:spacing w:line="276" w:lineRule="auto"/>
              <w:jc w:val="center"/>
              <w:rPr>
                <w:rFonts w:ascii="宋体" w:hAnsi="宋体"/>
                <w:b/>
                <w:bCs/>
                <w:sz w:val="28"/>
                <w:szCs w:val="28"/>
              </w:rPr>
            </w:pPr>
            <w:r>
              <w:rPr>
                <w:rFonts w:hint="eastAsia" w:ascii="宋体" w:hAnsi="宋体"/>
                <w:b/>
                <w:bCs/>
                <w:sz w:val="28"/>
                <w:szCs w:val="28"/>
              </w:rPr>
              <w:t>使用科室签字</w:t>
            </w:r>
          </w:p>
        </w:tc>
        <w:tc>
          <w:tcPr>
            <w:tcW w:w="8723" w:type="dxa"/>
            <w:vAlign w:val="center"/>
          </w:tcPr>
          <w:p w14:paraId="2F0B0C24">
            <w:pPr>
              <w:spacing w:line="276" w:lineRule="auto"/>
              <w:jc w:val="left"/>
              <w:rPr>
                <w:rFonts w:ascii="宋体" w:hAnsi="宋体"/>
                <w:bCs/>
                <w:sz w:val="18"/>
                <w:szCs w:val="18"/>
              </w:rPr>
            </w:pPr>
          </w:p>
        </w:tc>
      </w:tr>
    </w:tbl>
    <w:p w14:paraId="237480ED">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38270BC">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D242BEA">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A7A1C"/>
    <w:rsid w:val="000B173B"/>
    <w:rsid w:val="000C2EB1"/>
    <w:rsid w:val="000C3D1B"/>
    <w:rsid w:val="000C427A"/>
    <w:rsid w:val="000D332B"/>
    <w:rsid w:val="000D486B"/>
    <w:rsid w:val="000D528A"/>
    <w:rsid w:val="000E2EEF"/>
    <w:rsid w:val="000E6D84"/>
    <w:rsid w:val="000F63AF"/>
    <w:rsid w:val="00100E5F"/>
    <w:rsid w:val="00114A9B"/>
    <w:rsid w:val="00117159"/>
    <w:rsid w:val="00117B29"/>
    <w:rsid w:val="00122AB5"/>
    <w:rsid w:val="00141F0D"/>
    <w:rsid w:val="00147AA8"/>
    <w:rsid w:val="00147DE0"/>
    <w:rsid w:val="00162C8C"/>
    <w:rsid w:val="00164210"/>
    <w:rsid w:val="00172A27"/>
    <w:rsid w:val="0017347E"/>
    <w:rsid w:val="00173505"/>
    <w:rsid w:val="001755A1"/>
    <w:rsid w:val="0018628F"/>
    <w:rsid w:val="001A535D"/>
    <w:rsid w:val="001B112F"/>
    <w:rsid w:val="001B29FF"/>
    <w:rsid w:val="001F45BE"/>
    <w:rsid w:val="001F5D4E"/>
    <w:rsid w:val="00201CE8"/>
    <w:rsid w:val="00207531"/>
    <w:rsid w:val="00213A4E"/>
    <w:rsid w:val="00214240"/>
    <w:rsid w:val="0022066A"/>
    <w:rsid w:val="00223188"/>
    <w:rsid w:val="00223564"/>
    <w:rsid w:val="00223FB4"/>
    <w:rsid w:val="002243DF"/>
    <w:rsid w:val="0024191C"/>
    <w:rsid w:val="00244C7F"/>
    <w:rsid w:val="00262E90"/>
    <w:rsid w:val="002850D0"/>
    <w:rsid w:val="002956A8"/>
    <w:rsid w:val="0029701C"/>
    <w:rsid w:val="00297C31"/>
    <w:rsid w:val="002A0154"/>
    <w:rsid w:val="002B3785"/>
    <w:rsid w:val="002B7B23"/>
    <w:rsid w:val="002F5D5E"/>
    <w:rsid w:val="00307648"/>
    <w:rsid w:val="003213BB"/>
    <w:rsid w:val="00321F08"/>
    <w:rsid w:val="00322AE6"/>
    <w:rsid w:val="00326BC1"/>
    <w:rsid w:val="00334AA0"/>
    <w:rsid w:val="00352B55"/>
    <w:rsid w:val="00354F4C"/>
    <w:rsid w:val="00376AC2"/>
    <w:rsid w:val="00381F5B"/>
    <w:rsid w:val="003942D3"/>
    <w:rsid w:val="0039648A"/>
    <w:rsid w:val="003D442D"/>
    <w:rsid w:val="003D7EF0"/>
    <w:rsid w:val="004164F9"/>
    <w:rsid w:val="00423853"/>
    <w:rsid w:val="00423C2F"/>
    <w:rsid w:val="00446E5F"/>
    <w:rsid w:val="00455236"/>
    <w:rsid w:val="00456EA0"/>
    <w:rsid w:val="00465CFB"/>
    <w:rsid w:val="00465E46"/>
    <w:rsid w:val="00472034"/>
    <w:rsid w:val="00493C28"/>
    <w:rsid w:val="00497BF4"/>
    <w:rsid w:val="004B1081"/>
    <w:rsid w:val="004B3240"/>
    <w:rsid w:val="004B3CFF"/>
    <w:rsid w:val="004C1160"/>
    <w:rsid w:val="004C74AE"/>
    <w:rsid w:val="004D0A11"/>
    <w:rsid w:val="004D3B96"/>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B3EAD"/>
    <w:rsid w:val="005C211C"/>
    <w:rsid w:val="005C239D"/>
    <w:rsid w:val="005C57CC"/>
    <w:rsid w:val="005D1F81"/>
    <w:rsid w:val="005D23BD"/>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755A7"/>
    <w:rsid w:val="007916FE"/>
    <w:rsid w:val="00793785"/>
    <w:rsid w:val="007A0C07"/>
    <w:rsid w:val="007A2E18"/>
    <w:rsid w:val="007A7BFE"/>
    <w:rsid w:val="007B1DF4"/>
    <w:rsid w:val="007C4096"/>
    <w:rsid w:val="007D196F"/>
    <w:rsid w:val="007D65D9"/>
    <w:rsid w:val="007E274A"/>
    <w:rsid w:val="0080050C"/>
    <w:rsid w:val="008019A4"/>
    <w:rsid w:val="008120B0"/>
    <w:rsid w:val="00813523"/>
    <w:rsid w:val="00856026"/>
    <w:rsid w:val="00857B45"/>
    <w:rsid w:val="00871F5E"/>
    <w:rsid w:val="00872D2F"/>
    <w:rsid w:val="00874934"/>
    <w:rsid w:val="00876B02"/>
    <w:rsid w:val="008802B6"/>
    <w:rsid w:val="008964A3"/>
    <w:rsid w:val="008B74EE"/>
    <w:rsid w:val="008C28A8"/>
    <w:rsid w:val="008C7C3D"/>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92D"/>
    <w:rsid w:val="00991D87"/>
    <w:rsid w:val="00991F74"/>
    <w:rsid w:val="00996AC8"/>
    <w:rsid w:val="009978E3"/>
    <w:rsid w:val="009A130E"/>
    <w:rsid w:val="009A1DE2"/>
    <w:rsid w:val="009A1F6C"/>
    <w:rsid w:val="009B5AA8"/>
    <w:rsid w:val="009E6FD2"/>
    <w:rsid w:val="009F5BF6"/>
    <w:rsid w:val="00A043A8"/>
    <w:rsid w:val="00A0782D"/>
    <w:rsid w:val="00A17D1D"/>
    <w:rsid w:val="00A303A3"/>
    <w:rsid w:val="00A619BE"/>
    <w:rsid w:val="00A903C7"/>
    <w:rsid w:val="00AA17CF"/>
    <w:rsid w:val="00AA4B4A"/>
    <w:rsid w:val="00AA6962"/>
    <w:rsid w:val="00AB2610"/>
    <w:rsid w:val="00AF5FA9"/>
    <w:rsid w:val="00AF7A87"/>
    <w:rsid w:val="00B01564"/>
    <w:rsid w:val="00B06C01"/>
    <w:rsid w:val="00B21F51"/>
    <w:rsid w:val="00B22795"/>
    <w:rsid w:val="00B25EF8"/>
    <w:rsid w:val="00B63890"/>
    <w:rsid w:val="00B73761"/>
    <w:rsid w:val="00B74119"/>
    <w:rsid w:val="00B82233"/>
    <w:rsid w:val="00BA17A1"/>
    <w:rsid w:val="00BA5B17"/>
    <w:rsid w:val="00BB0859"/>
    <w:rsid w:val="00BC3794"/>
    <w:rsid w:val="00BC4EC7"/>
    <w:rsid w:val="00BC5AE8"/>
    <w:rsid w:val="00BD2D54"/>
    <w:rsid w:val="00BD326A"/>
    <w:rsid w:val="00BE7857"/>
    <w:rsid w:val="00BF1CC2"/>
    <w:rsid w:val="00BF69AA"/>
    <w:rsid w:val="00C03748"/>
    <w:rsid w:val="00C05356"/>
    <w:rsid w:val="00C11198"/>
    <w:rsid w:val="00C13828"/>
    <w:rsid w:val="00C32BEC"/>
    <w:rsid w:val="00C35949"/>
    <w:rsid w:val="00C46532"/>
    <w:rsid w:val="00C52EBE"/>
    <w:rsid w:val="00C55020"/>
    <w:rsid w:val="00C619DD"/>
    <w:rsid w:val="00C67D6C"/>
    <w:rsid w:val="00C73FA2"/>
    <w:rsid w:val="00C77FD8"/>
    <w:rsid w:val="00CF09E5"/>
    <w:rsid w:val="00D05083"/>
    <w:rsid w:val="00D16EEC"/>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8067C"/>
    <w:rsid w:val="00E826D5"/>
    <w:rsid w:val="00E93F8F"/>
    <w:rsid w:val="00ED7224"/>
    <w:rsid w:val="00EF0BF4"/>
    <w:rsid w:val="00F0149B"/>
    <w:rsid w:val="00F07294"/>
    <w:rsid w:val="00F1549D"/>
    <w:rsid w:val="00F225D8"/>
    <w:rsid w:val="00F23DB0"/>
    <w:rsid w:val="00F30025"/>
    <w:rsid w:val="00F464BC"/>
    <w:rsid w:val="00F506CF"/>
    <w:rsid w:val="00F60CB5"/>
    <w:rsid w:val="00F65BCF"/>
    <w:rsid w:val="00F66FBC"/>
    <w:rsid w:val="00F6788A"/>
    <w:rsid w:val="00F81403"/>
    <w:rsid w:val="00F83533"/>
    <w:rsid w:val="00F945B0"/>
    <w:rsid w:val="00FB421E"/>
    <w:rsid w:val="00FC40CA"/>
    <w:rsid w:val="00FD0656"/>
    <w:rsid w:val="00FD23ED"/>
    <w:rsid w:val="00FE779F"/>
    <w:rsid w:val="00FF30DB"/>
    <w:rsid w:val="01AC4168"/>
    <w:rsid w:val="0611217C"/>
    <w:rsid w:val="07AE3385"/>
    <w:rsid w:val="0F8E7447"/>
    <w:rsid w:val="119B6051"/>
    <w:rsid w:val="12A25084"/>
    <w:rsid w:val="142B2292"/>
    <w:rsid w:val="15FB47D0"/>
    <w:rsid w:val="19A66D0D"/>
    <w:rsid w:val="1A385FE8"/>
    <w:rsid w:val="1E12700E"/>
    <w:rsid w:val="21971856"/>
    <w:rsid w:val="22E10C1D"/>
    <w:rsid w:val="27E05C43"/>
    <w:rsid w:val="2B252436"/>
    <w:rsid w:val="2F523954"/>
    <w:rsid w:val="359B56E2"/>
    <w:rsid w:val="366D6BB6"/>
    <w:rsid w:val="3EB2662C"/>
    <w:rsid w:val="445F60B6"/>
    <w:rsid w:val="47774A69"/>
    <w:rsid w:val="4AE85776"/>
    <w:rsid w:val="4E280CF3"/>
    <w:rsid w:val="566D4594"/>
    <w:rsid w:val="58242AE0"/>
    <w:rsid w:val="58AB396B"/>
    <w:rsid w:val="5BDE3A84"/>
    <w:rsid w:val="5C483C8E"/>
    <w:rsid w:val="623C21AD"/>
    <w:rsid w:val="663B31C1"/>
    <w:rsid w:val="66AC0259"/>
    <w:rsid w:val="6AFD60D5"/>
    <w:rsid w:val="6F633413"/>
    <w:rsid w:val="6F9E571F"/>
    <w:rsid w:val="70321911"/>
    <w:rsid w:val="73374A1C"/>
    <w:rsid w:val="738F7392"/>
    <w:rsid w:val="762C283F"/>
    <w:rsid w:val="767D5D1E"/>
    <w:rsid w:val="76E03ABB"/>
    <w:rsid w:val="7915610B"/>
    <w:rsid w:val="7A61427C"/>
    <w:rsid w:val="7A6F030F"/>
    <w:rsid w:val="7A89169D"/>
    <w:rsid w:val="7EBBE153"/>
    <w:rsid w:val="7F4C1D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link w:val="23"/>
    <w:qFormat/>
    <w:uiPriority w:val="0"/>
    <w:pPr>
      <w:adjustRightInd w:val="0"/>
      <w:snapToGrid w:val="0"/>
      <w:spacing w:line="500" w:lineRule="atLeast"/>
    </w:pPr>
    <w:rPr>
      <w:rFonts w:ascii="宋体"/>
      <w:bCs/>
      <w:sz w:val="28"/>
    </w:rPr>
  </w:style>
  <w:style w:type="paragraph" w:styleId="4">
    <w:name w:val="Plain Text"/>
    <w:basedOn w:val="1"/>
    <w:link w:val="18"/>
    <w:unhideWhenUsed/>
    <w:qFormat/>
    <w:uiPriority w:val="99"/>
    <w:rPr>
      <w:rFonts w:ascii="宋体" w:hAnsi="Courier New" w:cs="Courier New"/>
      <w:szCs w:val="21"/>
    </w:rPr>
  </w:style>
  <w:style w:type="paragraph" w:styleId="5">
    <w:name w:val="Balloon Text"/>
    <w:basedOn w:val="1"/>
    <w:link w:val="20"/>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2"/>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paragraph" w:customStyle="1" w:styleId="14">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15">
    <w:name w:val="页眉 字符"/>
    <w:basedOn w:val="11"/>
    <w:link w:val="7"/>
    <w:qFormat/>
    <w:uiPriority w:val="99"/>
    <w:rPr>
      <w:sz w:val="18"/>
      <w:szCs w:val="18"/>
    </w:rPr>
  </w:style>
  <w:style w:type="character" w:customStyle="1" w:styleId="16">
    <w:name w:val="页脚 字符"/>
    <w:basedOn w:val="11"/>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字符"/>
    <w:basedOn w:val="11"/>
    <w:link w:val="4"/>
    <w:qFormat/>
    <w:uiPriority w:val="99"/>
    <w:rPr>
      <w:rFonts w:ascii="宋体" w:hAnsi="Courier New" w:eastAsia="宋体" w:cs="Courier New"/>
      <w:szCs w:val="21"/>
    </w:rPr>
  </w:style>
  <w:style w:type="paragraph" w:customStyle="1" w:styleId="19">
    <w:name w:val="样式1 Char Char"/>
    <w:basedOn w:val="1"/>
    <w:next w:val="4"/>
    <w:qFormat/>
    <w:uiPriority w:val="0"/>
    <w:pPr>
      <w:spacing w:line="360" w:lineRule="auto"/>
      <w:ind w:firstLine="516" w:firstLineChars="215"/>
    </w:pPr>
    <w:rPr>
      <w:sz w:val="24"/>
    </w:rPr>
  </w:style>
  <w:style w:type="character" w:customStyle="1" w:styleId="20">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1">
    <w:name w:val="批注文字 字符"/>
    <w:basedOn w:val="11"/>
    <w:link w:val="2"/>
    <w:qFormat/>
    <w:uiPriority w:val="99"/>
    <w:rPr>
      <w:rFonts w:ascii="Times New Roman" w:hAnsi="Times New Roman" w:eastAsia="宋体" w:cs="Times New Roman"/>
      <w:kern w:val="2"/>
      <w:sz w:val="21"/>
      <w:szCs w:val="24"/>
    </w:rPr>
  </w:style>
  <w:style w:type="character" w:customStyle="1" w:styleId="22">
    <w:name w:val="批注主题 字符"/>
    <w:basedOn w:val="21"/>
    <w:link w:val="8"/>
    <w:semiHidden/>
    <w:qFormat/>
    <w:uiPriority w:val="99"/>
    <w:rPr>
      <w:rFonts w:ascii="Times New Roman" w:hAnsi="Times New Roman" w:eastAsia="宋体" w:cs="Times New Roman"/>
      <w:b/>
      <w:bCs/>
      <w:kern w:val="2"/>
      <w:sz w:val="21"/>
      <w:szCs w:val="24"/>
    </w:rPr>
  </w:style>
  <w:style w:type="character" w:customStyle="1" w:styleId="23">
    <w:name w:val="正文文本 字符"/>
    <w:basedOn w:val="11"/>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character" w:customStyle="1" w:styleId="25">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4961</Words>
  <Characters>5201</Characters>
  <Lines>40</Lines>
  <Paragraphs>11</Paragraphs>
  <TotalTime>2</TotalTime>
  <ScaleCrop>false</ScaleCrop>
  <LinksUpToDate>false</LinksUpToDate>
  <CharactersWithSpaces>5304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2025-06-13T13:20:00Z</dcterms:created>
  <dc:creator>陈蕾</dc:creator>
  <cp:lastModifiedBy>YU</cp:lastModifiedBy>
  <cp:lastPrinted>2025-08-05T06:25:00Z</cp:lastPrinted>
  <dcterms:modified xsi:type="dcterms:W3CDTF">2025-12-31T03:37:00Z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245C81020E0443658F437B815688C724_13</vt:lpwstr>
  </property>
</Properties>
</file>