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9193" w:type="dxa"/>
        <w:jc w:val="center"/>
        <w:tblLayout w:type="fixed"/>
        <w:tblCellMar>
          <w:top w:w="56" w:type="dxa"/>
          <w:left w:w="96" w:type="dxa"/>
          <w:bottom w:w="56" w:type="dxa"/>
          <w:right w:w="96" w:type="dxa"/>
        </w:tblCellMar>
      </w:tblPr>
      <w:tblGrid>
        <w:gridCol w:w="705"/>
        <w:gridCol w:w="2226"/>
        <w:gridCol w:w="2609"/>
        <w:gridCol w:w="1605"/>
        <w:gridCol w:w="2048"/>
      </w:tblGrid>
      <w:tr w14:paraId="07EE5F2D">
        <w:tblPrEx>
          <w:tblCellMar>
            <w:top w:w="56" w:type="dxa"/>
            <w:left w:w="96" w:type="dxa"/>
            <w:bottom w:w="56" w:type="dxa"/>
            <w:right w:w="96" w:type="dxa"/>
          </w:tblCellMar>
        </w:tblPrEx>
        <w:trPr>
          <w:trHeight w:val="0" w:hRule="atLeast"/>
          <w:tblHeader/>
          <w:jc w:val="center"/>
        </w:trPr>
        <w:tc>
          <w:tcPr>
            <w:tcW w:w="919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A387C4">
            <w:pPr>
              <w:snapToGrid w:val="0"/>
              <w:jc w:val="center"/>
              <w:rPr>
                <w:rFonts w:hint="eastAsia" w:eastAsia="宋体"/>
                <w:b/>
                <w:color w:val="000000"/>
                <w:sz w:val="30"/>
                <w:szCs w:val="30"/>
                <w:lang w:eastAsia="zh-CN"/>
              </w:rPr>
            </w:pPr>
            <w:r>
              <w:rPr>
                <w:rFonts w:hint="eastAsia" w:eastAsia="宋体"/>
                <w:b/>
                <w:color w:val="000000"/>
                <w:sz w:val="30"/>
                <w:szCs w:val="30"/>
                <w:lang w:eastAsia="zh-CN"/>
              </w:rPr>
              <w:t>2025年第</w:t>
            </w:r>
            <w:r>
              <w:rPr>
                <w:rFonts w:hint="eastAsia" w:eastAsia="宋体"/>
                <w:b/>
                <w:color w:val="000000"/>
                <w:sz w:val="30"/>
                <w:szCs w:val="30"/>
                <w:lang w:val="en-US" w:eastAsia="zh-CN"/>
              </w:rPr>
              <w:t>72</w:t>
            </w:r>
            <w:r>
              <w:rPr>
                <w:rFonts w:hint="eastAsia" w:eastAsia="宋体"/>
                <w:b/>
                <w:color w:val="000000"/>
                <w:sz w:val="30"/>
                <w:szCs w:val="30"/>
                <w:lang w:eastAsia="zh-CN"/>
              </w:rPr>
              <w:t>期医用耗材</w:t>
            </w:r>
          </w:p>
        </w:tc>
      </w:tr>
      <w:tr w14:paraId="3A2FB4D9">
        <w:tblPrEx>
          <w:tblCellMar>
            <w:top w:w="56" w:type="dxa"/>
            <w:left w:w="96" w:type="dxa"/>
            <w:bottom w:w="56" w:type="dxa"/>
            <w:right w:w="96" w:type="dxa"/>
          </w:tblCellMar>
        </w:tblPrEx>
        <w:trPr>
          <w:trHeight w:val="0" w:hRule="atLeast"/>
          <w:tblHeade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snapToGrid w:val="0"/>
              <w:jc w:val="center"/>
              <w:textAlignment w:val="center"/>
              <w:rPr>
                <w:rFonts w:hint="eastAsia" w:ascii="宋体" w:hAnsi="宋体" w:eastAsia="宋体" w:cs="宋体"/>
                <w:color w:val="000000"/>
                <w:kern w:val="0"/>
                <w:sz w:val="20"/>
                <w:szCs w:val="20"/>
                <w:lang w:eastAsia="zh-CN"/>
              </w:rPr>
            </w:pPr>
            <w:r>
              <w:rPr>
                <w:rFonts w:hint="eastAsia" w:ascii="宋体" w:hAnsi="宋体" w:eastAsia="宋体" w:cs="宋体"/>
                <w:color w:val="000000"/>
                <w:kern w:val="0"/>
                <w:sz w:val="20"/>
                <w:szCs w:val="20"/>
                <w:lang w:eastAsia="zh-CN"/>
              </w:rPr>
              <w:t>序号</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8842D07">
            <w:pPr>
              <w:snapToGrid w:val="0"/>
              <w:jc w:val="center"/>
              <w:rPr>
                <w:rFonts w:hint="eastAsia" w:eastAsia="宋体"/>
                <w:color w:val="000000"/>
                <w:sz w:val="22"/>
                <w:lang w:eastAsia="zh-CN"/>
              </w:rPr>
            </w:pPr>
            <w:r>
              <w:rPr>
                <w:rFonts w:hint="eastAsia" w:eastAsia="宋体"/>
                <w:color w:val="000000"/>
                <w:sz w:val="22"/>
                <w:lang w:eastAsia="zh-CN"/>
              </w:rPr>
              <w:t>项目编号</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44A4AF15">
            <w:pPr>
              <w:snapToGrid w:val="0"/>
              <w:jc w:val="center"/>
              <w:rPr>
                <w:rFonts w:hint="eastAsia" w:eastAsia="宋体"/>
                <w:color w:val="000000"/>
                <w:sz w:val="22"/>
                <w:lang w:eastAsia="zh-CN"/>
              </w:rPr>
            </w:pPr>
            <w:r>
              <w:rPr>
                <w:rFonts w:hint="eastAsia" w:eastAsia="宋体"/>
                <w:color w:val="000000"/>
                <w:sz w:val="22"/>
                <w:lang w:eastAsia="zh-CN"/>
              </w:rPr>
              <w:t>项目名称</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8EB382C">
            <w:pPr>
              <w:snapToGrid w:val="0"/>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B1804E1">
            <w:pPr>
              <w:snapToGrid w:val="0"/>
              <w:jc w:val="center"/>
              <w:rPr>
                <w:rFonts w:hint="eastAsia" w:eastAsia="宋体"/>
                <w:color w:val="000000"/>
                <w:sz w:val="22"/>
                <w:lang w:val="en-US" w:eastAsia="zh-CN"/>
              </w:rPr>
            </w:pPr>
            <w:r>
              <w:rPr>
                <w:rFonts w:hint="eastAsia" w:eastAsia="宋体"/>
                <w:color w:val="000000"/>
                <w:sz w:val="22"/>
                <w:lang w:eastAsia="zh-CN"/>
              </w:rPr>
              <w:t>是否执行深圳市阳光平台线上采购</w:t>
            </w:r>
          </w:p>
        </w:tc>
      </w:tr>
      <w:tr w14:paraId="7F8ADA96">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snapToGrid w:val="0"/>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5EC63AA">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ZCB2025-HC72-317</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072948B5">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刻痕球囊扩张导管</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13123A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血管通路专科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D92ED2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4226DF42">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10CA6856">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8</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EE83B0E">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子宫颈扩张球囊</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40AD6D1">
            <w:pPr>
              <w:keepNext w:val="0"/>
              <w:keepLines w:val="0"/>
              <w:widowControl/>
              <w:suppressLineNumbers w:val="0"/>
              <w:jc w:val="center"/>
              <w:textAlignment w:val="center"/>
              <w:rPr>
                <w:rFonts w:hint="default"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DC105E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35A9BDA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1190F77">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9</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20F6319">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阻抗控制子宫内膜消融设备（一次性双极消融器）</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350818EF">
            <w:pPr>
              <w:keepNext w:val="0"/>
              <w:keepLines w:val="0"/>
              <w:widowControl/>
              <w:suppressLineNumbers w:val="0"/>
              <w:jc w:val="center"/>
              <w:textAlignment w:val="center"/>
              <w:rPr>
                <w:rFonts w:hint="default"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5D1005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FDCCE0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995DF18">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20</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FD28274">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一次性使用电圈套器</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16C5D10">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消化内镜中心</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F9E673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62063F47">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62253F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21</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3EDC4BD3">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一次性使用体外引流系统</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08B9FC1C">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A6F9C9B">
            <w:pPr>
              <w:widowControl/>
              <w:snapToGrid w:val="0"/>
              <w:jc w:val="center"/>
              <w:textAlignment w:val="center"/>
              <w:rPr>
                <w:rFonts w:hint="default" w:eastAsia="宋体"/>
                <w:color w:val="000000"/>
                <w:kern w:val="0"/>
                <w:sz w:val="22"/>
                <w:szCs w:val="22"/>
                <w:lang w:val="en-US" w:eastAsia="zh-CN" w:bidi="ar"/>
              </w:rPr>
            </w:pPr>
            <w:r>
              <w:rPr>
                <w:rFonts w:hint="eastAsia" w:asciiTheme="minorHAnsi" w:hAnsiTheme="minorHAnsi" w:cstheme="minorBidi"/>
                <w:color w:val="000000"/>
                <w:sz w:val="22"/>
                <w:szCs w:val="22"/>
              </w:rPr>
              <w:t>是</w:t>
            </w:r>
          </w:p>
        </w:tc>
      </w:tr>
    </w:tbl>
    <w:p w14:paraId="2D7DAA4E">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11</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72</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72</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ascii="Times New Roman" w:hAnsi="Times New Roman" w:cs="Times New Roman"/>
          <w:color w:val="auto"/>
          <w:szCs w:val="21"/>
          <w:highlight w:val="none"/>
          <w:lang w:val="en-US" w:eastAsia="zh-CN"/>
        </w:rPr>
        <w:t>2025年</w:t>
      </w:r>
      <w:r>
        <w:rPr>
          <w:rFonts w:hint="eastAsia" w:cs="Times New Roman"/>
          <w:color w:val="auto"/>
          <w:szCs w:val="21"/>
          <w:highlight w:val="none"/>
          <w:lang w:val="en-US" w:eastAsia="zh-CN"/>
        </w:rPr>
        <w:t>11</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5</w:t>
      </w:r>
      <w:r>
        <w:rPr>
          <w:rFonts w:hint="eastAsia" w:ascii="Times New Roman" w:hAnsi="Times New Roman" w:cs="Times New Roman"/>
          <w:color w:val="auto"/>
          <w:szCs w:val="21"/>
          <w:highlight w:val="none"/>
          <w:lang w:val="en-US" w:eastAsia="zh-CN"/>
        </w:rPr>
        <w:t>日至</w:t>
      </w:r>
      <w:r>
        <w:rPr>
          <w:rFonts w:hint="eastAsia" w:cs="Times New Roman"/>
          <w:color w:val="auto"/>
          <w:szCs w:val="21"/>
          <w:highlight w:val="none"/>
          <w:lang w:val="en-US" w:eastAsia="zh-CN"/>
        </w:rPr>
        <w:t>11</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7</w:t>
      </w:r>
      <w:r>
        <w:rPr>
          <w:rFonts w:hint="eastAsia" w:ascii="Times New Roman" w:hAnsi="Times New Roman" w:cs="Times New Roman"/>
          <w:color w:val="auto"/>
          <w:szCs w:val="21"/>
          <w:highlight w:val="none"/>
          <w:lang w:val="en-US" w:eastAsia="zh-CN"/>
        </w:rPr>
        <w:t>日</w:t>
      </w:r>
      <w:r>
        <w:rPr>
          <w:rFonts w:hint="eastAsia" w:cs="Times New Roman"/>
          <w:color w:val="auto"/>
          <w:szCs w:val="21"/>
          <w:highlight w:val="none"/>
          <w:lang w:val="en-US" w:eastAsia="zh-CN"/>
        </w:rPr>
        <w:t>17：</w:t>
      </w:r>
      <w:r>
        <w:rPr>
          <w:rFonts w:hint="eastAsia" w:ascii="Times New Roman" w:hAnsi="Times New Roman" w:cs="Times New Roman"/>
          <w:color w:val="auto"/>
          <w:szCs w:val="21"/>
          <w:highlight w:val="none"/>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auto"/>
          <w:szCs w:val="21"/>
          <w:highlight w:val="none"/>
          <w:lang w:val="en-US" w:eastAsia="zh-CN"/>
        </w:rPr>
        <w:t>80416622</w:t>
      </w:r>
      <w:r>
        <w:rPr>
          <w:rFonts w:hint="eastAsia"/>
          <w:color w:val="auto"/>
          <w:szCs w:val="21"/>
          <w:highlight w:val="none"/>
        </w:rPr>
        <w:t>@</w:t>
      </w:r>
      <w:r>
        <w:rPr>
          <w:rFonts w:hint="eastAsia"/>
          <w:color w:val="auto"/>
          <w:szCs w:val="21"/>
          <w:highlight w:val="none"/>
          <w:lang w:val="en-US" w:eastAsia="zh-CN"/>
        </w:rPr>
        <w:t>qq</w:t>
      </w:r>
      <w:r>
        <w:rPr>
          <w:rFonts w:hint="eastAsia"/>
          <w:color w:val="auto"/>
          <w:szCs w:val="21"/>
          <w:highlight w:val="none"/>
        </w:rPr>
        <w:t>.com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312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w:t>
      </w:r>
      <w:r>
        <w:rPr>
          <w:rFonts w:hint="eastAsia" w:ascii="Times New Roman" w:hAnsi="Times New Roman" w:cs="Times New Roman"/>
          <w:b/>
          <w:color w:val="auto"/>
          <w:highlight w:val="none"/>
          <w:lang w:val="en-US" w:eastAsia="zh-CN"/>
        </w:rPr>
        <w:t>2025年</w:t>
      </w:r>
      <w:r>
        <w:rPr>
          <w:rFonts w:hint="eastAsia" w:cs="Times New Roman"/>
          <w:b/>
          <w:color w:val="auto"/>
          <w:highlight w:val="none"/>
          <w:lang w:val="en-US" w:eastAsia="zh-CN"/>
        </w:rPr>
        <w:t xml:space="preserve"> 11</w:t>
      </w:r>
      <w:r>
        <w:rPr>
          <w:rFonts w:hint="eastAsia" w:ascii="Times New Roman" w:hAnsi="Times New Roman" w:cs="Times New Roman"/>
          <w:b/>
          <w:color w:val="auto"/>
          <w:highlight w:val="none"/>
          <w:lang w:val="en-US" w:eastAsia="zh-CN"/>
        </w:rPr>
        <w:t>月</w:t>
      </w:r>
      <w:r>
        <w:rPr>
          <w:rFonts w:hint="eastAsia" w:cs="Times New Roman"/>
          <w:b/>
          <w:color w:val="auto"/>
          <w:highlight w:val="none"/>
          <w:lang w:val="en-US" w:eastAsia="zh-CN"/>
        </w:rPr>
        <w:t xml:space="preserve"> 14</w:t>
      </w:r>
      <w:r>
        <w:rPr>
          <w:rFonts w:hint="eastAsia" w:ascii="Times New Roman" w:hAnsi="Times New Roman" w:cs="Times New Roman"/>
          <w:b/>
          <w:color w:val="auto"/>
          <w:highlight w:val="none"/>
          <w:lang w:val="en-US" w:eastAsia="zh-CN"/>
        </w:rPr>
        <w:t>日</w:t>
      </w:r>
      <w:r>
        <w:rPr>
          <w:rFonts w:hint="eastAsia" w:cs="Times New Roman"/>
          <w:b/>
          <w:color w:val="auto"/>
          <w:highlight w:val="none"/>
          <w:lang w:val="en-US" w:eastAsia="zh-CN"/>
        </w:rPr>
        <w:t>8</w:t>
      </w:r>
      <w:r>
        <w:rPr>
          <w:rFonts w:hint="eastAsia" w:ascii="Times New Roman" w:hAnsi="Times New Roman" w:cs="Times New Roman"/>
          <w:b/>
          <w:color w:val="auto"/>
          <w:highlight w:val="none"/>
          <w:lang w:val="en-US" w:eastAsia="zh-CN"/>
        </w:rPr>
        <w:t>点30分，福田区福华路92号福星北小区中山大学附属第八医院(深圳福田)行政楼</w:t>
      </w:r>
      <w:r>
        <w:rPr>
          <w:rFonts w:hint="eastAsia" w:cs="Times New Roman"/>
          <w:b/>
          <w:color w:val="auto"/>
          <w:highlight w:val="none"/>
          <w:lang w:val="en-US" w:eastAsia="zh-CN"/>
        </w:rPr>
        <w:t>3</w:t>
      </w:r>
      <w:r>
        <w:rPr>
          <w:rFonts w:hint="eastAsia" w:ascii="Times New Roman" w:hAnsi="Times New Roman" w:cs="Times New Roman"/>
          <w:b/>
          <w:color w:val="auto"/>
          <w:highlight w:val="none"/>
          <w:lang w:val="en-US" w:eastAsia="zh-CN"/>
        </w:rPr>
        <w:t>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12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13632777903</w:t>
      </w:r>
    </w:p>
    <w:p w14:paraId="33B40B8F">
      <w:pPr>
        <w:adjustRightInd w:val="0"/>
        <w:snapToGrid w:val="0"/>
        <w:spacing w:line="420" w:lineRule="exact"/>
        <w:ind w:left="420"/>
        <w:jc w:val="left"/>
        <w:rPr>
          <w:rFonts w:hint="default" w:eastAsiaTheme="minorEastAsia"/>
          <w:lang w:val="en-US" w:eastAsia="zh-CN"/>
        </w:rPr>
      </w:pPr>
    </w:p>
    <w:p w14:paraId="3D3BCC02">
      <w:pPr>
        <w:pStyle w:val="11"/>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383844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ZCB2025-HC72-317</w:t>
            </w:r>
          </w:p>
        </w:tc>
        <w:tc>
          <w:tcPr>
            <w:tcW w:w="1037" w:type="dxa"/>
            <w:vAlign w:val="center"/>
          </w:tcPr>
          <w:p w14:paraId="1C6DAB2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刻痕球囊扩张导管</w:t>
            </w:r>
          </w:p>
        </w:tc>
        <w:tc>
          <w:tcPr>
            <w:tcW w:w="1636"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6800（详见原在库目录）</w:t>
            </w:r>
          </w:p>
        </w:tc>
        <w:tc>
          <w:tcPr>
            <w:tcW w:w="2278" w:type="dxa"/>
            <w:vAlign w:val="center"/>
          </w:tcPr>
          <w:p w14:paraId="0BCBE25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用于髂动脉、股动脉、髂股动脉、腘动脉、腘下动脉和肾动脉内等血管扩张或瓣膜成形。</w:t>
            </w:r>
          </w:p>
        </w:tc>
        <w:tc>
          <w:tcPr>
            <w:tcW w:w="1138"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DB34F8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血管通路专科</w:t>
            </w:r>
          </w:p>
        </w:tc>
        <w:tc>
          <w:tcPr>
            <w:tcW w:w="1565"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29AF7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8</w:t>
            </w:r>
          </w:p>
        </w:tc>
        <w:tc>
          <w:tcPr>
            <w:tcW w:w="1037" w:type="dxa"/>
            <w:vAlign w:val="center"/>
          </w:tcPr>
          <w:p w14:paraId="7B735C9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子宫颈扩张球囊</w:t>
            </w:r>
          </w:p>
        </w:tc>
        <w:tc>
          <w:tcPr>
            <w:tcW w:w="1636" w:type="dxa"/>
            <w:vAlign w:val="center"/>
          </w:tcPr>
          <w:p w14:paraId="70BEB2F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350（详见原在库目录）</w:t>
            </w:r>
          </w:p>
        </w:tc>
        <w:tc>
          <w:tcPr>
            <w:tcW w:w="2278" w:type="dxa"/>
            <w:vAlign w:val="center"/>
          </w:tcPr>
          <w:p w14:paraId="02BB4BE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用于足月引产前对成熟度不佳的宫颈进行宫颈管的机械扩张。</w:t>
            </w:r>
          </w:p>
        </w:tc>
        <w:tc>
          <w:tcPr>
            <w:tcW w:w="1138"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6D393A4">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妇科</w:t>
            </w:r>
          </w:p>
        </w:tc>
        <w:tc>
          <w:tcPr>
            <w:tcW w:w="1565"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E25BC5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9</w:t>
            </w:r>
          </w:p>
        </w:tc>
        <w:tc>
          <w:tcPr>
            <w:tcW w:w="1037" w:type="dxa"/>
            <w:vAlign w:val="center"/>
          </w:tcPr>
          <w:p w14:paraId="75A1831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阻抗控制子宫内膜消融设备（一次性双极消融器）</w:t>
            </w:r>
          </w:p>
        </w:tc>
        <w:tc>
          <w:tcPr>
            <w:tcW w:w="1636" w:type="dxa"/>
            <w:vAlign w:val="center"/>
          </w:tcPr>
          <w:p w14:paraId="00BB4DF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8312（详见原在库目录）</w:t>
            </w:r>
          </w:p>
        </w:tc>
        <w:tc>
          <w:tcPr>
            <w:tcW w:w="2278" w:type="dxa"/>
            <w:vAlign w:val="center"/>
          </w:tcPr>
          <w:p w14:paraId="5E3FD6D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配合豪洛捷阻抗控制子宫内膜射频消融设备使用，用于女性子宫内膜切除。</w:t>
            </w:r>
          </w:p>
        </w:tc>
        <w:tc>
          <w:tcPr>
            <w:tcW w:w="1138" w:type="dxa"/>
            <w:vAlign w:val="center"/>
          </w:tcPr>
          <w:p w14:paraId="5F8D37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3F73187">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妇科</w:t>
            </w:r>
          </w:p>
        </w:tc>
        <w:tc>
          <w:tcPr>
            <w:tcW w:w="1565"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2E1A57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20</w:t>
            </w:r>
          </w:p>
        </w:tc>
        <w:tc>
          <w:tcPr>
            <w:tcW w:w="1037" w:type="dxa"/>
            <w:vAlign w:val="center"/>
          </w:tcPr>
          <w:p w14:paraId="087EC5E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一次性使用电圈套器</w:t>
            </w:r>
          </w:p>
        </w:tc>
        <w:tc>
          <w:tcPr>
            <w:tcW w:w="1636" w:type="dxa"/>
            <w:vAlign w:val="center"/>
          </w:tcPr>
          <w:p w14:paraId="111F36A2">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266（详见原在库目录）</w:t>
            </w:r>
          </w:p>
        </w:tc>
        <w:tc>
          <w:tcPr>
            <w:tcW w:w="2278" w:type="dxa"/>
            <w:vAlign w:val="center"/>
          </w:tcPr>
          <w:p w14:paraId="73773CF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与内镜配合使用，用于消化道内电流切除病灶组织。</w:t>
            </w:r>
          </w:p>
        </w:tc>
        <w:tc>
          <w:tcPr>
            <w:tcW w:w="1138"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AC26032">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消化内镜中心</w:t>
            </w:r>
          </w:p>
        </w:tc>
        <w:tc>
          <w:tcPr>
            <w:tcW w:w="1565"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3881CEB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21</w:t>
            </w:r>
          </w:p>
        </w:tc>
        <w:tc>
          <w:tcPr>
            <w:tcW w:w="1037" w:type="dxa"/>
            <w:vAlign w:val="center"/>
          </w:tcPr>
          <w:p w14:paraId="40625C8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一次性使用体外引流系统</w:t>
            </w:r>
          </w:p>
        </w:tc>
        <w:tc>
          <w:tcPr>
            <w:tcW w:w="1636"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310.3（详见原在库目录）</w:t>
            </w:r>
          </w:p>
        </w:tc>
        <w:tc>
          <w:tcPr>
            <w:tcW w:w="2278" w:type="dxa"/>
            <w:vAlign w:val="center"/>
          </w:tcPr>
          <w:p w14:paraId="676437E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用于外科手术中或手术后从伤口引流血液、脓液、组织液等液体。</w:t>
            </w:r>
          </w:p>
        </w:tc>
        <w:tc>
          <w:tcPr>
            <w:tcW w:w="1138"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DC316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EEAC48C">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心胸外科</w:t>
            </w:r>
          </w:p>
        </w:tc>
        <w:tc>
          <w:tcPr>
            <w:tcW w:w="1565"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7F1C7994">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rFonts w:hint="eastAsia"/>
          <w:szCs w:val="21"/>
        </w:rPr>
      </w:pPr>
      <w:r>
        <w:rPr>
          <w:rFonts w:hint="eastAsia"/>
          <w:szCs w:val="21"/>
        </w:rPr>
        <w:t>附件3：采购文件</w:t>
      </w:r>
    </w:p>
    <w:p w14:paraId="0A4DD88F">
      <w:pPr>
        <w:pStyle w:val="36"/>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67</w:t>
      </w:r>
      <w:r>
        <w:rPr>
          <w:rFonts w:hint="eastAsia"/>
          <w:szCs w:val="21"/>
          <w:highlight w:val="yellow"/>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*月*日</w:t>
      </w: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根据2025年党办通265号（2025年第一次医院耗材管理委员会审议结果）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146D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20F241D">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198BDA9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26D03DE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C692A4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BBBB9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67EC29F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1220C81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6A967EE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0A6EA8F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2B2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6403DD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32BA5C98">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ZCB2025-HC72-317</w:t>
            </w:r>
          </w:p>
        </w:tc>
        <w:tc>
          <w:tcPr>
            <w:tcW w:w="1037" w:type="dxa"/>
            <w:vAlign w:val="center"/>
          </w:tcPr>
          <w:p w14:paraId="77C4799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刻痕球囊扩张导管</w:t>
            </w:r>
          </w:p>
        </w:tc>
        <w:tc>
          <w:tcPr>
            <w:tcW w:w="1636" w:type="dxa"/>
            <w:vAlign w:val="center"/>
          </w:tcPr>
          <w:p w14:paraId="3B557E9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6800（详见原在库目录）</w:t>
            </w:r>
          </w:p>
        </w:tc>
        <w:tc>
          <w:tcPr>
            <w:tcW w:w="2278" w:type="dxa"/>
            <w:vAlign w:val="center"/>
          </w:tcPr>
          <w:p w14:paraId="3C24685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用于髂动脉、股动脉、髂股动脉、腘动脉、腘下动脉和肾动脉内等血管扩张或瓣膜成形。</w:t>
            </w:r>
          </w:p>
        </w:tc>
        <w:tc>
          <w:tcPr>
            <w:tcW w:w="1138" w:type="dxa"/>
            <w:vAlign w:val="center"/>
          </w:tcPr>
          <w:p w14:paraId="0E88FB1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F5DA50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C503D6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血管通路专科</w:t>
            </w:r>
          </w:p>
        </w:tc>
        <w:tc>
          <w:tcPr>
            <w:tcW w:w="1565" w:type="dxa"/>
            <w:vAlign w:val="center"/>
          </w:tcPr>
          <w:p w14:paraId="17BAEEA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202F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3E5C60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634CE484">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8</w:t>
            </w:r>
          </w:p>
        </w:tc>
        <w:tc>
          <w:tcPr>
            <w:tcW w:w="1037" w:type="dxa"/>
            <w:vAlign w:val="center"/>
          </w:tcPr>
          <w:p w14:paraId="56B26C2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子宫颈扩张球囊</w:t>
            </w:r>
          </w:p>
        </w:tc>
        <w:tc>
          <w:tcPr>
            <w:tcW w:w="1636" w:type="dxa"/>
            <w:vAlign w:val="center"/>
          </w:tcPr>
          <w:p w14:paraId="2BE2A29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350（详见原在库目录）</w:t>
            </w:r>
          </w:p>
        </w:tc>
        <w:tc>
          <w:tcPr>
            <w:tcW w:w="2278" w:type="dxa"/>
            <w:vAlign w:val="center"/>
          </w:tcPr>
          <w:p w14:paraId="00C21ED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用于足月引产前对成熟度不佳的宫颈进行宫颈管的机械扩张。</w:t>
            </w:r>
          </w:p>
        </w:tc>
        <w:tc>
          <w:tcPr>
            <w:tcW w:w="1138" w:type="dxa"/>
            <w:vAlign w:val="center"/>
          </w:tcPr>
          <w:p w14:paraId="0FBDEFA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55F795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09C146FF">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妇科</w:t>
            </w:r>
          </w:p>
        </w:tc>
        <w:tc>
          <w:tcPr>
            <w:tcW w:w="1565" w:type="dxa"/>
            <w:vAlign w:val="center"/>
          </w:tcPr>
          <w:p w14:paraId="0BBFBE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BB0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06F76E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4105749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9</w:t>
            </w:r>
          </w:p>
        </w:tc>
        <w:tc>
          <w:tcPr>
            <w:tcW w:w="1037" w:type="dxa"/>
            <w:vAlign w:val="center"/>
          </w:tcPr>
          <w:p w14:paraId="1C3F24F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阻抗控制子宫内膜消融设备（一次性双极消融器）</w:t>
            </w:r>
          </w:p>
        </w:tc>
        <w:tc>
          <w:tcPr>
            <w:tcW w:w="1636" w:type="dxa"/>
            <w:vAlign w:val="center"/>
          </w:tcPr>
          <w:p w14:paraId="03EF57A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8312（详见原在库目录）</w:t>
            </w:r>
          </w:p>
        </w:tc>
        <w:tc>
          <w:tcPr>
            <w:tcW w:w="2278" w:type="dxa"/>
            <w:vAlign w:val="center"/>
          </w:tcPr>
          <w:p w14:paraId="1A656FC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配合豪洛捷阻抗控制子宫内膜射频</w:t>
            </w:r>
            <w:bookmarkStart w:id="97" w:name="_GoBack"/>
            <w:bookmarkEnd w:id="97"/>
            <w:r>
              <w:rPr>
                <w:rFonts w:hint="eastAsia" w:asciiTheme="majorEastAsia" w:hAnsiTheme="majorEastAsia" w:eastAsiaTheme="majorEastAsia" w:cstheme="majorEastAsia"/>
                <w:kern w:val="0"/>
                <w:sz w:val="20"/>
                <w:szCs w:val="20"/>
                <w:lang w:val="en-US" w:eastAsia="zh-CN"/>
              </w:rPr>
              <w:t>消融设备使用，用于女性子宫内膜切除。</w:t>
            </w:r>
          </w:p>
        </w:tc>
        <w:tc>
          <w:tcPr>
            <w:tcW w:w="1138" w:type="dxa"/>
            <w:vAlign w:val="center"/>
          </w:tcPr>
          <w:p w14:paraId="4061C6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00B720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5F81332">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妇科</w:t>
            </w:r>
          </w:p>
        </w:tc>
        <w:tc>
          <w:tcPr>
            <w:tcW w:w="1565" w:type="dxa"/>
            <w:vAlign w:val="center"/>
          </w:tcPr>
          <w:p w14:paraId="540DFA3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360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07CA77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53B6124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20</w:t>
            </w:r>
          </w:p>
        </w:tc>
        <w:tc>
          <w:tcPr>
            <w:tcW w:w="1037" w:type="dxa"/>
            <w:vAlign w:val="center"/>
          </w:tcPr>
          <w:p w14:paraId="158CB27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一次性使用电圈套器</w:t>
            </w:r>
          </w:p>
        </w:tc>
        <w:tc>
          <w:tcPr>
            <w:tcW w:w="1636" w:type="dxa"/>
            <w:vAlign w:val="center"/>
          </w:tcPr>
          <w:p w14:paraId="2C5936B1">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266（详见原在库目录）</w:t>
            </w:r>
          </w:p>
        </w:tc>
        <w:tc>
          <w:tcPr>
            <w:tcW w:w="2278" w:type="dxa"/>
            <w:vAlign w:val="center"/>
          </w:tcPr>
          <w:p w14:paraId="2E91A02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与内镜配合使用，用于消化道内电流切除病灶组织。</w:t>
            </w:r>
          </w:p>
        </w:tc>
        <w:tc>
          <w:tcPr>
            <w:tcW w:w="1138" w:type="dxa"/>
            <w:shd w:val="clear" w:color="auto" w:fill="auto"/>
            <w:vAlign w:val="center"/>
          </w:tcPr>
          <w:p w14:paraId="1B4AC9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69C710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41F5D97">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消化内镜中心</w:t>
            </w:r>
          </w:p>
        </w:tc>
        <w:tc>
          <w:tcPr>
            <w:tcW w:w="1565" w:type="dxa"/>
            <w:vAlign w:val="center"/>
          </w:tcPr>
          <w:p w14:paraId="554F26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B6F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8776BC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473829D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21</w:t>
            </w:r>
          </w:p>
        </w:tc>
        <w:tc>
          <w:tcPr>
            <w:tcW w:w="1037" w:type="dxa"/>
            <w:vAlign w:val="center"/>
          </w:tcPr>
          <w:p w14:paraId="7253EFC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一次性使用体外引流系统</w:t>
            </w:r>
          </w:p>
        </w:tc>
        <w:tc>
          <w:tcPr>
            <w:tcW w:w="1636" w:type="dxa"/>
            <w:vAlign w:val="center"/>
          </w:tcPr>
          <w:p w14:paraId="1E994D4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310.3（详见原在库目录）</w:t>
            </w:r>
          </w:p>
        </w:tc>
        <w:tc>
          <w:tcPr>
            <w:tcW w:w="2278" w:type="dxa"/>
            <w:vAlign w:val="center"/>
          </w:tcPr>
          <w:p w14:paraId="3DFA2CE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用于外科手术中或手术后从伤口引流血液、脓液、组织液等液体。</w:t>
            </w:r>
          </w:p>
        </w:tc>
        <w:tc>
          <w:tcPr>
            <w:tcW w:w="1138" w:type="dxa"/>
            <w:shd w:val="clear" w:color="auto" w:fill="auto"/>
            <w:vAlign w:val="center"/>
          </w:tcPr>
          <w:p w14:paraId="137A598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2D8559E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7F32836B">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心胸外科</w:t>
            </w:r>
          </w:p>
        </w:tc>
        <w:tc>
          <w:tcPr>
            <w:tcW w:w="1565" w:type="dxa"/>
            <w:vAlign w:val="center"/>
          </w:tcPr>
          <w:p w14:paraId="22C075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44420A5E">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73517679"/>
      <w:bookmarkStart w:id="42" w:name="_Toc17773"/>
      <w:bookmarkStart w:id="43" w:name="_Toc100052408"/>
      <w:bookmarkStart w:id="44" w:name="_Toc73518157"/>
      <w:bookmarkStart w:id="45" w:name="_Toc73521586"/>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100052409"/>
      <w:bookmarkStart w:id="47" w:name="_Toc73518158"/>
      <w:bookmarkStart w:id="48" w:name="_Toc73521587"/>
      <w:bookmarkStart w:id="49" w:name="_Toc73521675"/>
      <w:bookmarkStart w:id="50" w:name="_Toc73517680"/>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677"/>
      <w:bookmarkStart w:id="53" w:name="_Toc73517682"/>
      <w:bookmarkStart w:id="54" w:name="_Toc100052410"/>
      <w:bookmarkStart w:id="55" w:name="_Toc73518160"/>
      <w:bookmarkStart w:id="56" w:name="_Toc28536"/>
      <w:bookmarkStart w:id="57" w:name="_Toc73521589"/>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CA82D4-245E-431D-90BC-F011C75C9E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EFCDD2E-9674-4DC5-BDE2-C044E84351DA}"/>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B9E8123F-FDFB-4340-9B1B-0C80D5860D12}"/>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80ACBB64-3738-41BA-938B-2CAAC5CD912C}"/>
  </w:font>
  <w:font w:name="华文中宋">
    <w:panose1 w:val="02010600040101010101"/>
    <w:charset w:val="86"/>
    <w:family w:val="auto"/>
    <w:pitch w:val="default"/>
    <w:sig w:usb0="00000287" w:usb1="080F0000" w:usb2="00000000" w:usb3="00000000" w:csb0="0004009F" w:csb1="DFD70000"/>
    <w:embedRegular r:id="rId5" w:fontKey="{5406A9D2-AC10-4264-BFAC-1161FD502BBB}"/>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1976AE21-5B56-4395-951D-70B8DEC19D0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42ECA3A5-6558-4E9E-8AFE-F4B14682B0A5}"/>
  </w:font>
  <w:font w:name="方正小标宋_GBK">
    <w:panose1 w:val="02000000000000000000"/>
    <w:charset w:val="86"/>
    <w:family w:val="script"/>
    <w:pitch w:val="default"/>
    <w:sig w:usb0="A00002BF" w:usb1="38CF7CFA" w:usb2="00082016" w:usb3="00000000" w:csb0="00040001" w:csb1="00000000"/>
    <w:embedRegular r:id="rId8" w:fontKey="{52CCE111-7D5F-4187-B409-3E3C3B307A62}"/>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12272C"/>
    <w:rsid w:val="04C31787"/>
    <w:rsid w:val="05AC5740"/>
    <w:rsid w:val="066426AB"/>
    <w:rsid w:val="06D6606E"/>
    <w:rsid w:val="0722284A"/>
    <w:rsid w:val="074D1B24"/>
    <w:rsid w:val="076C043D"/>
    <w:rsid w:val="077C6018"/>
    <w:rsid w:val="07A05F2C"/>
    <w:rsid w:val="08403A7A"/>
    <w:rsid w:val="085546C8"/>
    <w:rsid w:val="08F105C3"/>
    <w:rsid w:val="09491AC5"/>
    <w:rsid w:val="09836074"/>
    <w:rsid w:val="099212CA"/>
    <w:rsid w:val="09FA4319"/>
    <w:rsid w:val="0A263C68"/>
    <w:rsid w:val="0A5667CD"/>
    <w:rsid w:val="0B262E10"/>
    <w:rsid w:val="0B802691"/>
    <w:rsid w:val="0BCE3FEB"/>
    <w:rsid w:val="0BE95409"/>
    <w:rsid w:val="0D49488C"/>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1F05FFE"/>
    <w:rsid w:val="22221D49"/>
    <w:rsid w:val="222F1E4B"/>
    <w:rsid w:val="22635651"/>
    <w:rsid w:val="227616EA"/>
    <w:rsid w:val="2367560F"/>
    <w:rsid w:val="24B05A43"/>
    <w:rsid w:val="25335A76"/>
    <w:rsid w:val="257965BE"/>
    <w:rsid w:val="25897742"/>
    <w:rsid w:val="263F63D5"/>
    <w:rsid w:val="26A86584"/>
    <w:rsid w:val="273E0B94"/>
    <w:rsid w:val="27AA2930"/>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7500BF"/>
    <w:rsid w:val="2FA22E86"/>
    <w:rsid w:val="2FEA2C92"/>
    <w:rsid w:val="30636F6F"/>
    <w:rsid w:val="308D7267"/>
    <w:rsid w:val="309A28A5"/>
    <w:rsid w:val="309B7B37"/>
    <w:rsid w:val="31EE248D"/>
    <w:rsid w:val="33097BA0"/>
    <w:rsid w:val="33346566"/>
    <w:rsid w:val="340B487E"/>
    <w:rsid w:val="34876E3B"/>
    <w:rsid w:val="34D53509"/>
    <w:rsid w:val="34DB5F91"/>
    <w:rsid w:val="35A4296B"/>
    <w:rsid w:val="35AF70D3"/>
    <w:rsid w:val="35BE2E72"/>
    <w:rsid w:val="364452A8"/>
    <w:rsid w:val="3676199F"/>
    <w:rsid w:val="36DB2EFD"/>
    <w:rsid w:val="37295B73"/>
    <w:rsid w:val="379773BF"/>
    <w:rsid w:val="37BA2B92"/>
    <w:rsid w:val="3A736BBC"/>
    <w:rsid w:val="3AC4797F"/>
    <w:rsid w:val="3ACE0B58"/>
    <w:rsid w:val="3B0F15A5"/>
    <w:rsid w:val="3B83690E"/>
    <w:rsid w:val="3D222D3E"/>
    <w:rsid w:val="3D5460D2"/>
    <w:rsid w:val="3EF21FA7"/>
    <w:rsid w:val="3FD414E4"/>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8DD667F"/>
    <w:rsid w:val="592E63F2"/>
    <w:rsid w:val="59462FFB"/>
    <w:rsid w:val="59D20454"/>
    <w:rsid w:val="5AC3366B"/>
    <w:rsid w:val="5B6B4F9B"/>
    <w:rsid w:val="5C8508F0"/>
    <w:rsid w:val="5DDB6737"/>
    <w:rsid w:val="5E0B1060"/>
    <w:rsid w:val="5EED3477"/>
    <w:rsid w:val="5F2E6A0B"/>
    <w:rsid w:val="5FEA46E0"/>
    <w:rsid w:val="5FEE1524"/>
    <w:rsid w:val="6001450E"/>
    <w:rsid w:val="6005031D"/>
    <w:rsid w:val="601E789F"/>
    <w:rsid w:val="60FE4811"/>
    <w:rsid w:val="61562723"/>
    <w:rsid w:val="61B614D7"/>
    <w:rsid w:val="61C90448"/>
    <w:rsid w:val="62032444"/>
    <w:rsid w:val="62131CA2"/>
    <w:rsid w:val="627B3857"/>
    <w:rsid w:val="62EF4D77"/>
    <w:rsid w:val="630006BE"/>
    <w:rsid w:val="63147DC8"/>
    <w:rsid w:val="63195E00"/>
    <w:rsid w:val="63670099"/>
    <w:rsid w:val="63907C20"/>
    <w:rsid w:val="63BD55FE"/>
    <w:rsid w:val="6416349D"/>
    <w:rsid w:val="651915C4"/>
    <w:rsid w:val="6562740E"/>
    <w:rsid w:val="65F00D0C"/>
    <w:rsid w:val="65F93378"/>
    <w:rsid w:val="660A4DD7"/>
    <w:rsid w:val="669A773D"/>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C254BD"/>
    <w:rsid w:val="72A0767C"/>
    <w:rsid w:val="72CD4903"/>
    <w:rsid w:val="730C5665"/>
    <w:rsid w:val="732D33F2"/>
    <w:rsid w:val="74365CEE"/>
    <w:rsid w:val="74B925FE"/>
    <w:rsid w:val="753955B3"/>
    <w:rsid w:val="7542758E"/>
    <w:rsid w:val="75886FA4"/>
    <w:rsid w:val="75AD3D2D"/>
    <w:rsid w:val="76140056"/>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 w:type="character" w:customStyle="1" w:styleId="84">
    <w:name w:val="font31"/>
    <w:basedOn w:val="31"/>
    <w:qFormat/>
    <w:uiPriority w:val="0"/>
    <w:rPr>
      <w:rFonts w:hint="eastAsia" w:ascii="宋体" w:hAnsi="宋体" w:eastAsia="宋体" w:cs="宋体"/>
      <w:color w:val="FF0000"/>
      <w:sz w:val="22"/>
      <w:szCs w:val="22"/>
      <w:u w:val="none"/>
    </w:rPr>
  </w:style>
  <w:style w:type="character" w:customStyle="1" w:styleId="85">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2849</Words>
  <Characters>3057</Characters>
  <Lines>38</Lines>
  <Paragraphs>65</Paragraphs>
  <TotalTime>0</TotalTime>
  <ScaleCrop>false</ScaleCrop>
  <LinksUpToDate>false</LinksUpToDate>
  <CharactersWithSpaces>3074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2024-06-26T10:51:00Z</cp:lastPrinted>
  <dcterms:modified xsi:type="dcterms:W3CDTF">2025-11-07T02:53:09Z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D1C08FCC46A54D64A67E1661548D66CD_13</vt:lpwstr>
  </property>
  <property fmtid="{D5CDD505-2E9C-101B-9397-08002B2CF9AE}" pid="4" name="KSOTemplateDocerSaveRecord">
    <vt:lpwstr>eyJoZGlkIjoiM2JhODljZDI1ODQ1MDczYWY2NTMwYjA0ODdmMzlkOTciLCJ1c2VySWQiOiIxNjAxNDAyNjIzIn0=</vt:lpwstr>
  </property>
</Properties>
</file>