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2"/>
        <w:spacing w:line="360" w:lineRule="auto"/>
        <w:rPr>
          <w:rFonts w:eastAsia="方正小标宋简体"/>
          <w:sz w:val="32"/>
        </w:rPr>
      </w:pPr>
    </w:p>
    <w:p w14:paraId="51D0CC2A">
      <w:pPr>
        <w:pStyle w:val="2"/>
        <w:spacing w:line="360" w:lineRule="auto"/>
        <w:ind w:firstLine="422" w:firstLineChars="132"/>
        <w:rPr>
          <w:rFonts w:eastAsia="方正小标宋简体"/>
          <w:sz w:val="32"/>
        </w:rPr>
      </w:pPr>
    </w:p>
    <w:p w14:paraId="1C72A75F">
      <w:pPr>
        <w:pStyle w:val="2"/>
        <w:spacing w:line="360" w:lineRule="auto"/>
        <w:ind w:firstLine="422" w:firstLineChars="132"/>
        <w:rPr>
          <w:rFonts w:eastAsia="方正小标宋简体"/>
          <w:sz w:val="32"/>
        </w:rPr>
      </w:pPr>
    </w:p>
    <w:p w14:paraId="2C99F2E5">
      <w:pPr>
        <w:pStyle w:val="25"/>
        <w:ind w:left="0" w:firstLine="64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5</w:t>
      </w:r>
      <w:r>
        <w:rPr>
          <w:rFonts w:eastAsia="方正小标宋简体"/>
          <w:sz w:val="32"/>
        </w:rPr>
        <w:t>-HQ-</w:t>
      </w:r>
      <w:r>
        <w:rPr>
          <w:rFonts w:hint="eastAsia" w:eastAsia="方正小标宋简体"/>
          <w:sz w:val="32"/>
        </w:rPr>
        <w:t>0</w:t>
      </w:r>
      <w:r>
        <w:rPr>
          <w:rFonts w:hint="eastAsia" w:eastAsia="方正小标宋简体"/>
          <w:sz w:val="32"/>
          <w:lang w:val="en-US" w:eastAsia="zh-CN"/>
        </w:rPr>
        <w:t>33</w:t>
      </w:r>
    </w:p>
    <w:p w14:paraId="1E200932">
      <w:pPr>
        <w:pStyle w:val="25"/>
        <w:ind w:left="0" w:firstLine="640"/>
        <w:rPr>
          <w:rFonts w:eastAsia="方正小标宋简体"/>
          <w:sz w:val="32"/>
        </w:rPr>
      </w:pPr>
      <w:r>
        <w:rPr>
          <w:rFonts w:eastAsia="方正小标宋简体"/>
          <w:sz w:val="32"/>
        </w:rPr>
        <w:t>项目名称：</w:t>
      </w:r>
      <w:r>
        <w:rPr>
          <w:rFonts w:hint="eastAsia" w:eastAsia="方正小标宋简体"/>
          <w:sz w:val="32"/>
          <w:lang w:val="en-US" w:eastAsia="zh-CN"/>
        </w:rPr>
        <w:t>1号楼电梯轿厢内饰维修服务</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2"/>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2"/>
        <w:spacing w:line="360" w:lineRule="auto"/>
        <w:ind w:firstLine="643"/>
        <w:rPr>
          <w:rFonts w:eastAsiaTheme="majorEastAsia"/>
          <w:b/>
          <w:sz w:val="32"/>
        </w:rPr>
      </w:pPr>
      <w:r>
        <w:rPr>
          <w:rFonts w:eastAsiaTheme="majorEastAsia"/>
          <w:b/>
          <w:sz w:val="32"/>
        </w:rPr>
        <w:t>第一章  采购邀请函</w:t>
      </w:r>
    </w:p>
    <w:p w14:paraId="594E0920">
      <w:pPr>
        <w:pStyle w:val="2"/>
        <w:spacing w:line="360" w:lineRule="auto"/>
        <w:ind w:left="1772" w:leftChars="232" w:hanging="1285" w:hangingChars="400"/>
        <w:rPr>
          <w:rFonts w:eastAsiaTheme="majorEastAsia"/>
          <w:b/>
          <w:sz w:val="32"/>
        </w:rPr>
      </w:pPr>
    </w:p>
    <w:p w14:paraId="118611C6">
      <w:pPr>
        <w:pStyle w:val="2"/>
        <w:spacing w:line="360" w:lineRule="auto"/>
        <w:ind w:firstLine="643"/>
        <w:rPr>
          <w:rFonts w:eastAsiaTheme="majorEastAsia"/>
          <w:b/>
          <w:sz w:val="32"/>
        </w:rPr>
      </w:pPr>
      <w:r>
        <w:rPr>
          <w:rFonts w:eastAsiaTheme="majorEastAsia"/>
          <w:b/>
          <w:sz w:val="32"/>
        </w:rPr>
        <w:t>第二章  采购项目需求</w:t>
      </w:r>
    </w:p>
    <w:p w14:paraId="36A54C1D">
      <w:pPr>
        <w:pStyle w:val="2"/>
        <w:spacing w:line="360" w:lineRule="auto"/>
        <w:ind w:left="1772" w:leftChars="232" w:hanging="1285" w:hangingChars="400"/>
        <w:rPr>
          <w:rFonts w:eastAsiaTheme="majorEastAsia"/>
          <w:b/>
          <w:sz w:val="32"/>
        </w:rPr>
      </w:pPr>
    </w:p>
    <w:p w14:paraId="6AED914D">
      <w:pPr>
        <w:pStyle w:val="2"/>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kern w:val="0"/>
          <w:sz w:val="24"/>
          <w:szCs w:val="22"/>
        </w:rPr>
        <w:t>1号楼电梯轿厢内饰维修服务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5</w:t>
      </w:r>
      <w:r>
        <w:rPr>
          <w:kern w:val="0"/>
          <w:sz w:val="24"/>
          <w:szCs w:val="22"/>
        </w:rPr>
        <w:t>-HQ-0</w:t>
      </w:r>
      <w:r>
        <w:rPr>
          <w:rFonts w:hint="eastAsia"/>
          <w:kern w:val="0"/>
          <w:sz w:val="24"/>
          <w:szCs w:val="22"/>
          <w:lang w:val="en-US" w:eastAsia="zh-CN"/>
        </w:rPr>
        <w:t>33</w:t>
      </w:r>
    </w:p>
    <w:p w14:paraId="05E8DFA3">
      <w:pPr>
        <w:widowControl/>
        <w:adjustRightInd w:val="0"/>
        <w:snapToGrid w:val="0"/>
        <w:spacing w:line="400" w:lineRule="atLeast"/>
        <w:ind w:firstLine="480" w:firstLineChars="200"/>
        <w:rPr>
          <w:kern w:val="0"/>
          <w:sz w:val="24"/>
          <w:szCs w:val="22"/>
        </w:rPr>
      </w:pPr>
      <w:r>
        <w:rPr>
          <w:kern w:val="0"/>
          <w:sz w:val="24"/>
          <w:szCs w:val="22"/>
        </w:rPr>
        <w:t>二、采购项目名称：</w:t>
      </w:r>
      <w:r>
        <w:rPr>
          <w:rFonts w:hint="eastAsia"/>
          <w:kern w:val="0"/>
          <w:sz w:val="24"/>
          <w:szCs w:val="22"/>
        </w:rPr>
        <w:t>1号楼电梯轿厢内饰维修服务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13</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13</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kern w:val="0"/>
                <w:sz w:val="24"/>
                <w:szCs w:val="22"/>
              </w:rPr>
              <w:t>1号楼电梯轿厢内饰维修服务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Theme="minorEastAsia" w:hAnsiTheme="minorEastAsia" w:eastAsiaTheme="minorEastAsia" w:cstheme="minorEastAsia"/>
          <w:color w:val="auto"/>
          <w:sz w:val="24"/>
        </w:rPr>
        <w:t>自合同签订之日起</w:t>
      </w:r>
      <w:r>
        <w:rPr>
          <w:rFonts w:hint="eastAsia" w:asciiTheme="minorEastAsia" w:hAnsiTheme="minorEastAsia" w:cstheme="minorEastAsia"/>
          <w:color w:val="auto"/>
          <w:sz w:val="24"/>
          <w:lang w:val="en-US" w:eastAsia="zh-CN"/>
        </w:rPr>
        <w:t>接到采购人通知后</w:t>
      </w:r>
      <w:r>
        <w:rPr>
          <w:rFonts w:hint="eastAsia" w:asciiTheme="minorEastAsia" w:hAnsiTheme="minorEastAsia" w:eastAsiaTheme="minorEastAsia" w:cstheme="minorEastAsia"/>
          <w:color w:val="auto"/>
          <w:sz w:val="24"/>
        </w:rPr>
        <w:t>1个月</w:t>
      </w:r>
      <w:r>
        <w:rPr>
          <w:rFonts w:hint="eastAsia" w:asciiTheme="minorEastAsia" w:hAnsiTheme="minorEastAsia" w:cstheme="minorEastAsia"/>
          <w:color w:val="auto"/>
          <w:sz w:val="24"/>
          <w:lang w:eastAsia="zh-CN"/>
        </w:rPr>
        <w:t>内</w:t>
      </w:r>
      <w:r>
        <w:rPr>
          <w:rFonts w:hint="eastAsia" w:asciiTheme="minorEastAsia" w:hAnsiTheme="minorEastAsia" w:eastAsiaTheme="minorEastAsia" w:cstheme="minorEastAsia"/>
          <w:color w:val="auto"/>
          <w:sz w:val="24"/>
        </w:rPr>
        <w:t>完成</w:t>
      </w:r>
      <w:r>
        <w:rPr>
          <w:rFonts w:hint="eastAsia" w:asciiTheme="minorEastAsia" w:hAnsiTheme="minorEastAsia" w:eastAsiaTheme="minorEastAsia" w:cstheme="minorEastAsia"/>
          <w:color w:val="auto"/>
          <w:sz w:val="24"/>
          <w:lang w:val="en-US" w:eastAsia="zh-CN"/>
        </w:rPr>
        <w:t>1号楼13台</w:t>
      </w:r>
      <w:r>
        <w:rPr>
          <w:rFonts w:hint="eastAsia" w:asciiTheme="minorEastAsia" w:hAnsiTheme="minorEastAsia" w:eastAsiaTheme="minorEastAsia" w:cstheme="minorEastAsia"/>
          <w:color w:val="auto"/>
          <w:sz w:val="24"/>
        </w:rPr>
        <w:t>电梯</w:t>
      </w:r>
      <w:r>
        <w:rPr>
          <w:rFonts w:hint="eastAsia" w:asciiTheme="minorEastAsia" w:hAnsiTheme="minorEastAsia" w:eastAsiaTheme="minorEastAsia" w:cstheme="minorEastAsia"/>
          <w:color w:val="auto"/>
          <w:sz w:val="24"/>
          <w:lang w:val="en-US" w:eastAsia="zh-CN"/>
        </w:rPr>
        <w:t>轿厢装饰整改服务</w:t>
      </w:r>
      <w:r>
        <w:rPr>
          <w:rFonts w:hint="eastAsia" w:asciiTheme="minorEastAsia" w:hAnsiTheme="minorEastAsia" w:eastAsiaTheme="minorEastAsia" w:cstheme="minorEastAsia"/>
          <w:color w:val="auto"/>
          <w:sz w:val="24"/>
        </w:rPr>
        <w:t>，并交付采购人使用</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667176AB">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p>
    <w:p w14:paraId="36089D46">
      <w:pPr>
        <w:widowControl/>
        <w:numPr>
          <w:ilvl w:val="0"/>
          <w:numId w:val="3"/>
        </w:numPr>
        <w:adjustRightInd w:val="0"/>
        <w:snapToGrid w:val="0"/>
        <w:spacing w:line="400" w:lineRule="atLeast"/>
        <w:rPr>
          <w:color w:val="000000"/>
          <w:kern w:val="0"/>
          <w:sz w:val="24"/>
          <w:szCs w:val="22"/>
          <w:highlight w:val="none"/>
        </w:rPr>
      </w:pPr>
      <w:r>
        <w:rPr>
          <w:rFonts w:hint="eastAsia" w:asciiTheme="minorEastAsia" w:hAnsiTheme="minorEastAsia" w:eastAsiaTheme="minorEastAsia" w:cstheme="minorEastAsia"/>
          <w:color w:val="auto"/>
          <w:kern w:val="0"/>
          <w:sz w:val="24"/>
          <w:szCs w:val="22"/>
          <w:highlight w:val="none"/>
        </w:rPr>
        <w:t>提供有效的《中华人民共和国特种设备生产许可证》</w:t>
      </w:r>
      <w:r>
        <w:rPr>
          <w:rFonts w:hint="eastAsia" w:asciiTheme="minorEastAsia" w:hAnsiTheme="minorEastAsia" w:eastAsiaTheme="minorEastAsia" w:cstheme="minorEastAsia"/>
          <w:color w:val="auto"/>
          <w:sz w:val="24"/>
          <w:szCs w:val="24"/>
          <w:highlight w:val="none"/>
          <w:lang w:val="en-US" w:eastAsia="zh-CN"/>
        </w:rPr>
        <w:t>A级及以上资质</w:t>
      </w:r>
      <w:r>
        <w:rPr>
          <w:rFonts w:hint="eastAsia" w:asciiTheme="minorEastAsia" w:hAnsiTheme="minorEastAsia" w:eastAsiaTheme="minorEastAsia" w:cstheme="minorEastAsia"/>
          <w:color w:val="auto"/>
          <w:kern w:val="0"/>
          <w:sz w:val="24"/>
          <w:szCs w:val="22"/>
          <w:highlight w:val="none"/>
        </w:rPr>
        <w:t>（许可项目</w:t>
      </w:r>
      <w:r>
        <w:rPr>
          <w:rFonts w:hint="eastAsia" w:asciiTheme="minorEastAsia" w:hAnsiTheme="minorEastAsia" w:eastAsiaTheme="minorEastAsia" w:cstheme="minorEastAsia"/>
          <w:color w:val="auto"/>
          <w:kern w:val="0"/>
          <w:sz w:val="24"/>
          <w:szCs w:val="22"/>
          <w:highlight w:val="none"/>
          <w:lang w:val="en-US" w:eastAsia="zh-CN"/>
        </w:rPr>
        <w:t>含</w:t>
      </w:r>
      <w:r>
        <w:rPr>
          <w:rFonts w:hint="eastAsia" w:asciiTheme="minorEastAsia" w:hAnsiTheme="minorEastAsia" w:eastAsiaTheme="minorEastAsia" w:cstheme="minorEastAsia"/>
          <w:color w:val="auto"/>
          <w:kern w:val="0"/>
          <w:sz w:val="24"/>
          <w:szCs w:val="22"/>
          <w:highlight w:val="none"/>
        </w:rPr>
        <w:t>电梯</w:t>
      </w:r>
      <w:r>
        <w:rPr>
          <w:rFonts w:hint="eastAsia" w:asciiTheme="minorEastAsia" w:hAnsiTheme="minorEastAsia" w:eastAsiaTheme="minorEastAsia" w:cstheme="minorEastAsia"/>
          <w:color w:val="auto"/>
          <w:kern w:val="0"/>
          <w:sz w:val="24"/>
          <w:szCs w:val="22"/>
          <w:highlight w:val="none"/>
          <w:lang w:val="en-US" w:eastAsia="zh-CN"/>
        </w:rPr>
        <w:t>维</w:t>
      </w:r>
      <w:r>
        <w:rPr>
          <w:rFonts w:hint="eastAsia" w:asciiTheme="minorEastAsia" w:hAnsiTheme="minorEastAsia" w:eastAsiaTheme="minorEastAsia" w:cstheme="minorEastAsia"/>
          <w:color w:val="auto"/>
          <w:kern w:val="0"/>
          <w:sz w:val="24"/>
          <w:szCs w:val="22"/>
          <w:highlight w:val="none"/>
        </w:rPr>
        <w:t>修）</w:t>
      </w:r>
      <w:r>
        <w:rPr>
          <w:rFonts w:hint="eastAsia"/>
          <w:color w:val="000000"/>
          <w:kern w:val="0"/>
          <w:sz w:val="24"/>
          <w:szCs w:val="22"/>
          <w:highlight w:val="none"/>
        </w:rPr>
        <w:t>。</w:t>
      </w:r>
      <w:bookmarkStart w:id="26" w:name="_GoBack"/>
      <w:bookmarkEnd w:id="26"/>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11月12日</w:t>
      </w:r>
      <w:r>
        <w:rPr>
          <w:rFonts w:hint="eastAsia"/>
          <w:kern w:val="0"/>
          <w:sz w:val="24"/>
          <w:szCs w:val="22"/>
          <w:highlight w:val="cyan"/>
        </w:rPr>
        <w:t>至</w:t>
      </w:r>
      <w:r>
        <w:rPr>
          <w:rFonts w:hint="eastAsia"/>
          <w:kern w:val="0"/>
          <w:sz w:val="24"/>
          <w:szCs w:val="22"/>
          <w:highlight w:val="cyan"/>
          <w:lang w:val="en-US" w:eastAsia="zh-CN"/>
        </w:rPr>
        <w:t>11</w:t>
      </w:r>
      <w:r>
        <w:rPr>
          <w:rFonts w:hint="eastAsia"/>
          <w:kern w:val="0"/>
          <w:sz w:val="24"/>
          <w:szCs w:val="22"/>
          <w:highlight w:val="cyan"/>
        </w:rPr>
        <w:t>月</w:t>
      </w:r>
      <w:r>
        <w:rPr>
          <w:rFonts w:hint="eastAsia"/>
          <w:kern w:val="0"/>
          <w:sz w:val="24"/>
          <w:szCs w:val="22"/>
          <w:highlight w:val="cyan"/>
          <w:lang w:val="en-US" w:eastAsia="zh-CN"/>
        </w:rPr>
        <w:t>14</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hint="eastAsia"/>
          <w:b/>
          <w:bCs/>
          <w:kern w:val="0"/>
          <w:sz w:val="24"/>
          <w:szCs w:val="22"/>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5</w:t>
      </w:r>
      <w:r>
        <w:rPr>
          <w:kern w:val="0"/>
          <w:sz w:val="24"/>
          <w:szCs w:val="22"/>
          <w:highlight w:val="cyan"/>
        </w:rPr>
        <w:t>年</w:t>
      </w:r>
      <w:r>
        <w:rPr>
          <w:rFonts w:hint="eastAsia"/>
          <w:kern w:val="0"/>
          <w:sz w:val="24"/>
          <w:szCs w:val="22"/>
          <w:highlight w:val="cyan"/>
          <w:lang w:val="en-US" w:eastAsia="zh-CN"/>
        </w:rPr>
        <w:t>11</w:t>
      </w:r>
      <w:r>
        <w:rPr>
          <w:kern w:val="0"/>
          <w:sz w:val="24"/>
          <w:szCs w:val="22"/>
          <w:highlight w:val="cyan"/>
        </w:rPr>
        <w:t>月</w:t>
      </w:r>
      <w:r>
        <w:rPr>
          <w:rFonts w:hint="eastAsia"/>
          <w:kern w:val="0"/>
          <w:sz w:val="24"/>
          <w:szCs w:val="22"/>
          <w:highlight w:val="cyan"/>
          <w:lang w:val="en-US" w:eastAsia="zh-CN"/>
        </w:rPr>
        <w:t>20</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四</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3：0</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5</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hint="eastAsia"/>
          <w:b/>
          <w:bCs/>
          <w:kern w:val="0"/>
          <w:sz w:val="24"/>
          <w:szCs w:val="22"/>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BB87B85">
      <w:pPr>
        <w:numPr>
          <w:ilvl w:val="0"/>
          <w:numId w:val="0"/>
        </w:numPr>
        <w:adjustRightInd w:val="0"/>
        <w:snapToGrid w:val="0"/>
        <w:spacing w:line="400" w:lineRule="atLeast"/>
        <w:ind w:firstLine="480" w:firstLineChars="200"/>
        <w:rPr>
          <w:rFonts w:hint="eastAsia" w:eastAsia="宋体"/>
          <w:b w:val="0"/>
          <w:bCs w:val="0"/>
          <w:sz w:val="24"/>
        </w:rPr>
      </w:pPr>
      <w:r>
        <w:rPr>
          <w:rFonts w:hint="eastAsia" w:asciiTheme="minorEastAsia" w:hAnsiTheme="minorEastAsia" w:cstheme="minorEastAsia"/>
          <w:color w:val="auto"/>
          <w:kern w:val="0"/>
          <w:sz w:val="24"/>
          <w:lang w:val="en-US" w:eastAsia="zh-CN"/>
        </w:rPr>
        <w:t>采购人1</w:t>
      </w:r>
      <w:r>
        <w:rPr>
          <w:rFonts w:hint="eastAsia" w:asciiTheme="minorEastAsia" w:hAnsiTheme="minorEastAsia" w:eastAsiaTheme="minorEastAsia" w:cstheme="minorEastAsia"/>
          <w:color w:val="auto"/>
          <w:kern w:val="0"/>
          <w:sz w:val="24"/>
          <w:lang w:val="en-US" w:eastAsia="zh-CN"/>
        </w:rPr>
        <w:t>号楼13台通力</w:t>
      </w:r>
      <w:r>
        <w:rPr>
          <w:rFonts w:hint="eastAsia" w:asciiTheme="minorEastAsia" w:hAnsiTheme="minorEastAsia" w:cstheme="minorEastAsia"/>
          <w:color w:val="auto"/>
          <w:kern w:val="0"/>
          <w:sz w:val="24"/>
          <w:lang w:val="en-US" w:eastAsia="zh-CN"/>
        </w:rPr>
        <w:t>牌</w:t>
      </w:r>
      <w:r>
        <w:rPr>
          <w:rFonts w:hint="eastAsia" w:asciiTheme="minorEastAsia" w:hAnsiTheme="minorEastAsia" w:eastAsiaTheme="minorEastAsia" w:cstheme="minorEastAsia"/>
          <w:color w:val="auto"/>
          <w:kern w:val="0"/>
          <w:sz w:val="24"/>
          <w:lang w:val="en-US" w:eastAsia="zh-CN"/>
        </w:rPr>
        <w:t>电梯，因投入使用时间较长，出现轿厢天花吊顶老化破损、内呼按钮面板老化变形松动及照明光线不足等问题，且部分天花吊顶支架存在锈蚀、脱焊安全隐患，可能引发天花坠落、乘客恐慌等意外。为保障电梯安全稳定运行及乘客安全，需对1号楼电梯的轿顶天花实施全面更换。同时对轿厢按钮面板进行校准。轿顶天花更换项目将采用高品质材料（2</w:t>
      </w:r>
      <w:r>
        <w:rPr>
          <w:rFonts w:hint="eastAsia" w:asciiTheme="minorEastAsia" w:hAnsiTheme="minorEastAsia" w:cstheme="minorEastAsia"/>
          <w:color w:val="auto"/>
          <w:kern w:val="0"/>
          <w:sz w:val="24"/>
          <w:lang w:val="en-US" w:eastAsia="zh-CN"/>
        </w:rPr>
        <w:t>-4</w:t>
      </w:r>
      <w:r>
        <w:rPr>
          <w:rFonts w:hint="eastAsia" w:asciiTheme="minorEastAsia" w:hAnsiTheme="minorEastAsia" w:eastAsiaTheme="minorEastAsia" w:cstheme="minorEastAsia"/>
          <w:color w:val="auto"/>
          <w:kern w:val="0"/>
          <w:sz w:val="24"/>
          <w:lang w:val="en-US" w:eastAsia="zh-CN"/>
        </w:rPr>
        <w:t>号楼现有天花款式），确保结构稳固且美观耐用，有效避免天花坠落等安全隐患。校准按钮面板则能恢复其原有功能，提升乘客使用体验</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4AFBCA5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1.投标人需</w:t>
      </w:r>
      <w:r>
        <w:rPr>
          <w:rFonts w:hint="eastAsia" w:asciiTheme="minorEastAsia" w:hAnsiTheme="minorEastAsia" w:eastAsiaTheme="minorEastAsia" w:cstheme="minorEastAsia"/>
          <w:color w:val="auto"/>
          <w:kern w:val="0"/>
          <w:sz w:val="24"/>
          <w:lang w:eastAsia="zh-CN"/>
        </w:rPr>
        <w:t>更换</w:t>
      </w:r>
      <w:r>
        <w:rPr>
          <w:rFonts w:hint="eastAsia" w:asciiTheme="minorEastAsia" w:hAnsiTheme="minorEastAsia" w:eastAsiaTheme="minorEastAsia" w:cstheme="minorEastAsia"/>
          <w:color w:val="auto"/>
          <w:kern w:val="0"/>
          <w:sz w:val="24"/>
          <w:lang w:val="en-US" w:eastAsia="zh-CN"/>
        </w:rPr>
        <w:t>1 号楼13台通力</w:t>
      </w:r>
      <w:r>
        <w:rPr>
          <w:rFonts w:hint="eastAsia" w:asciiTheme="minorEastAsia" w:hAnsiTheme="minorEastAsia" w:cstheme="minorEastAsia"/>
          <w:color w:val="auto"/>
          <w:kern w:val="0"/>
          <w:sz w:val="24"/>
          <w:lang w:val="en-US" w:eastAsia="zh-CN"/>
        </w:rPr>
        <w:t>牌</w:t>
      </w:r>
      <w:r>
        <w:rPr>
          <w:rFonts w:hint="eastAsia" w:asciiTheme="minorEastAsia" w:hAnsiTheme="minorEastAsia" w:eastAsiaTheme="minorEastAsia" w:cstheme="minorEastAsia"/>
          <w:color w:val="auto"/>
          <w:kern w:val="0"/>
          <w:sz w:val="24"/>
          <w:lang w:val="en-US" w:eastAsia="zh-CN"/>
        </w:rPr>
        <w:t>电梯轿厢一体式天花吊顶，吊顶样式和功能与我院2-4号楼电梯一致</w:t>
      </w:r>
      <w:r>
        <w:rPr>
          <w:rFonts w:hint="eastAsia"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eastAsia="zh-CN"/>
        </w:rPr>
        <w:t>吊顶技术要求和规格型号</w:t>
      </w:r>
      <w:r>
        <w:rPr>
          <w:rFonts w:hint="eastAsia" w:asciiTheme="minorEastAsia" w:hAnsiTheme="minorEastAsia" w:eastAsiaTheme="minorEastAsia" w:cstheme="minorEastAsia"/>
          <w:color w:val="auto"/>
          <w:kern w:val="0"/>
          <w:sz w:val="24"/>
        </w:rPr>
        <w:t>见</w:t>
      </w:r>
      <w:r>
        <w:rPr>
          <w:rFonts w:hint="eastAsia" w:asciiTheme="minorEastAsia" w:hAnsiTheme="minorEastAsia" w:eastAsiaTheme="minorEastAsia" w:cstheme="minorEastAsia"/>
          <w:color w:val="auto"/>
          <w:kern w:val="0"/>
          <w:sz w:val="24"/>
          <w:lang w:eastAsia="zh-CN"/>
        </w:rPr>
        <w:t>“（三）技术要求”和“（四）</w:t>
      </w:r>
      <w:r>
        <w:rPr>
          <w:rFonts w:hint="eastAsia" w:asciiTheme="minorEastAsia" w:hAnsiTheme="minorEastAsia" w:eastAsiaTheme="minorEastAsia" w:cstheme="minorEastAsia"/>
          <w:color w:val="auto"/>
          <w:kern w:val="0"/>
          <w:sz w:val="24"/>
        </w:rPr>
        <w:t>电梯零配件更换清单</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lang w:val="en-US" w:eastAsia="zh-CN"/>
        </w:rPr>
        <w:t>校准</w:t>
      </w:r>
      <w:r>
        <w:rPr>
          <w:rFonts w:hint="eastAsia" w:asciiTheme="minorEastAsia" w:hAnsiTheme="minorEastAsia" w:cstheme="minorEastAsia"/>
          <w:color w:val="auto"/>
          <w:kern w:val="0"/>
          <w:sz w:val="24"/>
          <w:lang w:val="en-US" w:eastAsia="zh-CN"/>
        </w:rPr>
        <w:t>和加固电梯</w:t>
      </w:r>
      <w:r>
        <w:rPr>
          <w:rFonts w:hint="eastAsia" w:asciiTheme="minorEastAsia" w:hAnsiTheme="minorEastAsia" w:eastAsiaTheme="minorEastAsia" w:cstheme="minorEastAsia"/>
          <w:color w:val="auto"/>
          <w:kern w:val="0"/>
          <w:sz w:val="24"/>
          <w:lang w:val="en-US" w:eastAsia="zh-CN"/>
        </w:rPr>
        <w:t>按钮面板</w:t>
      </w:r>
      <w:r>
        <w:rPr>
          <w:rFonts w:hint="eastAsia" w:asciiTheme="minorEastAsia" w:hAnsiTheme="minorEastAsia" w:cstheme="minorEastAsia"/>
          <w:color w:val="auto"/>
          <w:kern w:val="0"/>
          <w:sz w:val="24"/>
          <w:lang w:val="en-US" w:eastAsia="zh-CN"/>
        </w:rPr>
        <w:t>，</w:t>
      </w:r>
      <w:r>
        <w:rPr>
          <w:rFonts w:hint="eastAsia" w:asciiTheme="minorEastAsia" w:hAnsiTheme="minorEastAsia" w:eastAsiaTheme="minorEastAsia" w:cstheme="minorEastAsia"/>
          <w:color w:val="auto"/>
          <w:kern w:val="0"/>
          <w:sz w:val="24"/>
          <w:lang w:val="en-US" w:eastAsia="zh-CN"/>
        </w:rPr>
        <w:t>恢复其原有功能</w:t>
      </w:r>
      <w:r>
        <w:rPr>
          <w:rFonts w:hint="eastAsia" w:asciiTheme="minorEastAsia" w:hAnsiTheme="minorEastAsia" w:cstheme="minorEastAsia"/>
          <w:color w:val="auto"/>
          <w:kern w:val="0"/>
          <w:sz w:val="24"/>
          <w:lang w:val="en-US" w:eastAsia="zh-CN"/>
        </w:rPr>
        <w:t>。</w:t>
      </w:r>
    </w:p>
    <w:p w14:paraId="47CBAAA9">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rPr>
        <w:t>投标人需提前3天现场勘查，确认电梯型号、轿厢尺寸、顶部设备位置，制定详细安装方案（含施工时间、安全措施），报</w:t>
      </w:r>
      <w:r>
        <w:rPr>
          <w:rFonts w:hint="eastAsia" w:asciiTheme="minorEastAsia" w:hAnsiTheme="minorEastAsia" w:eastAsia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审核通过后方可施工。</w:t>
      </w:r>
    </w:p>
    <w:p w14:paraId="2A2D13F9">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rPr>
        <w:t>.▲投标人严格按照操作规程</w:t>
      </w:r>
      <w:r>
        <w:rPr>
          <w:rFonts w:hint="eastAsia" w:asciiTheme="minorEastAsia" w:hAnsiTheme="minorEastAsia" w:eastAsiaTheme="minorEastAsia" w:cstheme="minorEastAsia"/>
          <w:color w:val="auto"/>
          <w:kern w:val="0"/>
          <w:sz w:val="24"/>
          <w:lang w:eastAsia="zh-CN"/>
        </w:rPr>
        <w:t>作业</w:t>
      </w:r>
      <w:r>
        <w:rPr>
          <w:rFonts w:hint="eastAsia" w:asciiTheme="minorEastAsia" w:hAnsiTheme="minorEastAsia" w:eastAsiaTheme="minorEastAsia" w:cstheme="minorEastAsia"/>
          <w:color w:val="auto"/>
          <w:kern w:val="0"/>
          <w:sz w:val="24"/>
        </w:rPr>
        <w:t>，若因投标人或投标人的员工违规操作发生事故，由投标人承担事故导致的一切责任</w:t>
      </w:r>
      <w:r>
        <w:rPr>
          <w:rFonts w:hint="eastAsia" w:asciiTheme="minorEastAsia" w:hAnsiTheme="minorEastAsia" w:cstheme="minorEastAsia"/>
          <w:color w:val="auto"/>
          <w:kern w:val="0"/>
          <w:sz w:val="24"/>
          <w:lang w:eastAsia="zh-CN"/>
        </w:rPr>
        <w:t>。</w:t>
      </w:r>
    </w:p>
    <w:p w14:paraId="11FFCB4B">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4</w:t>
      </w:r>
      <w:r>
        <w:rPr>
          <w:rFonts w:hint="eastAsia" w:asciiTheme="minorEastAsia" w:hAnsiTheme="minorEastAsia" w:eastAsiaTheme="minorEastAsia" w:cstheme="minorEastAsia"/>
          <w:color w:val="auto"/>
          <w:kern w:val="0"/>
          <w:sz w:val="24"/>
        </w:rPr>
        <w:t>.验收标准参照国家和深圳市现行相关行业的验收规范和评定标准，质量等级达到合格，满足相关政府部门行业及质量管理所需要检验要求。</w:t>
      </w:r>
    </w:p>
    <w:p w14:paraId="0D3F1682">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5</w:t>
      </w:r>
      <w:r>
        <w:rPr>
          <w:rFonts w:hint="eastAsia" w:asciiTheme="minorEastAsia" w:hAnsiTheme="minorEastAsia" w:eastAsiaTheme="minorEastAsia" w:cstheme="minorEastAsia"/>
          <w:color w:val="auto"/>
          <w:kern w:val="0"/>
          <w:sz w:val="24"/>
        </w:rPr>
        <w:t>.投标人须为安装人员配备安装所需的所有器具（包括但不限于安装工具、安全防护措施等），并为员工的安全负责。</w:t>
      </w:r>
    </w:p>
    <w:p w14:paraId="00E6DC47">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Chars="0"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6</w:t>
      </w:r>
      <w:r>
        <w:rPr>
          <w:rFonts w:hint="eastAsia" w:asciiTheme="minorEastAsia" w:hAnsiTheme="minorEastAsia" w:eastAsiaTheme="minorEastAsia" w:cstheme="minorEastAsia"/>
          <w:color w:val="auto"/>
          <w:kern w:val="0"/>
          <w:sz w:val="24"/>
        </w:rPr>
        <w:t>.安装施工过程中，投标人必须设置必要的防护和警示标志。登高施工必须配戴安全帽及安全带。因施工发生任何安全意外事故与采购人无关，均由投标人承担一切责任；如由于安装施工中违规造成采购人相关工作人员或任何第三方的人身和财产损害和损失的，由投标人承担一切经济和法律责任。</w:t>
      </w:r>
    </w:p>
    <w:p w14:paraId="7BBEBE23">
      <w:pPr>
        <w:numPr>
          <w:ilvl w:val="0"/>
          <w:numId w:val="0"/>
        </w:numPr>
        <w:spacing w:line="360" w:lineRule="auto"/>
        <w:ind w:firstLine="480" w:firstLineChars="200"/>
        <w:rPr>
          <w:rFonts w:hint="eastAsia" w:asciiTheme="minorEastAsia" w:hAnsiTheme="minorEastAsia" w:cstheme="minorEastAsia"/>
          <w:sz w:val="24"/>
        </w:rPr>
      </w:pPr>
      <w:r>
        <w:rPr>
          <w:rFonts w:hint="eastAsia" w:asciiTheme="minorEastAsia" w:hAnsiTheme="minorEastAsia" w:cstheme="minorEastAsia"/>
          <w:color w:val="auto"/>
          <w:kern w:val="0"/>
          <w:sz w:val="24"/>
          <w:lang w:val="en-US" w:eastAsia="zh-CN"/>
        </w:rPr>
        <w:t>7</w:t>
      </w:r>
      <w:r>
        <w:rPr>
          <w:rFonts w:hint="eastAsia" w:asciiTheme="minorEastAsia" w:hAnsiTheme="minorEastAsia" w:eastAsiaTheme="minorEastAsia" w:cstheme="minorEastAsia"/>
          <w:color w:val="auto"/>
          <w:kern w:val="0"/>
          <w:sz w:val="24"/>
          <w:lang w:val="en-US" w:eastAsia="zh-CN"/>
        </w:rPr>
        <w:t>.</w:t>
      </w:r>
      <w:r>
        <w:rPr>
          <w:rFonts w:hint="eastAsia" w:asciiTheme="minorEastAsia" w:hAnsiTheme="minorEastAsia" w:eastAsiaTheme="minorEastAsia" w:cstheme="minorEastAsia"/>
          <w:color w:val="auto"/>
          <w:kern w:val="0"/>
          <w:sz w:val="24"/>
        </w:rPr>
        <w:t>施工过程中产生的废料（旧天花、包装材料等）需分类清理，不得随意丢弃，由投标人</w:t>
      </w:r>
      <w:r>
        <w:rPr>
          <w:rFonts w:hint="eastAsia" w:asciiTheme="minorEastAsia" w:hAnsiTheme="minorEastAsia" w:eastAsiaTheme="minorEastAsia" w:cstheme="minorEastAsia"/>
          <w:color w:val="auto"/>
          <w:kern w:val="0"/>
          <w:sz w:val="24"/>
          <w:lang w:eastAsia="zh-CN"/>
        </w:rPr>
        <w:t>妥善处置</w:t>
      </w:r>
      <w:r>
        <w:rPr>
          <w:rFonts w:hint="eastAsia" w:cstheme="minorBidi"/>
          <w:spacing w:val="0"/>
          <w:kern w:val="2"/>
          <w:sz w:val="21"/>
          <w:szCs w:val="24"/>
          <w:lang w:val="en-US" w:eastAsia="zh-CN" w:bidi="ar-SA"/>
        </w:rPr>
        <w:t>。</w:t>
      </w:r>
    </w:p>
    <w:p w14:paraId="635F717B">
      <w:pPr>
        <w:numPr>
          <w:ilvl w:val="0"/>
          <w:numId w:val="7"/>
        </w:numPr>
        <w:adjustRightInd w:val="0"/>
        <w:snapToGrid w:val="0"/>
        <w:spacing w:line="400" w:lineRule="atLeast"/>
        <w:rPr>
          <w:rFonts w:eastAsia="宋体"/>
          <w:b/>
          <w:bCs/>
          <w:sz w:val="24"/>
        </w:rPr>
      </w:pPr>
      <w:r>
        <w:rPr>
          <w:rFonts w:hint="eastAsia" w:asciiTheme="minorEastAsia" w:hAnsiTheme="minorEastAsia" w:eastAsiaTheme="minorEastAsia" w:cstheme="minorEastAsia"/>
          <w:b/>
          <w:bCs/>
          <w:color w:val="auto"/>
          <w:sz w:val="24"/>
          <w:lang w:val="en-US" w:eastAsia="zh-CN"/>
        </w:rPr>
        <w:t>技术要求</w:t>
      </w:r>
    </w:p>
    <w:p w14:paraId="405A2D26">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rPr>
        <w:t>现有电梯</w:t>
      </w:r>
      <w:r>
        <w:rPr>
          <w:rFonts w:hint="eastAsia" w:asciiTheme="minorEastAsia" w:hAnsiTheme="minorEastAsia" w:eastAsiaTheme="minorEastAsia" w:cstheme="minorEastAsia"/>
          <w:color w:val="auto"/>
          <w:kern w:val="0"/>
          <w:sz w:val="24"/>
          <w:lang w:val="en-US" w:eastAsia="zh-CN"/>
        </w:rPr>
        <w:t>天花吊顶</w:t>
      </w:r>
      <w:r>
        <w:rPr>
          <w:rFonts w:hint="eastAsia" w:asciiTheme="minorEastAsia" w:hAnsiTheme="minorEastAsia" w:eastAsiaTheme="minorEastAsia" w:cstheme="minorEastAsia"/>
          <w:color w:val="auto"/>
          <w:kern w:val="0"/>
          <w:sz w:val="24"/>
        </w:rPr>
        <w:t>参数</w:t>
      </w:r>
      <w:r>
        <w:rPr>
          <w:rFonts w:hint="eastAsia" w:asciiTheme="minorEastAsia" w:hAnsiTheme="minorEastAsia" w:cstheme="minorEastAsia"/>
          <w:color w:val="auto"/>
          <w:kern w:val="0"/>
          <w:sz w:val="24"/>
          <w:lang w:eastAsia="zh-CN"/>
        </w:rPr>
        <w:t>如下</w:t>
      </w:r>
      <w:r>
        <w:rPr>
          <w:rFonts w:hint="eastAsia" w:asciiTheme="minorEastAsia" w:hAnsiTheme="minorEastAsia" w:eastAsiaTheme="minorEastAsia" w:cstheme="minorEastAsia"/>
          <w:color w:val="auto"/>
          <w:kern w:val="0"/>
          <w:sz w:val="24"/>
        </w:rPr>
        <w:t>（投标人需现场</w:t>
      </w:r>
      <w:r>
        <w:rPr>
          <w:rFonts w:hint="eastAsia" w:asciiTheme="minorEastAsia" w:hAnsiTheme="minorEastAsia" w:cstheme="minorEastAsia"/>
          <w:color w:val="auto"/>
          <w:kern w:val="0"/>
          <w:sz w:val="24"/>
          <w:lang w:eastAsia="zh-CN"/>
        </w:rPr>
        <w:t>复核</w:t>
      </w:r>
      <w:r>
        <w:rPr>
          <w:rFonts w:hint="eastAsia" w:asciiTheme="minorEastAsia" w:hAnsiTheme="minorEastAsia" w:eastAsiaTheme="minorEastAsia" w:cstheme="minorEastAsia"/>
          <w:color w:val="auto"/>
          <w:kern w:val="0"/>
          <w:sz w:val="24"/>
        </w:rPr>
        <w:t>）：</w:t>
      </w:r>
    </w:p>
    <w:p w14:paraId="1697364B">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rPr>
        <w:t>轿厢内净</w:t>
      </w:r>
      <w:r>
        <w:rPr>
          <w:rFonts w:hint="eastAsia" w:asciiTheme="minorEastAsia" w:hAnsiTheme="minorEastAsia" w:eastAsiaTheme="minorEastAsia" w:cstheme="minorEastAsia"/>
          <w:color w:val="auto"/>
          <w:kern w:val="0"/>
          <w:sz w:val="24"/>
          <w:lang w:val="en-US" w:eastAsia="zh-CN"/>
        </w:rPr>
        <w:t>高</w:t>
      </w:r>
      <w:r>
        <w:rPr>
          <w:rFonts w:hint="eastAsia" w:asciiTheme="minorEastAsia" w:hAnsiTheme="minorEastAsia" w:eastAsiaTheme="minorEastAsia" w:cstheme="minorEastAsia"/>
          <w:color w:val="auto"/>
          <w:kern w:val="0"/>
          <w:sz w:val="24"/>
        </w:rPr>
        <w:t>尺寸</w:t>
      </w:r>
      <w:r>
        <w:rPr>
          <w:rFonts w:hint="default" w:asciiTheme="minorEastAsia" w:hAnsiTheme="minorEastAsia" w:eastAsiaTheme="minorEastAsia" w:cstheme="minorEastAsia"/>
          <w:color w:val="auto"/>
          <w:kern w:val="0"/>
          <w:sz w:val="24"/>
        </w:rPr>
        <w:t>≥</w:t>
      </w:r>
      <w:r>
        <w:rPr>
          <w:rFonts w:hint="eastAsia" w:asciiTheme="minorEastAsia" w:hAnsiTheme="minorEastAsia" w:eastAsiaTheme="minorEastAsia" w:cstheme="minorEastAsia"/>
          <w:color w:val="auto"/>
          <w:kern w:val="0"/>
          <w:sz w:val="24"/>
          <w:lang w:val="en-US" w:eastAsia="zh-CN"/>
        </w:rPr>
        <w:t>2370</w:t>
      </w:r>
      <w:r>
        <w:rPr>
          <w:rFonts w:hint="eastAsia" w:asciiTheme="minorEastAsia" w:hAnsiTheme="minorEastAsia" w:eastAsiaTheme="minorEastAsia" w:cstheme="minorEastAsia"/>
          <w:color w:val="auto"/>
          <w:kern w:val="0"/>
          <w:sz w:val="24"/>
        </w:rPr>
        <w:t>mm</w:t>
      </w:r>
      <w:r>
        <w:rPr>
          <w:rFonts w:hint="eastAsia" w:asciiTheme="minorEastAsia" w:hAnsiTheme="minorEastAsia" w:cstheme="minorEastAsia"/>
          <w:color w:val="auto"/>
          <w:kern w:val="0"/>
          <w:sz w:val="24"/>
          <w:lang w:eastAsia="zh-CN"/>
        </w:rPr>
        <w:t>。</w:t>
      </w:r>
    </w:p>
    <w:p w14:paraId="23879E2A">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rPr>
        <w:t>顶部设备：2个直径</w:t>
      </w:r>
      <w:r>
        <w:rPr>
          <w:rFonts w:hint="eastAsia" w:asciiTheme="minorEastAsia" w:hAnsiTheme="minorEastAsia" w:eastAsiaTheme="minorEastAsia" w:cstheme="minorEastAsia"/>
          <w:color w:val="auto"/>
          <w:kern w:val="0"/>
          <w:sz w:val="24"/>
          <w:lang w:val="en-US" w:eastAsia="zh-CN"/>
        </w:rPr>
        <w:t>300</w:t>
      </w:r>
      <w:r>
        <w:rPr>
          <w:rFonts w:hint="eastAsia" w:asciiTheme="minorEastAsia" w:hAnsiTheme="minorEastAsia" w:eastAsiaTheme="minorEastAsia" w:cstheme="minorEastAsia"/>
          <w:color w:val="auto"/>
          <w:kern w:val="0"/>
          <w:sz w:val="24"/>
        </w:rPr>
        <w:t>mm通风风扇</w:t>
      </w:r>
      <w:r>
        <w:rPr>
          <w:rFonts w:hint="eastAsia" w:asciiTheme="minorEastAsia" w:hAnsiTheme="minorEastAsia" w:eastAsiaTheme="minorEastAsia" w:cstheme="minorEastAsia"/>
          <w:color w:val="auto"/>
          <w:kern w:val="0"/>
          <w:sz w:val="24"/>
          <w:lang w:val="en-US" w:eastAsia="zh-CN"/>
        </w:rPr>
        <w:t>/台</w:t>
      </w:r>
      <w:r>
        <w:rPr>
          <w:rFonts w:hint="eastAsia" w:asciiTheme="minorEastAsia" w:hAnsiTheme="minorEastAsia" w:eastAsiaTheme="minorEastAsia" w:cstheme="minorEastAsia"/>
          <w:color w:val="auto"/>
          <w:kern w:val="0"/>
          <w:sz w:val="24"/>
        </w:rPr>
        <w:t>、LED 照明系统</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lang w:val="en-US" w:eastAsia="zh-CN"/>
        </w:rPr>
        <w:t>医梯9个灯/台，客梯6台）</w:t>
      </w:r>
      <w:r>
        <w:rPr>
          <w:rFonts w:hint="eastAsia" w:asciiTheme="minorEastAsia" w:hAnsiTheme="minorEastAsia" w:cstheme="minorEastAsia"/>
          <w:color w:val="auto"/>
          <w:kern w:val="0"/>
          <w:sz w:val="24"/>
          <w:lang w:val="en-US" w:eastAsia="zh-CN"/>
        </w:rPr>
        <w:t>。</w:t>
      </w:r>
    </w:p>
    <w:p w14:paraId="52EFEAA5">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highlight w:val="yellow"/>
          <w:lang w:val="en-US" w:eastAsia="zh-CN"/>
        </w:rPr>
        <w:t>★</w:t>
      </w:r>
      <w:r>
        <w:rPr>
          <w:rFonts w:hint="eastAsia" w:asciiTheme="minorEastAsia" w:hAnsiTheme="minorEastAsia" w:cstheme="minorEastAsia"/>
          <w:color w:val="auto"/>
          <w:kern w:val="0"/>
          <w:sz w:val="24"/>
          <w:highlight w:val="yellow"/>
          <w:lang w:val="en-US" w:eastAsia="zh-CN"/>
        </w:rPr>
        <w:t>2.</w:t>
      </w:r>
      <w:r>
        <w:rPr>
          <w:rFonts w:hint="eastAsia" w:asciiTheme="minorEastAsia" w:hAnsiTheme="minorEastAsia" w:eastAsiaTheme="minorEastAsia" w:cstheme="minorEastAsia"/>
          <w:color w:val="auto"/>
          <w:kern w:val="0"/>
          <w:sz w:val="24"/>
          <w:highlight w:val="yellow"/>
        </w:rPr>
        <w:t>更换后的天花</w:t>
      </w:r>
      <w:r>
        <w:rPr>
          <w:rFonts w:hint="eastAsia" w:asciiTheme="minorEastAsia" w:hAnsiTheme="minorEastAsia" w:cstheme="minorEastAsia"/>
          <w:color w:val="auto"/>
          <w:kern w:val="0"/>
          <w:sz w:val="24"/>
          <w:highlight w:val="yellow"/>
          <w:lang w:eastAsia="zh-CN"/>
        </w:rPr>
        <w:t>吊顶</w:t>
      </w:r>
      <w:r>
        <w:rPr>
          <w:rFonts w:hint="eastAsia" w:asciiTheme="minorEastAsia" w:hAnsiTheme="minorEastAsia" w:eastAsiaTheme="minorEastAsia" w:cstheme="minorEastAsia"/>
          <w:color w:val="auto"/>
          <w:kern w:val="0"/>
          <w:sz w:val="24"/>
          <w:highlight w:val="yellow"/>
        </w:rPr>
        <w:t>需符合 GB 7588《电梯制造与安装安全规范》国家及行业标准，且满足医用场景使用需求</w:t>
      </w:r>
      <w:r>
        <w:rPr>
          <w:rFonts w:hint="eastAsia" w:asciiTheme="minorEastAsia" w:hAnsiTheme="minorEastAsia" w:eastAsiaTheme="minorEastAsia" w:cstheme="minorEastAsia"/>
          <w:color w:val="auto"/>
          <w:kern w:val="0"/>
          <w:sz w:val="24"/>
        </w:rPr>
        <w:t>。</w:t>
      </w:r>
    </w:p>
    <w:p w14:paraId="3E344ECC">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default" w:asciiTheme="minorEastAsia" w:hAnsiTheme="minorEastAsia" w:eastAsiaTheme="minorEastAsia" w:cstheme="minorEastAsia"/>
          <w:color w:val="auto"/>
          <w:kern w:val="0"/>
          <w:sz w:val="24"/>
          <w:lang w:val="en-US" w:eastAsia="zh-CN"/>
        </w:rPr>
      </w:pPr>
      <w:r>
        <w:rPr>
          <w:rFonts w:hint="eastAsia" w:asciiTheme="minorEastAsia" w:hAnsi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rPr>
        <w:t>工期：单台电梯施工时间≤8小时（需在非高峰时段，如夜间22:00 -次日6:00），整体项目工期≤</w:t>
      </w:r>
      <w:r>
        <w:rPr>
          <w:rFonts w:hint="eastAsia" w:asciiTheme="minorEastAsia" w:hAnsiTheme="minorEastAsia" w:cstheme="minorEastAsia"/>
          <w:color w:val="auto"/>
          <w:kern w:val="0"/>
          <w:sz w:val="24"/>
          <w:lang w:val="en-US" w:eastAsia="zh-CN"/>
        </w:rPr>
        <w:t>1个月</w:t>
      </w:r>
      <w:r>
        <w:rPr>
          <w:rFonts w:hint="eastAsia" w:asciiTheme="minorEastAsia" w:hAnsiTheme="minorEastAsia" w:cstheme="minorEastAsia"/>
          <w:color w:val="auto"/>
          <w:kern w:val="0"/>
          <w:sz w:val="24"/>
          <w:lang w:eastAsia="zh-CN"/>
        </w:rPr>
        <w:t>。</w:t>
      </w:r>
      <w:r>
        <w:rPr>
          <w:rFonts w:hint="eastAsia" w:asciiTheme="minorEastAsia" w:hAnsiTheme="minorEastAsia" w:cstheme="minorEastAsia"/>
          <w:color w:val="auto"/>
          <w:kern w:val="0"/>
          <w:sz w:val="24"/>
          <w:lang w:val="en-US" w:eastAsia="zh-CN"/>
        </w:rPr>
        <w:tab/>
      </w:r>
    </w:p>
    <w:p w14:paraId="0F563D1D">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4.</w:t>
      </w:r>
      <w:r>
        <w:rPr>
          <w:rFonts w:hint="eastAsia" w:asciiTheme="minorEastAsia" w:hAnsiTheme="minorEastAsia" w:eastAsiaTheme="minorEastAsia" w:cstheme="minorEastAsia"/>
          <w:color w:val="auto"/>
          <w:kern w:val="0"/>
          <w:sz w:val="24"/>
        </w:rPr>
        <w:t>安全性：天花整体需具备防脱落、抗冲击能力，检修口需配备防盗防误开锁具，应急照明/通风接口需适配电梯原有应急回路。</w:t>
      </w:r>
    </w:p>
    <w:p w14:paraId="2D748AB7">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5.</w:t>
      </w:r>
      <w:r>
        <w:rPr>
          <w:rFonts w:hint="eastAsia" w:asciiTheme="minorEastAsia" w:hAnsiTheme="minorEastAsia" w:eastAsiaTheme="minorEastAsia" w:cstheme="minorEastAsia"/>
          <w:color w:val="auto"/>
          <w:kern w:val="0"/>
          <w:sz w:val="24"/>
        </w:rPr>
        <w:t>适配性：天花尺寸需与轿厢内净尺寸完全匹配，安装后轿厢内净空高度需满足</w:t>
      </w:r>
      <w:r>
        <w:rPr>
          <w:rFonts w:hint="eastAsia" w:asciiTheme="minorEastAsia" w:hAnsi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≥2.</w:t>
      </w:r>
      <w:r>
        <w:rPr>
          <w:rFonts w:hint="eastAsia" w:asciiTheme="minorEastAsia" w:hAnsiTheme="minorEastAsia" w:cstheme="minorEastAsia"/>
          <w:color w:val="auto"/>
          <w:kern w:val="0"/>
          <w:sz w:val="24"/>
          <w:lang w:val="en-US" w:eastAsia="zh-CN"/>
        </w:rPr>
        <w:t>37</w:t>
      </w:r>
      <w:r>
        <w:rPr>
          <w:rFonts w:hint="eastAsia" w:asciiTheme="minorEastAsia" w:hAnsiTheme="minorEastAsia" w:eastAsiaTheme="minorEastAsia" w:cstheme="minorEastAsia"/>
          <w:color w:val="auto"/>
          <w:kern w:val="0"/>
          <w:sz w:val="24"/>
        </w:rPr>
        <w:t>m，且不影响原有顶部设备正常运行。</w:t>
      </w:r>
    </w:p>
    <w:p w14:paraId="04DE0811">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6.</w:t>
      </w:r>
      <w:r>
        <w:rPr>
          <w:rFonts w:hint="eastAsia" w:asciiTheme="minorEastAsia" w:hAnsiTheme="minorEastAsia" w:eastAsiaTheme="minorEastAsia" w:cstheme="minorEastAsia"/>
          <w:color w:val="auto"/>
          <w:kern w:val="0"/>
          <w:sz w:val="24"/>
          <w:lang w:val="en-US" w:eastAsia="zh-CN"/>
        </w:rPr>
        <w:t>天花</w:t>
      </w:r>
      <w:r>
        <w:rPr>
          <w:rFonts w:hint="eastAsia" w:asciiTheme="minorEastAsia" w:hAnsiTheme="minorEastAsia" w:eastAsiaTheme="minorEastAsia" w:cstheme="minorEastAsia"/>
          <w:color w:val="auto"/>
          <w:kern w:val="0"/>
          <w:sz w:val="24"/>
        </w:rPr>
        <w:t>材质</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rPr>
        <w:t>304</w:t>
      </w:r>
      <w:r>
        <w:rPr>
          <w:rFonts w:hint="eastAsia" w:asciiTheme="minorEastAsia" w:hAnsiTheme="minorEastAsia" w:eastAsiaTheme="minorEastAsia" w:cstheme="minorEastAsia"/>
          <w:color w:val="auto"/>
          <w:kern w:val="0"/>
          <w:sz w:val="24"/>
          <w:lang w:val="en-US" w:eastAsia="zh-CN"/>
        </w:rPr>
        <w:t>不锈钢</w:t>
      </w:r>
      <w:r>
        <w:rPr>
          <w:rFonts w:hint="eastAsia" w:asciiTheme="minorEastAsia" w:hAnsiTheme="minorEastAsia" w:eastAsiaTheme="minorEastAsia" w:cstheme="minorEastAsia"/>
          <w:color w:val="auto"/>
          <w:kern w:val="0"/>
          <w:sz w:val="24"/>
        </w:rPr>
        <w:t>，厚度</w:t>
      </w:r>
      <w:r>
        <w:rPr>
          <w:rFonts w:hint="eastAsia"/>
          <w:lang w:val="en-US" w:eastAsia="zh-CN"/>
        </w:rPr>
        <w:t>≥</w:t>
      </w:r>
      <w:r>
        <w:rPr>
          <w:rFonts w:hint="eastAsia" w:asciiTheme="minorEastAsia" w:hAnsiTheme="minorEastAsia" w:eastAsiaTheme="minorEastAsia" w:cstheme="minorEastAsia"/>
          <w:color w:val="auto"/>
          <w:kern w:val="0"/>
          <w:sz w:val="24"/>
          <w:lang w:val="en-US" w:eastAsia="zh-CN"/>
        </w:rPr>
        <w:t>1.2</w:t>
      </w:r>
      <w:r>
        <w:rPr>
          <w:rFonts w:hint="eastAsia" w:asciiTheme="minorEastAsia" w:hAnsiTheme="minorEastAsia" w:eastAsiaTheme="minorEastAsia" w:cstheme="minorEastAsia"/>
          <w:color w:val="auto"/>
          <w:kern w:val="0"/>
          <w:sz w:val="24"/>
        </w:rPr>
        <w:t>mm，耐腐蚀性符合 GB/T 3280-2021 要求。颜色需与轿厢内饰配色一致（投标人需提供色卡供</w:t>
      </w:r>
      <w:r>
        <w:rPr>
          <w:rFonts w:hint="eastAsia" w:asciiTheme="minorEastAsia" w:hAnsi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确认）</w:t>
      </w:r>
      <w:r>
        <w:rPr>
          <w:rFonts w:hint="eastAsia" w:asciiTheme="minorEastAsia" w:hAnsiTheme="minorEastAsia" w:cstheme="minorEastAsia"/>
          <w:color w:val="auto"/>
          <w:kern w:val="0"/>
          <w:sz w:val="24"/>
          <w:lang w:eastAsia="zh-CN"/>
        </w:rPr>
        <w:t>。</w:t>
      </w:r>
    </w:p>
    <w:p w14:paraId="6568BDE3">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7.</w:t>
      </w:r>
      <w:r>
        <w:rPr>
          <w:rFonts w:hint="eastAsia" w:asciiTheme="minorEastAsia" w:hAnsiTheme="minorEastAsia" w:eastAsiaTheme="minorEastAsia" w:cstheme="minorEastAsia"/>
          <w:color w:val="auto"/>
          <w:kern w:val="0"/>
          <w:sz w:val="24"/>
        </w:rPr>
        <w:t>照明系统：</w:t>
      </w:r>
      <w:r>
        <w:rPr>
          <w:rFonts w:hint="eastAsia" w:asciiTheme="minorEastAsia" w:hAnsiTheme="minorEastAsia" w:eastAsiaTheme="minorEastAsia" w:cstheme="minorEastAsia"/>
          <w:color w:val="auto"/>
          <w:kern w:val="0"/>
          <w:sz w:val="24"/>
          <w:lang w:val="en-US" w:eastAsia="zh-CN"/>
        </w:rPr>
        <w:t>应符合</w:t>
      </w:r>
      <w:r>
        <w:rPr>
          <w:rFonts w:hint="eastAsia" w:asciiTheme="minorEastAsia" w:hAnsiTheme="minorEastAsia" w:eastAsiaTheme="minorEastAsia" w:cstheme="minorEastAsia"/>
          <w:color w:val="auto"/>
          <w:kern w:val="0"/>
          <w:sz w:val="24"/>
        </w:rPr>
        <w:t>《电梯技术条件》（GB/T</w:t>
      </w:r>
      <w:r>
        <w:rPr>
          <w:rFonts w:hint="eastAsia" w:asciiTheme="minorEastAsia" w:hAnsiTheme="minorEastAsia" w:cstheme="minorEastAsia"/>
          <w:color w:val="auto"/>
          <w:kern w:val="0"/>
          <w:sz w:val="24"/>
          <w:lang w:val="en-US" w:eastAsia="zh-CN"/>
        </w:rPr>
        <w:t xml:space="preserve"> </w:t>
      </w:r>
      <w:r>
        <w:rPr>
          <w:rFonts w:hint="eastAsia" w:asciiTheme="minorEastAsia" w:hAnsiTheme="minorEastAsia" w:eastAsiaTheme="minorEastAsia" w:cstheme="minorEastAsia"/>
          <w:color w:val="auto"/>
          <w:kern w:val="0"/>
          <w:sz w:val="24"/>
        </w:rPr>
        <w:t>10058-2009）和《电梯制造与安装安全规范》（GB 7588-2003，含后续修改单）</w:t>
      </w:r>
      <w:r>
        <w:rPr>
          <w:rFonts w:hint="eastAsia" w:asciiTheme="minorEastAsia" w:hAnsiTheme="minorEastAsia" w:eastAsiaTheme="minorEastAsia" w:cstheme="minorEastAsia"/>
          <w:color w:val="auto"/>
          <w:kern w:val="0"/>
          <w:sz w:val="24"/>
          <w:lang w:val="en-US" w:eastAsia="zh-CN"/>
        </w:rPr>
        <w:t>要求，</w:t>
      </w:r>
      <w:r>
        <w:rPr>
          <w:rFonts w:hint="eastAsia" w:asciiTheme="minorEastAsia" w:hAnsiTheme="minorEastAsia" w:eastAsiaTheme="minorEastAsia" w:cstheme="minorEastAsia"/>
          <w:color w:val="auto"/>
          <w:kern w:val="0"/>
          <w:sz w:val="24"/>
        </w:rPr>
        <w:t>轿厢地面平均照度≥80lux，应急照明断电后持续照明≥90min，照度≥15lux</w:t>
      </w:r>
      <w:r>
        <w:rPr>
          <w:rFonts w:hint="eastAsia" w:asciiTheme="minorEastAsia" w:hAnsiTheme="minorEastAsia" w:eastAsiaTheme="minorEastAsia" w:cstheme="minorEastAsia"/>
          <w:color w:val="auto"/>
          <w:kern w:val="0"/>
          <w:sz w:val="24"/>
          <w:lang w:eastAsia="zh-CN"/>
        </w:rPr>
        <w:t>。</w:t>
      </w:r>
    </w:p>
    <w:p w14:paraId="0FF480CB">
      <w:pPr>
        <w:pStyle w:val="33"/>
        <w:ind w:firstLine="480" w:firstLineChars="200"/>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8.</w:t>
      </w:r>
      <w:r>
        <w:rPr>
          <w:rFonts w:hint="eastAsia" w:asciiTheme="minorEastAsia" w:hAnsiTheme="minorEastAsia" w:eastAsiaTheme="minorEastAsia" w:cstheme="minorEastAsia"/>
          <w:color w:val="auto"/>
          <w:kern w:val="0"/>
          <w:sz w:val="24"/>
        </w:rPr>
        <w:t>通风系统：需适配原有</w:t>
      </w:r>
      <w:r>
        <w:rPr>
          <w:rFonts w:hint="eastAsia" w:asciiTheme="minorEastAsia" w:hAnsiTheme="minorEastAsia" w:eastAsiaTheme="minorEastAsia" w:cstheme="minorEastAsia"/>
          <w:color w:val="auto"/>
          <w:kern w:val="0"/>
          <w:sz w:val="24"/>
          <w:lang w:val="en-US" w:eastAsia="zh-CN"/>
        </w:rPr>
        <w:t>通风</w:t>
      </w:r>
      <w:r>
        <w:rPr>
          <w:rFonts w:hint="eastAsia" w:asciiTheme="minorEastAsia" w:hAnsiTheme="minorEastAsia" w:eastAsiaTheme="minorEastAsia" w:cstheme="minorEastAsia"/>
          <w:color w:val="auto"/>
          <w:kern w:val="0"/>
          <w:sz w:val="24"/>
        </w:rPr>
        <w:t>接口（</w:t>
      </w:r>
      <w:r>
        <w:rPr>
          <w:rFonts w:hint="eastAsia" w:asciiTheme="minorEastAsia" w:hAnsiTheme="minorEastAsia" w:cstheme="minorEastAsia"/>
          <w:color w:val="auto"/>
          <w:kern w:val="0"/>
          <w:sz w:val="24"/>
          <w:lang w:eastAsia="zh-CN"/>
        </w:rPr>
        <w:t>尺寸：</w:t>
      </w:r>
      <w:r>
        <w:rPr>
          <w:rFonts w:hint="eastAsia" w:asciiTheme="minorEastAsia" w:hAnsiTheme="minorEastAsia" w:eastAsiaTheme="minorEastAsia" w:cstheme="minorEastAsia"/>
          <w:color w:val="auto"/>
          <w:kern w:val="0"/>
          <w:sz w:val="24"/>
        </w:rPr>
        <w:t>300mm*75mm），风扇运行噪音≤42dB</w:t>
      </w:r>
      <w:r>
        <w:rPr>
          <w:rFonts w:hint="eastAsia" w:asciiTheme="minorEastAsia" w:hAnsiTheme="minorEastAsia" w:cstheme="minorEastAsia"/>
          <w:color w:val="auto"/>
          <w:kern w:val="0"/>
          <w:sz w:val="24"/>
          <w:lang w:eastAsia="zh-CN"/>
        </w:rPr>
        <w:t>。</w:t>
      </w:r>
    </w:p>
    <w:p w14:paraId="4A838B60">
      <w:pPr>
        <w:keepNext w:val="0"/>
        <w:keepLines w:val="0"/>
        <w:pageBreakBefore w:val="0"/>
        <w:numPr>
          <w:ilvl w:val="0"/>
          <w:numId w:val="7"/>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电梯零配件更换清单（包括但不限于以下零配件清单</w:t>
      </w:r>
      <w:r>
        <w:rPr>
          <w:rFonts w:hint="eastAsia" w:asciiTheme="minorEastAsia" w:hAnsiTheme="minorEastAsia" w:eastAsiaTheme="minorEastAsia" w:cstheme="minorEastAsia"/>
          <w:b/>
          <w:bCs/>
          <w:color w:val="auto"/>
          <w:sz w:val="24"/>
          <w:lang w:val="en-US" w:eastAsia="zh-CN"/>
        </w:rPr>
        <w:t>及数量</w:t>
      </w:r>
      <w:r>
        <w:rPr>
          <w:rFonts w:hint="eastAsia" w:asciiTheme="minorEastAsia" w:hAnsiTheme="minorEastAsia" w:cstheme="minorEastAsia"/>
          <w:b/>
          <w:bCs/>
          <w:color w:val="auto"/>
          <w:sz w:val="24"/>
          <w:lang w:val="en-US" w:eastAsia="zh-CN"/>
        </w:rPr>
        <w:t>；</w:t>
      </w:r>
      <w:r>
        <w:rPr>
          <w:rFonts w:hint="eastAsia" w:asciiTheme="minorEastAsia" w:hAnsiTheme="minorEastAsia" w:eastAsiaTheme="minorEastAsia" w:cstheme="minorEastAsia"/>
          <w:b/>
          <w:bCs/>
          <w:color w:val="auto"/>
          <w:sz w:val="24"/>
          <w:lang w:val="en-US" w:eastAsia="zh-CN"/>
        </w:rPr>
        <w:t>轿厢</w:t>
      </w:r>
      <w:r>
        <w:rPr>
          <w:rFonts w:hint="eastAsia" w:asciiTheme="minorEastAsia" w:hAnsiTheme="minorEastAsia" w:cstheme="minorEastAsia"/>
          <w:b/>
          <w:bCs/>
          <w:color w:val="auto"/>
          <w:sz w:val="24"/>
          <w:lang w:val="en-US" w:eastAsia="zh-CN"/>
        </w:rPr>
        <w:t>一体式</w:t>
      </w:r>
      <w:r>
        <w:rPr>
          <w:rFonts w:hint="eastAsia" w:asciiTheme="minorEastAsia" w:hAnsiTheme="minorEastAsia" w:eastAsiaTheme="minorEastAsia" w:cstheme="minorEastAsia"/>
          <w:b/>
          <w:bCs/>
          <w:color w:val="auto"/>
          <w:sz w:val="24"/>
          <w:lang w:val="en-US" w:eastAsia="zh-CN"/>
        </w:rPr>
        <w:t>天花</w:t>
      </w:r>
      <w:r>
        <w:rPr>
          <w:rFonts w:hint="eastAsia" w:asciiTheme="minorEastAsia" w:hAnsiTheme="minorEastAsia" w:cstheme="minorEastAsia"/>
          <w:b/>
          <w:bCs/>
          <w:color w:val="auto"/>
          <w:sz w:val="24"/>
          <w:lang w:val="en-US" w:eastAsia="zh-CN"/>
        </w:rPr>
        <w:t>吊顶</w:t>
      </w:r>
      <w:r>
        <w:rPr>
          <w:rFonts w:hint="eastAsia" w:asciiTheme="minorEastAsia" w:hAnsiTheme="minorEastAsia" w:eastAsiaTheme="minorEastAsia" w:cstheme="minorEastAsia"/>
          <w:b/>
          <w:bCs/>
          <w:color w:val="auto"/>
          <w:sz w:val="24"/>
          <w:lang w:val="en-US" w:eastAsia="zh-CN"/>
        </w:rPr>
        <w:t>采用2-4号楼现有款式</w:t>
      </w:r>
      <w:r>
        <w:rPr>
          <w:rFonts w:hint="eastAsia" w:asciiTheme="minorEastAsia" w:hAnsiTheme="minorEastAsia" w:eastAsiaTheme="minorEastAsia" w:cstheme="minorEastAsia"/>
          <w:b/>
          <w:bCs/>
          <w:color w:val="auto"/>
          <w:sz w:val="24"/>
        </w:rPr>
        <w:t>）</w:t>
      </w:r>
    </w:p>
    <w:tbl>
      <w:tblPr>
        <w:tblStyle w:val="26"/>
        <w:tblW w:w="8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293"/>
        <w:gridCol w:w="1533"/>
        <w:gridCol w:w="4242"/>
      </w:tblGrid>
      <w:tr w14:paraId="28ECA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70" w:type="dxa"/>
            <w:vAlign w:val="center"/>
          </w:tcPr>
          <w:p w14:paraId="00E8DF1C">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序号</w:t>
            </w:r>
          </w:p>
        </w:tc>
        <w:tc>
          <w:tcPr>
            <w:tcW w:w="2293" w:type="dxa"/>
            <w:vAlign w:val="center"/>
          </w:tcPr>
          <w:p w14:paraId="47D8DC34">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货物名称</w:t>
            </w:r>
          </w:p>
        </w:tc>
        <w:tc>
          <w:tcPr>
            <w:tcW w:w="1533" w:type="dxa"/>
            <w:vAlign w:val="center"/>
          </w:tcPr>
          <w:p w14:paraId="35EEC73B">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数量</w:t>
            </w:r>
          </w:p>
        </w:tc>
        <w:tc>
          <w:tcPr>
            <w:tcW w:w="4242" w:type="dxa"/>
            <w:vAlign w:val="center"/>
          </w:tcPr>
          <w:p w14:paraId="49220CAE">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规格型号</w:t>
            </w:r>
          </w:p>
        </w:tc>
      </w:tr>
      <w:tr w14:paraId="26C6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70" w:type="dxa"/>
            <w:vAlign w:val="center"/>
          </w:tcPr>
          <w:p w14:paraId="291BE6C1">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1</w:t>
            </w:r>
          </w:p>
        </w:tc>
        <w:tc>
          <w:tcPr>
            <w:tcW w:w="2293" w:type="dxa"/>
            <w:vAlign w:val="center"/>
          </w:tcPr>
          <w:p w14:paraId="2EDCFDB6">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轿厢一体式天花吊顶</w:t>
            </w:r>
          </w:p>
        </w:tc>
        <w:tc>
          <w:tcPr>
            <w:tcW w:w="1533" w:type="dxa"/>
            <w:vAlign w:val="center"/>
          </w:tcPr>
          <w:p w14:paraId="0B1922D3">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7套</w:t>
            </w:r>
          </w:p>
        </w:tc>
        <w:tc>
          <w:tcPr>
            <w:tcW w:w="4242" w:type="dxa"/>
            <w:vAlign w:val="center"/>
          </w:tcPr>
          <w:p w14:paraId="27B35791">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1.4米x2.4米</w:t>
            </w:r>
          </w:p>
        </w:tc>
      </w:tr>
      <w:tr w14:paraId="2639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70" w:type="dxa"/>
            <w:vAlign w:val="center"/>
          </w:tcPr>
          <w:p w14:paraId="60758D92">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2</w:t>
            </w:r>
          </w:p>
        </w:tc>
        <w:tc>
          <w:tcPr>
            <w:tcW w:w="2293" w:type="dxa"/>
            <w:vAlign w:val="center"/>
          </w:tcPr>
          <w:p w14:paraId="4F58DF4D">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轿厢一体式天花吊顶</w:t>
            </w:r>
          </w:p>
        </w:tc>
        <w:tc>
          <w:tcPr>
            <w:tcW w:w="1533" w:type="dxa"/>
            <w:vAlign w:val="center"/>
          </w:tcPr>
          <w:p w14:paraId="2AB9690F">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6套</w:t>
            </w:r>
          </w:p>
        </w:tc>
        <w:tc>
          <w:tcPr>
            <w:tcW w:w="4242" w:type="dxa"/>
            <w:vAlign w:val="center"/>
          </w:tcPr>
          <w:p w14:paraId="0A9DA4F5">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1.5米x2.0米</w:t>
            </w:r>
          </w:p>
        </w:tc>
      </w:tr>
      <w:tr w14:paraId="2EFC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70" w:type="dxa"/>
            <w:vAlign w:val="center"/>
          </w:tcPr>
          <w:p w14:paraId="1DFD5425">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3</w:t>
            </w:r>
          </w:p>
        </w:tc>
        <w:tc>
          <w:tcPr>
            <w:tcW w:w="2293" w:type="dxa"/>
            <w:vAlign w:val="center"/>
          </w:tcPr>
          <w:p w14:paraId="011DACB7">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按钮面板校正</w:t>
            </w:r>
          </w:p>
        </w:tc>
        <w:tc>
          <w:tcPr>
            <w:tcW w:w="1533" w:type="dxa"/>
            <w:vAlign w:val="center"/>
          </w:tcPr>
          <w:p w14:paraId="326E99AD">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13套</w:t>
            </w:r>
          </w:p>
        </w:tc>
        <w:tc>
          <w:tcPr>
            <w:tcW w:w="4242" w:type="dxa"/>
            <w:vAlign w:val="center"/>
          </w:tcPr>
          <w:p w14:paraId="4DD63D0F">
            <w:pPr>
              <w:keepNext w:val="0"/>
              <w:keepLines w:val="0"/>
              <w:pageBreakBefore w:val="0"/>
              <w:widowControl/>
              <w:kinsoku/>
              <w:wordWrap/>
              <w:overflowPunct/>
              <w:topLinePunct w:val="0"/>
              <w:autoSpaceDE/>
              <w:autoSpaceDN/>
              <w:bidi w:val="0"/>
              <w:spacing w:line="520" w:lineRule="exact"/>
              <w:jc w:val="center"/>
              <w:textAlignment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轿厢按钮面板进行校准和固定</w:t>
            </w:r>
          </w:p>
        </w:tc>
      </w:tr>
    </w:tbl>
    <w:p w14:paraId="1E8D1792">
      <w:pPr>
        <w:keepNext w:val="0"/>
        <w:keepLines w:val="0"/>
        <w:pageBreakBefore w:val="0"/>
        <w:numPr>
          <w:ilvl w:val="0"/>
          <w:numId w:val="7"/>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color w:val="auto"/>
          <w:kern w:val="0"/>
          <w:sz w:val="24"/>
          <w:highlight w:val="yellow"/>
          <w:lang w:val="en-US" w:eastAsia="zh-CN"/>
        </w:rPr>
        <w:t>★</w:t>
      </w:r>
      <w:r>
        <w:rPr>
          <w:rFonts w:hint="eastAsia" w:asciiTheme="minorEastAsia" w:hAnsiTheme="minorEastAsia" w:eastAsiaTheme="minorEastAsia" w:cstheme="minorEastAsia"/>
          <w:b/>
          <w:bCs/>
          <w:color w:val="auto"/>
          <w:sz w:val="24"/>
          <w:highlight w:val="yellow"/>
        </w:rPr>
        <w:t>人员要求</w:t>
      </w:r>
    </w:p>
    <w:p w14:paraId="2189FAC8">
      <w:pPr>
        <w:keepNext w:val="0"/>
        <w:keepLines w:val="0"/>
        <w:pageBreakBefore w:val="0"/>
        <w:numPr>
          <w:ilvl w:val="255"/>
          <w:numId w:val="0"/>
        </w:numPr>
        <w:kinsoku/>
        <w:wordWrap/>
        <w:overflowPunct/>
        <w:topLinePunct w:val="0"/>
        <w:autoSpaceDE/>
        <w:autoSpaceDN/>
        <w:bidi w:val="0"/>
        <w:spacing w:line="520" w:lineRule="exact"/>
        <w:ind w:firstLine="480"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提供3名具备中华人民共和国特种设备安全管理和作业人员证书</w:t>
      </w:r>
      <w:r>
        <w:rPr>
          <w:rFonts w:hint="eastAsia" w:asciiTheme="minorEastAsia" w:hAnsiTheme="minorEastAsia" w:cstheme="minorEastAsia"/>
          <w:bCs/>
          <w:color w:val="auto"/>
          <w:sz w:val="24"/>
          <w:lang w:eastAsia="zh-CN"/>
        </w:rPr>
        <w:t>（作业项目：电梯维修）</w:t>
      </w:r>
      <w:r>
        <w:rPr>
          <w:rFonts w:hint="eastAsia" w:asciiTheme="minorEastAsia" w:hAnsiTheme="minorEastAsia" w:eastAsiaTheme="minorEastAsia" w:cstheme="minorEastAsia"/>
          <w:bCs/>
          <w:color w:val="auto"/>
          <w:sz w:val="24"/>
        </w:rPr>
        <w:t>的人员</w:t>
      </w:r>
      <w:r>
        <w:rPr>
          <w:rFonts w:hint="eastAsia" w:asciiTheme="minorEastAsia" w:hAnsiTheme="minorEastAsia" w:cstheme="minorEastAsia"/>
          <w:bCs/>
          <w:color w:val="auto"/>
          <w:sz w:val="24"/>
          <w:lang w:eastAsia="zh-CN"/>
        </w:rPr>
        <w:t>，</w:t>
      </w:r>
      <w:r>
        <w:rPr>
          <w:rFonts w:hint="eastAsia" w:asciiTheme="minorEastAsia" w:hAnsiTheme="minorEastAsia" w:eastAsiaTheme="minorEastAsia" w:cstheme="minorEastAsia"/>
          <w:bCs/>
          <w:color w:val="auto"/>
          <w:sz w:val="24"/>
        </w:rPr>
        <w:t>持证上岗</w:t>
      </w:r>
      <w:r>
        <w:rPr>
          <w:rFonts w:hint="eastAsia" w:asciiTheme="minorEastAsia" w:hAnsiTheme="minorEastAsia" w:cstheme="minorEastAsia"/>
          <w:bCs/>
          <w:color w:val="auto"/>
          <w:sz w:val="24"/>
          <w:lang w:eastAsia="zh-CN"/>
        </w:rPr>
        <w:t>施工</w:t>
      </w:r>
      <w:r>
        <w:rPr>
          <w:rFonts w:hint="eastAsia" w:asciiTheme="minorEastAsia" w:hAnsiTheme="minorEastAsia" w:eastAsiaTheme="minorEastAsia" w:cstheme="minorEastAsia"/>
          <w:bCs/>
          <w:color w:val="auto"/>
          <w:sz w:val="24"/>
        </w:rPr>
        <w:t>。</w:t>
      </w:r>
    </w:p>
    <w:p w14:paraId="71059A6D">
      <w:pPr>
        <w:pStyle w:val="33"/>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bCs/>
          <w:color w:val="auto"/>
          <w:sz w:val="24"/>
        </w:rPr>
        <w:t>备注：以上人员均需提供近三个月的社保证明，工作经验证明及相关资质证书加盖投标人公章。</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Theme="minorEastAsia" w:hAnsiTheme="minorEastAsia" w:eastAsiaTheme="minorEastAsia" w:cstheme="minorEastAsia"/>
          <w:color w:val="auto"/>
          <w:sz w:val="24"/>
        </w:rPr>
        <w:t>自合同签订之日起</w:t>
      </w:r>
      <w:r>
        <w:rPr>
          <w:rFonts w:hint="eastAsia" w:asciiTheme="minorEastAsia" w:hAnsiTheme="minorEastAsia" w:cstheme="minorEastAsia"/>
          <w:color w:val="auto"/>
          <w:sz w:val="24"/>
          <w:lang w:val="en-US" w:eastAsia="zh-CN"/>
        </w:rPr>
        <w:t>接到采购人通知后</w:t>
      </w:r>
      <w:r>
        <w:rPr>
          <w:rFonts w:hint="eastAsia" w:asciiTheme="minorEastAsia" w:hAnsiTheme="minorEastAsia" w:eastAsiaTheme="minorEastAsia" w:cstheme="minorEastAsia"/>
          <w:color w:val="auto"/>
          <w:sz w:val="24"/>
        </w:rPr>
        <w:t>1个月</w:t>
      </w:r>
      <w:r>
        <w:rPr>
          <w:rFonts w:hint="eastAsia" w:asciiTheme="minorEastAsia" w:hAnsiTheme="minorEastAsia" w:cstheme="minorEastAsia"/>
          <w:color w:val="auto"/>
          <w:sz w:val="24"/>
          <w:lang w:eastAsia="zh-CN"/>
        </w:rPr>
        <w:t>内</w:t>
      </w:r>
      <w:r>
        <w:rPr>
          <w:rFonts w:hint="eastAsia" w:asciiTheme="minorEastAsia" w:hAnsiTheme="minorEastAsia" w:eastAsiaTheme="minorEastAsia" w:cstheme="minorEastAsia"/>
          <w:color w:val="auto"/>
          <w:sz w:val="24"/>
        </w:rPr>
        <w:t>完成</w:t>
      </w:r>
      <w:r>
        <w:rPr>
          <w:rFonts w:hint="eastAsia" w:asciiTheme="minorEastAsia" w:hAnsiTheme="minorEastAsia" w:eastAsiaTheme="minorEastAsia" w:cstheme="minorEastAsia"/>
          <w:color w:val="auto"/>
          <w:sz w:val="24"/>
          <w:lang w:val="en-US" w:eastAsia="zh-CN"/>
        </w:rPr>
        <w:t>1号楼13台</w:t>
      </w:r>
      <w:r>
        <w:rPr>
          <w:rFonts w:hint="eastAsia" w:asciiTheme="minorEastAsia" w:hAnsiTheme="minorEastAsia" w:eastAsiaTheme="minorEastAsia" w:cstheme="minorEastAsia"/>
          <w:color w:val="auto"/>
          <w:sz w:val="24"/>
        </w:rPr>
        <w:t>电梯</w:t>
      </w:r>
      <w:r>
        <w:rPr>
          <w:rFonts w:hint="eastAsia" w:asciiTheme="minorEastAsia" w:hAnsiTheme="minorEastAsia" w:eastAsiaTheme="minorEastAsia" w:cstheme="minorEastAsia"/>
          <w:color w:val="auto"/>
          <w:sz w:val="24"/>
          <w:lang w:val="en-US" w:eastAsia="zh-CN"/>
        </w:rPr>
        <w:t>轿厢装饰整改服务</w:t>
      </w:r>
      <w:r>
        <w:rPr>
          <w:rFonts w:hint="eastAsia" w:asciiTheme="minorEastAsia" w:hAnsiTheme="minorEastAsia" w:eastAsiaTheme="minorEastAsia" w:cstheme="minorEastAsia"/>
          <w:color w:val="auto"/>
          <w:sz w:val="24"/>
        </w:rPr>
        <w:t>，并交付采购人使用。</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Theme="minorEastAsia" w:hAnsiTheme="minorEastAsia" w:eastAsiaTheme="minorEastAsia" w:cstheme="minorEastAsia"/>
          <w:color w:val="auto"/>
          <w:sz w:val="24"/>
        </w:rPr>
        <w:t>中山大学附属第八医院（深圳福田）指定地点</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28F794C9">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投标总价必须是完成该项目的一切费用总和，包括</w:t>
      </w:r>
      <w:r>
        <w:rPr>
          <w:rFonts w:hint="eastAsia" w:asciiTheme="minorEastAsia" w:hAnsiTheme="minorEastAsia" w:eastAsiaTheme="minorEastAsia" w:cstheme="minorEastAsia"/>
          <w:bCs/>
          <w:color w:val="auto"/>
          <w:sz w:val="24"/>
          <w:lang w:eastAsia="zh-CN"/>
        </w:rPr>
        <w:t>轿厢天花</w:t>
      </w:r>
      <w:r>
        <w:rPr>
          <w:rFonts w:hint="eastAsia" w:asciiTheme="minorEastAsia" w:hAnsiTheme="minorEastAsia" w:cstheme="minorEastAsia"/>
          <w:bCs/>
          <w:color w:val="auto"/>
          <w:sz w:val="24"/>
          <w:lang w:eastAsia="zh-CN"/>
        </w:rPr>
        <w:t>吊顶</w:t>
      </w:r>
      <w:r>
        <w:rPr>
          <w:rFonts w:hint="eastAsia" w:asciiTheme="minorEastAsia" w:hAnsiTheme="minorEastAsia" w:eastAsiaTheme="minorEastAsia" w:cstheme="minorEastAsia"/>
          <w:bCs/>
          <w:color w:val="auto"/>
          <w:sz w:val="24"/>
        </w:rPr>
        <w:t>的更换</w:t>
      </w:r>
      <w:r>
        <w:rPr>
          <w:rFonts w:hint="eastAsia" w:asciiTheme="minorEastAsia" w:hAnsiTheme="minorEastAsia" w:eastAsiaTheme="minorEastAsia" w:cstheme="minorEastAsia"/>
          <w:bCs/>
          <w:color w:val="auto"/>
          <w:sz w:val="24"/>
          <w:lang w:val="en-US" w:eastAsia="zh-CN"/>
        </w:rPr>
        <w:t>以及按钮面板校正</w:t>
      </w:r>
      <w:r>
        <w:rPr>
          <w:rFonts w:hint="eastAsia" w:asciiTheme="minorEastAsia" w:hAnsiTheme="minorEastAsia" w:eastAsiaTheme="minorEastAsia" w:cstheme="minorEastAsia"/>
          <w:bCs/>
          <w:color w:val="auto"/>
          <w:sz w:val="24"/>
        </w:rPr>
        <w:t>，</w:t>
      </w:r>
      <w:r>
        <w:rPr>
          <w:rFonts w:hint="eastAsia" w:asciiTheme="minorEastAsia" w:hAnsiTheme="minorEastAsia" w:eastAsiaTheme="minorEastAsia" w:cstheme="minorEastAsia"/>
          <w:color w:val="auto"/>
          <w:kern w:val="0"/>
          <w:sz w:val="24"/>
        </w:rPr>
        <w:t>设备安装、调试、国家规定的各项税费等全部费用。除该报价外，采购人不再向中标人支付任何其他费用。</w:t>
      </w:r>
    </w:p>
    <w:p w14:paraId="27E9ED3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关于验收</w:t>
      </w:r>
    </w:p>
    <w:p w14:paraId="5DAFEDC8">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rPr>
        <w:t>电梯维修完成后，由投标人向</w:t>
      </w:r>
      <w:r>
        <w:rPr>
          <w:rFonts w:hint="eastAsia" w:asciiTheme="minorEastAsia" w:hAnsiTheme="minorEastAsia" w:eastAsiaTheme="minorEastAsia" w:cstheme="minorEastAsia"/>
          <w:color w:val="auto"/>
          <w:kern w:val="0"/>
          <w:sz w:val="24"/>
          <w:lang w:val="en-US" w:eastAsia="zh-CN"/>
        </w:rPr>
        <w:t>采购人</w:t>
      </w:r>
      <w:r>
        <w:rPr>
          <w:rFonts w:hint="eastAsia" w:asciiTheme="minorEastAsia" w:hAnsiTheme="minorEastAsia" w:eastAsiaTheme="minorEastAsia" w:cstheme="minorEastAsia"/>
          <w:color w:val="auto"/>
          <w:kern w:val="0"/>
          <w:sz w:val="24"/>
        </w:rPr>
        <w:t>申请验收，</w:t>
      </w:r>
      <w:r>
        <w:rPr>
          <w:rFonts w:hint="eastAsia" w:asciiTheme="minorEastAsia" w:hAnsiTheme="minorEastAsia" w:eastAsiaTheme="minorEastAsia" w:cstheme="minorEastAsia"/>
          <w:color w:val="auto"/>
          <w:kern w:val="0"/>
          <w:sz w:val="24"/>
          <w:lang w:val="en-US" w:eastAsia="zh-CN"/>
        </w:rPr>
        <w:t>验收合格后</w:t>
      </w:r>
      <w:r>
        <w:rPr>
          <w:rFonts w:hint="eastAsia" w:asciiTheme="minorEastAsia" w:hAnsiTheme="minorEastAsia" w:eastAsiaTheme="minorEastAsia" w:cstheme="minorEastAsia"/>
          <w:color w:val="auto"/>
          <w:kern w:val="0"/>
          <w:sz w:val="24"/>
        </w:rPr>
        <w:t>电梯方可投入正常使用</w:t>
      </w:r>
      <w:r>
        <w:rPr>
          <w:rFonts w:hint="eastAsia" w:asciiTheme="minorEastAsia" w:hAnsiTheme="minorEastAsia" w:cstheme="minorEastAsia"/>
          <w:color w:val="auto"/>
          <w:kern w:val="0"/>
          <w:sz w:val="24"/>
          <w:lang w:eastAsia="zh-CN"/>
        </w:rPr>
        <w:t>。</w:t>
      </w:r>
    </w:p>
    <w:p w14:paraId="25C620FA">
      <w:pPr>
        <w:keepNext w:val="0"/>
        <w:keepLines w:val="0"/>
        <w:pageBreakBefore w:val="0"/>
        <w:kinsoku/>
        <w:wordWrap/>
        <w:overflowPunct/>
        <w:topLinePunct w:val="0"/>
        <w:autoSpaceDE/>
        <w:autoSpaceDN/>
        <w:bidi w:val="0"/>
        <w:adjustRightInd w:val="0"/>
        <w:snapToGrid w:val="0"/>
        <w:spacing w:line="52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lang w:val="en-US" w:eastAsia="zh-CN"/>
        </w:rPr>
        <w:t>质量验收标准</w:t>
      </w:r>
      <w:r>
        <w:rPr>
          <w:rFonts w:hint="eastAsia" w:asciiTheme="minorEastAsia" w:hAnsiTheme="minorEastAsia" w:cstheme="minorEastAsia"/>
          <w:color w:val="auto"/>
          <w:kern w:val="0"/>
          <w:sz w:val="24"/>
          <w:lang w:val="en-US" w:eastAsia="zh-CN"/>
        </w:rPr>
        <w:t>：满足技术参数要求且</w:t>
      </w:r>
      <w:r>
        <w:rPr>
          <w:rFonts w:hint="eastAsia" w:asciiTheme="minorEastAsia" w:hAnsiTheme="minorEastAsia" w:eastAsiaTheme="minorEastAsia" w:cstheme="minorEastAsia"/>
          <w:color w:val="auto"/>
          <w:kern w:val="0"/>
          <w:sz w:val="24"/>
        </w:rPr>
        <w:t>表面无划痕（深度≤0.1mm，长度≤</w:t>
      </w:r>
      <w:r>
        <w:rPr>
          <w:rFonts w:hint="eastAsia" w:asciiTheme="minorEastAsia" w:hAnsiTheme="minorEastAsia" w:cstheme="minorEastAsia"/>
          <w:color w:val="auto"/>
          <w:kern w:val="0"/>
          <w:sz w:val="24"/>
          <w:lang w:val="en-US" w:eastAsia="zh-CN"/>
        </w:rPr>
        <w:t>5</w:t>
      </w:r>
      <w:r>
        <w:rPr>
          <w:rFonts w:hint="eastAsia" w:asciiTheme="minorEastAsia" w:hAnsiTheme="minorEastAsia" w:eastAsiaTheme="minorEastAsia" w:cstheme="minorEastAsia"/>
          <w:color w:val="auto"/>
          <w:kern w:val="0"/>
          <w:sz w:val="24"/>
        </w:rPr>
        <w:t>mm）、鼓包、色差，装饰件安装平整，缝隙≤0.5mm；照明无暗区，通风运行无异响</w:t>
      </w:r>
      <w:r>
        <w:rPr>
          <w:rFonts w:hint="eastAsia" w:asciiTheme="minorEastAsia" w:hAnsiTheme="minorEastAsia" w:eastAsiaTheme="minorEastAsia" w:cstheme="minorEastAsia"/>
          <w:color w:val="auto"/>
          <w:kern w:val="0"/>
          <w:sz w:val="24"/>
          <w:lang w:eastAsia="zh-CN"/>
        </w:rPr>
        <w:t>。</w:t>
      </w:r>
    </w:p>
    <w:p w14:paraId="033C100E">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lang w:val="en-US" w:eastAsia="zh-CN"/>
        </w:rPr>
      </w:pPr>
      <w:r>
        <w:rPr>
          <w:rFonts w:hint="eastAsia" w:asciiTheme="minorEastAsia" w:hAnsiTheme="minorEastAsia" w:eastAsiaTheme="minorEastAsia" w:cstheme="minorEastAsia"/>
          <w:b/>
          <w:bCs/>
          <w:color w:val="auto"/>
          <w:sz w:val="24"/>
          <w:lang w:val="en-US" w:eastAsia="zh-CN"/>
        </w:rPr>
        <w:t>售后服务</w:t>
      </w:r>
    </w:p>
    <w:p w14:paraId="19C46B40">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cstheme="minorEastAsia"/>
          <w:bCs/>
          <w:color w:val="auto"/>
          <w:sz w:val="24"/>
          <w:lang w:eastAsia="zh-CN"/>
        </w:rPr>
      </w:pPr>
      <w:r>
        <w:rPr>
          <w:rFonts w:hint="eastAsia" w:asciiTheme="minorEastAsia" w:hAnsiTheme="minorEastAsia" w:cstheme="minorEastAsia"/>
          <w:bCs/>
          <w:color w:val="auto"/>
          <w:sz w:val="24"/>
          <w:lang w:val="en-US" w:eastAsia="zh-CN"/>
        </w:rPr>
        <w:t>1.</w:t>
      </w:r>
      <w:r>
        <w:rPr>
          <w:rFonts w:hint="eastAsia" w:asciiTheme="minorEastAsia" w:hAnsiTheme="minorEastAsia" w:cstheme="minorEastAsia"/>
          <w:bCs/>
          <w:color w:val="auto"/>
          <w:sz w:val="24"/>
          <w:lang w:eastAsia="zh-CN"/>
        </w:rPr>
        <w:t>保修期：整体保修期</w:t>
      </w:r>
      <w:r>
        <w:rPr>
          <w:rFonts w:hint="eastAsia" w:asciiTheme="minorEastAsia" w:hAnsiTheme="minorEastAsia" w:cstheme="minorEastAsia"/>
          <w:bCs/>
          <w:color w:val="auto"/>
          <w:sz w:val="24"/>
          <w:lang w:val="en-US" w:eastAsia="zh-CN"/>
        </w:rPr>
        <w:t>1</w:t>
      </w:r>
      <w:r>
        <w:rPr>
          <w:rFonts w:hint="eastAsia" w:asciiTheme="minorEastAsia" w:hAnsiTheme="minorEastAsia" w:cstheme="minorEastAsia"/>
          <w:bCs/>
          <w:color w:val="auto"/>
          <w:sz w:val="24"/>
          <w:lang w:eastAsia="zh-CN"/>
        </w:rPr>
        <w:t>年（自验收合格之日起），保修期内免费维修、更换损坏部件（非人为损坏）；因配件运行不善、故障等导致电梯事故发生，投标人须负责相关事故的善后及赔偿</w:t>
      </w:r>
      <w:r>
        <w:rPr>
          <w:rFonts w:hint="eastAsia" w:asciiTheme="minorEastAsia" w:hAnsiTheme="minorEastAsia" w:cstheme="minorEastAsia"/>
          <w:bCs/>
          <w:color w:val="auto"/>
          <w:sz w:val="24"/>
          <w:lang w:val="en-US" w:eastAsia="zh-CN"/>
        </w:rPr>
        <w:t>事宜</w:t>
      </w:r>
      <w:r>
        <w:rPr>
          <w:rFonts w:hint="eastAsia" w:asciiTheme="minorEastAsia" w:hAnsiTheme="minorEastAsia" w:cstheme="minorEastAsia"/>
          <w:bCs/>
          <w:color w:val="auto"/>
          <w:sz w:val="24"/>
          <w:lang w:eastAsia="zh-CN"/>
        </w:rPr>
        <w:t>。</w:t>
      </w:r>
    </w:p>
    <w:p w14:paraId="227A39E4">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bCs/>
          <w:color w:val="auto"/>
          <w:sz w:val="24"/>
          <w:lang w:val="en-US" w:eastAsia="zh-CN"/>
        </w:rPr>
        <w:t>2.</w:t>
      </w:r>
      <w:r>
        <w:rPr>
          <w:rFonts w:hint="eastAsia" w:asciiTheme="minorEastAsia" w:hAnsiTheme="minorEastAsia" w:cstheme="minorEastAsia"/>
          <w:bCs/>
          <w:color w:val="auto"/>
          <w:sz w:val="24"/>
          <w:lang w:eastAsia="zh-CN"/>
        </w:rPr>
        <w:t>更换零配件的</w:t>
      </w:r>
      <w:r>
        <w:rPr>
          <w:rFonts w:hint="eastAsia" w:asciiTheme="minorEastAsia" w:hAnsiTheme="minorEastAsia" w:eastAsiaTheme="minorEastAsia" w:cstheme="minorEastAsia"/>
          <w:bCs/>
          <w:color w:val="auto"/>
          <w:sz w:val="24"/>
        </w:rPr>
        <w:t>各项性能规格不得低于原有设备。如遇特殊情况，故障设备没有相同的备件产品，</w:t>
      </w:r>
      <w:r>
        <w:rPr>
          <w:rFonts w:hint="eastAsia" w:asciiTheme="minorEastAsia" w:hAnsiTheme="minorEastAsia" w:eastAsiaTheme="minorEastAsia" w:cstheme="minorEastAsia"/>
          <w:bCs/>
          <w:color w:val="auto"/>
          <w:sz w:val="24"/>
          <w:lang w:val="en-US" w:eastAsia="zh-CN"/>
        </w:rPr>
        <w:t>须</w:t>
      </w:r>
      <w:r>
        <w:rPr>
          <w:rFonts w:hint="eastAsia" w:asciiTheme="minorEastAsia" w:hAnsiTheme="minorEastAsia" w:eastAsiaTheme="minorEastAsia" w:cstheme="minorEastAsia"/>
          <w:bCs/>
          <w:color w:val="auto"/>
          <w:sz w:val="24"/>
        </w:rPr>
        <w:t>经采购人同意后，可在约定的备件到达时间内提供不低于原设备性能的替代产品，以保证设备的正常运行</w:t>
      </w:r>
      <w:r>
        <w:rPr>
          <w:rFonts w:hint="eastAsia" w:asciiTheme="minorEastAsia" w:hAnsiTheme="minorEastAsia" w:cstheme="minorEastAsia"/>
          <w:bCs/>
          <w:color w:val="auto"/>
          <w:sz w:val="24"/>
          <w:lang w:eastAsia="zh-CN"/>
        </w:rPr>
        <w:t>。</w:t>
      </w:r>
    </w:p>
    <w:p w14:paraId="3289E05C">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rPr>
        <w:t>响应时间：接到维修通知后，</w:t>
      </w:r>
      <w:r>
        <w:rPr>
          <w:rFonts w:hint="eastAsia" w:asciiTheme="minorEastAsia" w:hAnsiTheme="minorEastAsia" w:cstheme="minorEastAsia"/>
          <w:color w:val="auto"/>
          <w:kern w:val="0"/>
          <w:sz w:val="24"/>
          <w:lang w:val="en-US" w:eastAsia="zh-CN"/>
        </w:rPr>
        <w:t>1小时</w:t>
      </w:r>
      <w:r>
        <w:rPr>
          <w:rFonts w:hint="eastAsia" w:asciiTheme="minorEastAsia" w:hAnsiTheme="minorEastAsia" w:eastAsiaTheme="minorEastAsia" w:cstheme="minorEastAsia"/>
          <w:color w:val="auto"/>
          <w:kern w:val="0"/>
          <w:sz w:val="24"/>
        </w:rPr>
        <w:t>内响应</w:t>
      </w:r>
      <w:r>
        <w:rPr>
          <w:rFonts w:hint="eastAsia" w:asciiTheme="minorEastAsia" w:hAnsiTheme="minorEastAsia" w:cstheme="minorEastAsia"/>
          <w:color w:val="auto"/>
          <w:kern w:val="0"/>
          <w:sz w:val="24"/>
          <w:lang w:eastAsia="zh-CN"/>
        </w:rPr>
        <w:t>。</w:t>
      </w:r>
    </w:p>
    <w:p w14:paraId="6BBEB6EE">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cstheme="minorEastAsia"/>
          <w:color w:val="auto"/>
          <w:kern w:val="0"/>
          <w:sz w:val="24"/>
          <w:lang w:val="en-US" w:eastAsia="zh-CN"/>
        </w:rPr>
        <w:t>4.</w:t>
      </w:r>
      <w:r>
        <w:rPr>
          <w:rFonts w:hint="eastAsia" w:asciiTheme="minorEastAsia" w:hAnsiTheme="minorEastAsia" w:eastAsiaTheme="minorEastAsia" w:cstheme="minorEastAsia"/>
          <w:color w:val="auto"/>
          <w:kern w:val="0"/>
          <w:sz w:val="24"/>
        </w:rPr>
        <w:t>培训服务：保修期内提供 1 次免费培训，指导</w:t>
      </w:r>
      <w:r>
        <w:rPr>
          <w:rFonts w:hint="eastAsia" w:asciiTheme="minorEastAsia" w:hAnsi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工作人员掌握应急照明切换等操作。</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386F42FA">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rPr>
        <w:t>按照中山大学附属第八医院（深圳福田）有关规定付款。</w:t>
      </w:r>
    </w:p>
    <w:p w14:paraId="6A798E5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rPr>
        <w:t>电梯</w:t>
      </w:r>
      <w:r>
        <w:rPr>
          <w:rFonts w:hint="eastAsia" w:asciiTheme="minorEastAsia" w:hAnsiTheme="minorEastAsia" w:eastAsiaTheme="minorEastAsia" w:cstheme="minorEastAsia"/>
          <w:color w:val="auto"/>
          <w:kern w:val="0"/>
          <w:sz w:val="24"/>
          <w:lang w:val="en-US" w:eastAsia="zh-CN"/>
        </w:rPr>
        <w:t>轿厢装饰整改完成</w:t>
      </w:r>
      <w:r>
        <w:rPr>
          <w:rFonts w:hint="eastAsia" w:asciiTheme="minorEastAsia" w:hAnsiTheme="minorEastAsia" w:eastAsiaTheme="minorEastAsia" w:cstheme="minorEastAsia"/>
          <w:color w:val="auto"/>
          <w:kern w:val="0"/>
          <w:sz w:val="24"/>
          <w:lang w:eastAsia="zh-CN"/>
        </w:rPr>
        <w:t>，经采购人验收合格</w:t>
      </w:r>
      <w:r>
        <w:rPr>
          <w:rFonts w:hint="eastAsia" w:asciiTheme="minorEastAsia" w:hAnsiTheme="minorEastAsia" w:eastAsiaTheme="minorEastAsia" w:cstheme="minorEastAsia"/>
          <w:color w:val="auto"/>
          <w:kern w:val="0"/>
          <w:sz w:val="24"/>
        </w:rPr>
        <w:t>。</w:t>
      </w:r>
      <w:r>
        <w:rPr>
          <w:rFonts w:hint="eastAsia" w:asciiTheme="minorEastAsia" w:hAnsiTheme="minorEastAsia" w:cstheme="minorEastAsia"/>
          <w:color w:val="auto"/>
          <w:kern w:val="0"/>
          <w:sz w:val="24"/>
          <w:lang w:eastAsia="zh-CN"/>
        </w:rPr>
        <w:t>投标人</w:t>
      </w:r>
      <w:r>
        <w:rPr>
          <w:rFonts w:hint="eastAsia" w:asciiTheme="minorEastAsia" w:hAnsiTheme="minorEastAsia" w:eastAsiaTheme="minorEastAsia" w:cstheme="minorEastAsia"/>
          <w:color w:val="auto"/>
          <w:kern w:val="0"/>
          <w:sz w:val="24"/>
        </w:rPr>
        <w:t>向</w:t>
      </w:r>
      <w:r>
        <w:rPr>
          <w:rFonts w:hint="eastAsia" w:asciiTheme="minorEastAsia" w:hAnsi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出具与合同总金额等额的发票，自</w:t>
      </w:r>
      <w:r>
        <w:rPr>
          <w:rFonts w:hint="eastAsia" w:asciiTheme="minorEastAsia" w:hAnsiTheme="minorEastAsia" w:cstheme="minorEastAsia"/>
          <w:color w:val="auto"/>
          <w:kern w:val="0"/>
          <w:sz w:val="24"/>
          <w:lang w:eastAsia="zh-CN"/>
        </w:rPr>
        <w:t>采购人</w:t>
      </w:r>
      <w:r>
        <w:rPr>
          <w:rFonts w:hint="eastAsia" w:asciiTheme="minorEastAsia" w:hAnsiTheme="minorEastAsia" w:eastAsiaTheme="minorEastAsia" w:cstheme="minorEastAsia"/>
          <w:color w:val="auto"/>
          <w:kern w:val="0"/>
          <w:sz w:val="24"/>
        </w:rPr>
        <w:t>财务</w:t>
      </w:r>
      <w:r>
        <w:rPr>
          <w:rFonts w:hint="eastAsia" w:asciiTheme="minorEastAsia" w:hAnsiTheme="minorEastAsia" w:eastAsiaTheme="minorEastAsia" w:cstheme="minorEastAsia"/>
          <w:color w:val="auto"/>
          <w:kern w:val="0"/>
          <w:sz w:val="24"/>
          <w:lang w:val="en-US" w:eastAsia="zh-CN"/>
        </w:rPr>
        <w:t>收到发票及相应凭证资料</w:t>
      </w:r>
      <w:r>
        <w:rPr>
          <w:rFonts w:hint="eastAsia" w:asciiTheme="minorEastAsia" w:hAnsiTheme="minorEastAsia" w:eastAsiaTheme="minorEastAsia" w:cstheme="minorEastAsia"/>
          <w:color w:val="auto"/>
          <w:kern w:val="0"/>
          <w:sz w:val="24"/>
        </w:rPr>
        <w:t>之日起</w:t>
      </w:r>
      <w:r>
        <w:rPr>
          <w:rFonts w:hint="eastAsia" w:asciiTheme="minorEastAsia" w:hAnsiTheme="minorEastAsia" w:eastAsiaTheme="minorEastAsia" w:cstheme="minorEastAsia"/>
          <w:color w:val="auto"/>
          <w:kern w:val="0"/>
          <w:sz w:val="24"/>
          <w:lang w:val="en-US" w:eastAsia="zh-CN"/>
        </w:rPr>
        <w:t>10个工作</w:t>
      </w:r>
      <w:r>
        <w:rPr>
          <w:rFonts w:hint="eastAsia" w:asciiTheme="minorEastAsia" w:hAnsiTheme="minorEastAsia" w:eastAsiaTheme="minorEastAsia" w:cstheme="minorEastAsia"/>
          <w:color w:val="auto"/>
          <w:kern w:val="0"/>
          <w:sz w:val="24"/>
        </w:rPr>
        <w:t>日内向</w:t>
      </w:r>
      <w:r>
        <w:rPr>
          <w:rFonts w:hint="eastAsia" w:asciiTheme="minorEastAsia" w:hAnsiTheme="minorEastAsia" w:cstheme="minorEastAsia"/>
          <w:color w:val="auto"/>
          <w:kern w:val="0"/>
          <w:sz w:val="24"/>
          <w:lang w:eastAsia="zh-CN"/>
        </w:rPr>
        <w:t>投标人</w:t>
      </w:r>
      <w:r>
        <w:rPr>
          <w:rFonts w:hint="eastAsia" w:asciiTheme="minorEastAsia" w:hAnsiTheme="minorEastAsia" w:eastAsiaTheme="minorEastAsia" w:cstheme="minorEastAsia"/>
          <w:color w:val="auto"/>
          <w:kern w:val="0"/>
          <w:sz w:val="24"/>
          <w:lang w:val="en-US" w:eastAsia="zh-CN"/>
        </w:rPr>
        <w:t>支付发票等额款项</w:t>
      </w:r>
      <w:r>
        <w:rPr>
          <w:rFonts w:hint="eastAsia" w:asciiTheme="minorEastAsia" w:hAnsiTheme="minorEastAsia" w:eastAsiaTheme="minorEastAsia" w:cstheme="minorEastAsia"/>
          <w:color w:val="auto"/>
          <w:kern w:val="0"/>
          <w:sz w:val="24"/>
        </w:rPr>
        <w:t>。</w:t>
      </w:r>
    </w:p>
    <w:p w14:paraId="0328A905">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违约责任</w:t>
      </w:r>
    </w:p>
    <w:p w14:paraId="7D85B975">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rPr>
        <w:t>投标人所整改的项目不得违反电梯年审的相关要求。</w:t>
      </w:r>
    </w:p>
    <w:p w14:paraId="638690CC">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2.</w:t>
      </w:r>
      <w:r>
        <w:rPr>
          <w:rFonts w:hint="eastAsia" w:asciiTheme="minorEastAsia" w:hAnsiTheme="minorEastAsia" w:eastAsiaTheme="minorEastAsia" w:cstheme="minorEastAsia"/>
          <w:color w:val="auto"/>
          <w:kern w:val="0"/>
          <w:sz w:val="24"/>
        </w:rPr>
        <w:t>由于投标人的原因而造成年审不合格，由投标人负责一切复检所需费用，直至复检合格为止；投标人并需同时承担因电梯年检不合格而造成的责任（包括安全使用责任及赔偿责任)。</w:t>
      </w:r>
    </w:p>
    <w:p w14:paraId="77B74D8D">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rPr>
        <w:t>中标人须根据采购文件要求提供服务，若因中标人方面原因导致项目无法进行而给采购人造成损失的，中标人应当承担一切经济及法律责任。</w:t>
      </w:r>
    </w:p>
    <w:p w14:paraId="53FBC36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4.</w:t>
      </w:r>
      <w:r>
        <w:rPr>
          <w:rFonts w:hint="eastAsia" w:asciiTheme="minorEastAsia" w:hAnsiTheme="minorEastAsia" w:eastAsiaTheme="minorEastAsia" w:cstheme="minorEastAsia"/>
          <w:color w:val="auto"/>
          <w:kern w:val="0"/>
          <w:sz w:val="24"/>
        </w:rPr>
        <w:t>中标人所交货物的品种、型号、规格、质量、功能、技术参数等不能实质性满足采购文件要求，交付的货物或服务不符合合同约定的，采购人有权拒绝收货或拒绝验收，且中标人向采购人支付合同总价的5%的违约金。</w:t>
      </w:r>
    </w:p>
    <w:p w14:paraId="6955CFA0">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5.</w:t>
      </w:r>
      <w:r>
        <w:rPr>
          <w:rFonts w:hint="eastAsia" w:asciiTheme="minorEastAsia" w:hAnsiTheme="minorEastAsia" w:eastAsiaTheme="minorEastAsia" w:cstheme="minorEastAsia"/>
          <w:color w:val="auto"/>
          <w:kern w:val="0"/>
          <w:sz w:val="24"/>
        </w:rPr>
        <w:t>中标人必须遵守国家法律、法规和深圳市有关条例规定，项目服务内容不得有违法行为，如有违反法律法规或有关条例的规定，由此产生的一切责任由中标人承担。</w:t>
      </w:r>
    </w:p>
    <w:p w14:paraId="289F97C8">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6.</w:t>
      </w:r>
      <w:r>
        <w:rPr>
          <w:rFonts w:hint="eastAsia" w:asciiTheme="minorEastAsia" w:hAnsiTheme="minorEastAsia" w:eastAsiaTheme="minorEastAsia" w:cstheme="minorEastAsia"/>
          <w:color w:val="auto"/>
          <w:kern w:val="0"/>
          <w:sz w:val="24"/>
          <w:lang w:eastAsia="zh-CN"/>
        </w:rPr>
        <w:t>整改期限</w:t>
      </w:r>
      <w:r>
        <w:rPr>
          <w:rFonts w:hint="eastAsia" w:asciiTheme="minorEastAsia" w:hAnsiTheme="minorEastAsia" w:eastAsiaTheme="minorEastAsia" w:cstheme="minorEastAsia"/>
          <w:color w:val="auto"/>
          <w:kern w:val="0"/>
          <w:sz w:val="24"/>
        </w:rPr>
        <w:t>逾期超过三十日的，中标人需向采购人支付合同总价的</w:t>
      </w:r>
      <w:r>
        <w:rPr>
          <w:rFonts w:hint="eastAsia" w:asciiTheme="minorEastAsia" w:hAnsiTheme="minorEastAsia" w:eastAsiaTheme="minorEastAsia" w:cstheme="minorEastAsia"/>
          <w:color w:val="auto"/>
          <w:kern w:val="0"/>
          <w:sz w:val="24"/>
          <w:lang w:val="en-US" w:eastAsia="zh-CN"/>
        </w:rPr>
        <w:t>3</w:t>
      </w:r>
      <w:r>
        <w:rPr>
          <w:rFonts w:hint="eastAsia" w:asciiTheme="minorEastAsia" w:hAnsiTheme="minorEastAsia" w:eastAsiaTheme="minorEastAsia" w:cstheme="minorEastAsia"/>
          <w:color w:val="auto"/>
          <w:kern w:val="0"/>
          <w:sz w:val="24"/>
        </w:rPr>
        <w:t>0%的违约金，且采购人有权单方解除合同。并自行委托第三方提供中标人逾期提供的货物或服务，采购人因中标人逾期履约而委托第三方产生的全部费用由中标人承担。中标人于收到采购人发出的解除合同通知书后三日内无条件退回采购人已支付的全部款项。</w:t>
      </w:r>
    </w:p>
    <w:p w14:paraId="2ED09DF5">
      <w:r>
        <w:rPr>
          <w:rFonts w:hint="eastAsia" w:asciiTheme="minorEastAsia" w:hAnsiTheme="minorEastAsia" w:eastAsiaTheme="minorEastAsia" w:cstheme="minorEastAsia"/>
          <w:color w:val="auto"/>
          <w:kern w:val="0"/>
          <w:sz w:val="24"/>
          <w:lang w:val="en-US" w:eastAsia="zh-CN"/>
        </w:rPr>
        <w:t>7.</w:t>
      </w:r>
      <w:r>
        <w:rPr>
          <w:rFonts w:hint="eastAsia" w:asciiTheme="minorEastAsia" w:hAnsiTheme="minorEastAsia" w:eastAsiaTheme="minorEastAsia" w:cstheme="minorEastAsia"/>
          <w:color w:val="auto"/>
          <w:kern w:val="0"/>
          <w:sz w:val="24"/>
        </w:rPr>
        <w:t>中标人未按合同约定时间提供服务的，中标人须向采购人支付合同总金额</w:t>
      </w:r>
      <w:r>
        <w:rPr>
          <w:rFonts w:hint="eastAsia" w:asciiTheme="minorEastAsia" w:hAnsiTheme="minorEastAsia" w:eastAsiaTheme="minorEastAsia" w:cstheme="minorEastAsia"/>
          <w:color w:val="auto"/>
          <w:kern w:val="0"/>
          <w:sz w:val="24"/>
          <w:lang w:val="en-US" w:eastAsia="zh-CN"/>
        </w:rPr>
        <w:t>1</w:t>
      </w:r>
      <w:r>
        <w:rPr>
          <w:rFonts w:hint="eastAsia" w:asciiTheme="minorEastAsia" w:hAnsiTheme="minorEastAsia" w:eastAsiaTheme="minorEastAsia" w:cstheme="minorEastAsia"/>
          <w:color w:val="auto"/>
          <w:kern w:val="0"/>
          <w:sz w:val="24"/>
        </w:rPr>
        <w:t>0%的违约金</w:t>
      </w:r>
    </w:p>
    <w:p w14:paraId="508B3717">
      <w:pPr>
        <w:spacing w:line="360" w:lineRule="auto"/>
        <w:ind w:left="420" w:firstLine="210" w:firstLineChars="100"/>
      </w:pPr>
    </w:p>
    <w:p w14:paraId="5D068B69">
      <w:pPr>
        <w:pStyle w:val="2"/>
      </w:pPr>
    </w:p>
    <w:p w14:paraId="074F738D"/>
    <w:p w14:paraId="133056E8">
      <w:pPr>
        <w:pStyle w:val="2"/>
      </w:pPr>
    </w:p>
    <w:p w14:paraId="2CCD7DB9"/>
    <w:p w14:paraId="32678D50">
      <w:pPr>
        <w:pStyle w:val="2"/>
      </w:pPr>
    </w:p>
    <w:p w14:paraId="30714DED"/>
    <w:p w14:paraId="764C367B"/>
    <w:p w14:paraId="00364327">
      <w:pPr>
        <w:pStyle w:val="4"/>
      </w:pPr>
    </w:p>
    <w:p w14:paraId="14089EE9">
      <w:pPr>
        <w:adjustRightInd w:val="0"/>
        <w:snapToGrid w:val="0"/>
        <w:spacing w:line="520" w:lineRule="atLeast"/>
        <w:ind w:firstLine="2640" w:firstLineChars="600"/>
        <w:rPr>
          <w:rFonts w:eastAsia="方正小标宋简体"/>
          <w:kern w:val="0"/>
          <w:sz w:val="44"/>
          <w:szCs w:val="36"/>
        </w:rPr>
      </w:pPr>
      <w:bookmarkStart w:id="0" w:name="_Toc22206"/>
      <w:bookmarkStart w:id="1" w:name="_Toc8307306"/>
      <w:bookmarkStart w:id="2" w:name="_Toc9128_WPSOffice_Level1"/>
      <w:bookmarkStart w:id="3" w:name="_Toc24338"/>
      <w:bookmarkStart w:id="4" w:name="_Toc435115056"/>
      <w:bookmarkStart w:id="5" w:name="_Toc57128626"/>
      <w:bookmarkStart w:id="6" w:name="_Toc435514851"/>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2"/>
        <w:rPr>
          <w:rFonts w:eastAsia="方正小标宋简体"/>
          <w:kern w:val="0"/>
          <w:sz w:val="44"/>
          <w:szCs w:val="36"/>
        </w:rPr>
      </w:pPr>
    </w:p>
    <w:p w14:paraId="2AED19B6">
      <w:pPr>
        <w:rPr>
          <w:rFonts w:eastAsia="方正小标宋简体"/>
          <w:kern w:val="0"/>
          <w:sz w:val="44"/>
          <w:szCs w:val="36"/>
        </w:rPr>
      </w:pPr>
    </w:p>
    <w:p w14:paraId="399281C6">
      <w:pPr>
        <w:pStyle w:val="2"/>
      </w:pPr>
    </w:p>
    <w:p w14:paraId="6E562041">
      <w:pPr>
        <w:adjustRightInd w:val="0"/>
        <w:snapToGrid w:val="0"/>
        <w:spacing w:line="520" w:lineRule="atLeast"/>
        <w:ind w:firstLine="2640" w:firstLineChars="600"/>
        <w:rPr>
          <w:rFonts w:eastAsia="方正小标宋简体"/>
          <w:kern w:val="0"/>
          <w:sz w:val="44"/>
          <w:szCs w:val="36"/>
        </w:rPr>
      </w:pPr>
    </w:p>
    <w:p w14:paraId="696EE2E6">
      <w:pPr>
        <w:adjustRightInd w:val="0"/>
        <w:snapToGrid w:val="0"/>
        <w:spacing w:line="520" w:lineRule="atLeast"/>
        <w:ind w:firstLine="2640" w:firstLineChars="600"/>
        <w:rPr>
          <w:rFonts w:eastAsia="方正小标宋简体"/>
          <w:kern w:val="0"/>
          <w:sz w:val="44"/>
          <w:szCs w:val="36"/>
        </w:rPr>
      </w:pPr>
    </w:p>
    <w:p w14:paraId="6066A112">
      <w:pPr>
        <w:adjustRightInd w:val="0"/>
        <w:snapToGrid w:val="0"/>
        <w:spacing w:line="520" w:lineRule="atLeast"/>
        <w:ind w:firstLine="2640" w:firstLineChars="600"/>
        <w:rPr>
          <w:rFonts w:eastAsia="方正小标宋简体"/>
          <w:kern w:val="0"/>
          <w:sz w:val="44"/>
          <w:szCs w:val="36"/>
        </w:rPr>
      </w:pPr>
    </w:p>
    <w:p w14:paraId="2F99FF7B">
      <w:pPr>
        <w:adjustRightInd w:val="0"/>
        <w:snapToGrid w:val="0"/>
        <w:spacing w:line="520" w:lineRule="atLeast"/>
        <w:ind w:firstLine="2640" w:firstLineChars="600"/>
        <w:rPr>
          <w:rFonts w:eastAsia="方正小标宋简体"/>
          <w:kern w:val="0"/>
          <w:sz w:val="44"/>
          <w:szCs w:val="36"/>
        </w:rPr>
      </w:pPr>
    </w:p>
    <w:p w14:paraId="2D86343F">
      <w:pPr>
        <w:adjustRightInd w:val="0"/>
        <w:snapToGrid w:val="0"/>
        <w:spacing w:line="520" w:lineRule="atLeast"/>
        <w:ind w:firstLine="2640" w:firstLineChars="600"/>
        <w:rPr>
          <w:rFonts w:eastAsia="方正小标宋简体"/>
          <w:kern w:val="0"/>
          <w:sz w:val="44"/>
          <w:szCs w:val="36"/>
        </w:rPr>
      </w:pPr>
    </w:p>
    <w:p w14:paraId="3410B27A">
      <w:pPr>
        <w:adjustRightInd w:val="0"/>
        <w:snapToGrid w:val="0"/>
        <w:spacing w:line="520" w:lineRule="atLeast"/>
        <w:ind w:firstLine="2640" w:firstLineChars="600"/>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4"/>
        <w:ind w:left="420"/>
        <w:jc w:val="center"/>
        <w:rPr>
          <w:rFonts w:ascii="Times New Roman" w:hAnsi="Times New Roman" w:cs="Times New Roman"/>
          <w:sz w:val="30"/>
          <w:szCs w:val="30"/>
        </w:rPr>
      </w:pPr>
      <w:bookmarkStart w:id="7" w:name="_Toc435514852"/>
      <w:bookmarkStart w:id="8" w:name="_Toc57128627"/>
      <w:bookmarkStart w:id="9" w:name="_Toc8080"/>
      <w:bookmarkStart w:id="10" w:name="_Toc43551529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2"/>
              <w:spacing w:line="360" w:lineRule="auto"/>
              <w:ind w:firstLine="482" w:firstLineChars="150"/>
              <w:rPr>
                <w:rFonts w:eastAsia="仿宋_GB2312"/>
                <w:b/>
                <w:sz w:val="32"/>
              </w:rPr>
            </w:pPr>
          </w:p>
          <w:p w14:paraId="262440B5">
            <w:pPr>
              <w:pStyle w:val="2"/>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2"/>
              <w:spacing w:line="360" w:lineRule="auto"/>
              <w:ind w:firstLine="482" w:firstLineChars="150"/>
              <w:rPr>
                <w:rFonts w:eastAsia="仿宋_GB2312"/>
                <w:b/>
                <w:sz w:val="32"/>
              </w:rPr>
            </w:pPr>
          </w:p>
          <w:p w14:paraId="3C98659B">
            <w:pPr>
              <w:pStyle w:val="2"/>
              <w:spacing w:line="360" w:lineRule="auto"/>
              <w:ind w:firstLine="482" w:firstLineChars="150"/>
              <w:rPr>
                <w:rFonts w:eastAsia="仿宋_GB2312"/>
                <w:b/>
                <w:sz w:val="32"/>
              </w:rPr>
            </w:pPr>
            <w:r>
              <w:rPr>
                <w:rFonts w:eastAsia="仿宋_GB2312"/>
                <w:b/>
                <w:sz w:val="32"/>
              </w:rPr>
              <w:t xml:space="preserve">项目编号： </w:t>
            </w:r>
          </w:p>
          <w:p w14:paraId="7FED4671">
            <w:pPr>
              <w:pStyle w:val="2"/>
              <w:spacing w:line="360" w:lineRule="auto"/>
              <w:ind w:firstLine="482" w:firstLineChars="150"/>
              <w:rPr>
                <w:rFonts w:eastAsia="仿宋_GB2312"/>
                <w:b/>
                <w:sz w:val="32"/>
              </w:rPr>
            </w:pPr>
            <w:r>
              <w:rPr>
                <w:rFonts w:eastAsia="仿宋_GB2312"/>
                <w:b/>
                <w:sz w:val="32"/>
              </w:rPr>
              <w:t xml:space="preserve">项目名称： </w:t>
            </w:r>
          </w:p>
          <w:p w14:paraId="6759F195">
            <w:pPr>
              <w:pStyle w:val="2"/>
              <w:spacing w:line="360" w:lineRule="auto"/>
              <w:ind w:firstLine="482" w:firstLineChars="150"/>
              <w:rPr>
                <w:rFonts w:eastAsia="仿宋_GB2312"/>
                <w:b/>
                <w:sz w:val="32"/>
              </w:rPr>
            </w:pPr>
            <w:r>
              <w:rPr>
                <w:rFonts w:eastAsia="仿宋_GB2312"/>
                <w:b/>
                <w:sz w:val="32"/>
              </w:rPr>
              <w:t>投标供应商：</w:t>
            </w:r>
          </w:p>
          <w:p w14:paraId="08718889">
            <w:pPr>
              <w:pStyle w:val="2"/>
              <w:spacing w:line="360" w:lineRule="auto"/>
              <w:ind w:firstLine="482" w:firstLineChars="150"/>
              <w:rPr>
                <w:rFonts w:eastAsia="仿宋_GB2312"/>
                <w:b/>
                <w:sz w:val="32"/>
              </w:rPr>
            </w:pPr>
            <w:r>
              <w:rPr>
                <w:rFonts w:eastAsia="仿宋_GB2312"/>
                <w:b/>
                <w:sz w:val="32"/>
              </w:rPr>
              <w:t xml:space="preserve">法人代表:                                    </w:t>
            </w:r>
          </w:p>
          <w:p w14:paraId="01C82636">
            <w:pPr>
              <w:pStyle w:val="2"/>
              <w:spacing w:line="360" w:lineRule="auto"/>
              <w:ind w:firstLine="482" w:firstLineChars="150"/>
              <w:rPr>
                <w:rFonts w:eastAsia="仿宋_GB2312"/>
                <w:b/>
                <w:sz w:val="32"/>
              </w:rPr>
            </w:pPr>
            <w:r>
              <w:rPr>
                <w:rFonts w:eastAsia="仿宋_GB2312"/>
                <w:b/>
                <w:sz w:val="32"/>
              </w:rPr>
              <w:t xml:space="preserve">投标联系人：                                     </w:t>
            </w:r>
          </w:p>
          <w:p w14:paraId="3434B51F">
            <w:pPr>
              <w:pStyle w:val="2"/>
              <w:spacing w:line="360" w:lineRule="auto"/>
              <w:ind w:firstLine="482" w:firstLineChars="150"/>
              <w:rPr>
                <w:rFonts w:eastAsia="仿宋_GB2312"/>
                <w:b/>
                <w:sz w:val="32"/>
              </w:rPr>
            </w:pPr>
            <w:r>
              <w:rPr>
                <w:rFonts w:eastAsia="仿宋_GB2312"/>
                <w:b/>
                <w:sz w:val="32"/>
              </w:rPr>
              <w:t xml:space="preserve">手机：               公司电话：     </w:t>
            </w:r>
          </w:p>
          <w:p w14:paraId="61402717">
            <w:pPr>
              <w:pStyle w:val="2"/>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5</w:t>
            </w:r>
            <w:r>
              <w:rPr>
                <w:rFonts w:eastAsia="仿宋_GB2312"/>
                <w:b/>
                <w:sz w:val="32"/>
              </w:rPr>
              <w:t>年X月X日</w:t>
            </w:r>
          </w:p>
          <w:p w14:paraId="4BD60F7E">
            <w:pPr>
              <w:pStyle w:val="2"/>
              <w:spacing w:line="360" w:lineRule="auto"/>
              <w:ind w:firstLine="482" w:firstLineChars="150"/>
              <w:rPr>
                <w:rFonts w:eastAsia="仿宋_GB2312"/>
                <w:b/>
                <w:sz w:val="32"/>
              </w:rPr>
            </w:pPr>
            <w:r>
              <w:rPr>
                <w:rFonts w:eastAsia="仿宋_GB2312"/>
                <w:b/>
                <w:sz w:val="32"/>
              </w:rPr>
              <w:t>开标之前不得启封</w:t>
            </w:r>
          </w:p>
        </w:tc>
      </w:tr>
    </w:tbl>
    <w:p w14:paraId="22C40325">
      <w:pPr>
        <w:pStyle w:val="4"/>
        <w:jc w:val="center"/>
        <w:rPr>
          <w:rFonts w:ascii="Times New Roman" w:hAnsi="Times New Roman" w:eastAsia="方正小标宋_GBK" w:cs="Times New Roman"/>
          <w:sz w:val="44"/>
          <w:szCs w:val="44"/>
        </w:rPr>
      </w:pPr>
    </w:p>
    <w:p w14:paraId="340D0972">
      <w:pPr>
        <w:pStyle w:val="4"/>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2"/>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2"/>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2"/>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2"/>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2"/>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2"/>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2"/>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2"/>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2"/>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0"/>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3"/>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4"/>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2"/>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2"/>
        <w:rPr>
          <w:b/>
          <w:bCs/>
        </w:rPr>
      </w:pPr>
      <w:r>
        <w:rPr>
          <w:b/>
          <w:bCs/>
        </w:rPr>
        <w:t>备注：</w:t>
      </w:r>
    </w:p>
    <w:p w14:paraId="19A2D45A">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1"/>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1"/>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2"/>
        <w:rPr>
          <w:b/>
          <w:bCs/>
        </w:rPr>
      </w:pPr>
    </w:p>
    <w:p w14:paraId="103D1342">
      <w:pPr>
        <w:rPr>
          <w:rFonts w:eastAsia="宋体"/>
          <w:b/>
          <w:bCs/>
        </w:rPr>
      </w:pPr>
    </w:p>
    <w:p w14:paraId="7B0A66FA">
      <w:pPr>
        <w:pStyle w:val="2"/>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0AC6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82201E0">
            <w:pPr>
              <w:jc w:val="center"/>
              <w:rPr>
                <w:szCs w:val="21"/>
              </w:rPr>
            </w:pPr>
            <w:r>
              <w:rPr>
                <w:szCs w:val="21"/>
              </w:rPr>
              <w:t>3</w:t>
            </w:r>
          </w:p>
        </w:tc>
        <w:tc>
          <w:tcPr>
            <w:tcW w:w="5383" w:type="dxa"/>
          </w:tcPr>
          <w:p w14:paraId="796223CE">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szCs w:val="21"/>
              </w:rPr>
              <w:t>提供有效的《中华人民共和国特种设备生产许可证》A级及以上资质（许可项目含电梯维修）</w:t>
            </w:r>
          </w:p>
        </w:tc>
        <w:tc>
          <w:tcPr>
            <w:tcW w:w="1385" w:type="dxa"/>
            <w:vAlign w:val="center"/>
          </w:tcPr>
          <w:p w14:paraId="1E6DC4E6">
            <w:pPr>
              <w:ind w:left="36" w:leftChars="17"/>
              <w:jc w:val="center"/>
              <w:rPr>
                <w:szCs w:val="21"/>
              </w:rPr>
            </w:pPr>
            <w:r>
              <w:rPr>
                <w:szCs w:val="21"/>
              </w:rPr>
              <w:t>□通过</w:t>
            </w:r>
          </w:p>
          <w:p w14:paraId="1C02F52B">
            <w:pPr>
              <w:ind w:left="36" w:leftChars="17"/>
              <w:jc w:val="center"/>
              <w:rPr>
                <w:szCs w:val="21"/>
              </w:rPr>
            </w:pPr>
            <w:r>
              <w:rPr>
                <w:szCs w:val="21"/>
              </w:rPr>
              <w:t>□不通过</w:t>
            </w:r>
          </w:p>
        </w:tc>
        <w:tc>
          <w:tcPr>
            <w:tcW w:w="1957" w:type="dxa"/>
            <w:vAlign w:val="center"/>
          </w:tcPr>
          <w:p w14:paraId="4E8EB589">
            <w:pPr>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szCs w:val="21"/>
              </w:rPr>
            </w:pPr>
            <w:r>
              <w:rPr>
                <w:szCs w:val="21"/>
              </w:rPr>
              <w:t>4</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szCs w:val="21"/>
              </w:rPr>
            </w:pPr>
            <w:r>
              <w:rPr>
                <w:szCs w:val="21"/>
              </w:rPr>
              <w:t>5</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szCs w:val="21"/>
              </w:rPr>
            </w:pPr>
            <w:r>
              <w:rPr>
                <w:szCs w:val="21"/>
              </w:rPr>
              <w:t>6</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szCs w:val="21"/>
              </w:rPr>
            </w:pPr>
            <w:r>
              <w:rPr>
                <w:szCs w:val="21"/>
              </w:rPr>
              <w:t>7</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szCs w:val="21"/>
              </w:rPr>
            </w:pPr>
            <w:r>
              <w:rPr>
                <w:kern w:val="0"/>
                <w:szCs w:val="21"/>
              </w:rPr>
              <w:t>8</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1"/>
              <w:ind w:left="36" w:leftChars="17"/>
              <w:rPr>
                <w:sz w:val="21"/>
                <w:szCs w:val="21"/>
              </w:rPr>
            </w:pPr>
            <w:r>
              <w:rPr>
                <w:sz w:val="21"/>
                <w:szCs w:val="21"/>
              </w:rPr>
              <w:t>□不通过</w:t>
            </w:r>
          </w:p>
        </w:tc>
        <w:tc>
          <w:tcPr>
            <w:tcW w:w="2294" w:type="dxa"/>
            <w:vAlign w:val="center"/>
          </w:tcPr>
          <w:p w14:paraId="71D0B8AA">
            <w:pPr>
              <w:pStyle w:val="11"/>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1"/>
              <w:ind w:left="36" w:leftChars="17"/>
              <w:rPr>
                <w:sz w:val="21"/>
                <w:szCs w:val="21"/>
              </w:rPr>
            </w:pPr>
            <w:r>
              <w:rPr>
                <w:sz w:val="21"/>
                <w:szCs w:val="21"/>
              </w:rPr>
              <w:t>□不通过</w:t>
            </w:r>
          </w:p>
        </w:tc>
        <w:tc>
          <w:tcPr>
            <w:tcW w:w="2294" w:type="dxa"/>
            <w:vAlign w:val="center"/>
          </w:tcPr>
          <w:p w14:paraId="283EE4B3">
            <w:pPr>
              <w:pStyle w:val="11"/>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1"/>
              <w:ind w:left="36" w:leftChars="17"/>
              <w:rPr>
                <w:sz w:val="21"/>
                <w:szCs w:val="21"/>
              </w:rPr>
            </w:pPr>
            <w:r>
              <w:rPr>
                <w:sz w:val="21"/>
                <w:szCs w:val="21"/>
              </w:rPr>
              <w:t>□不通过</w:t>
            </w:r>
          </w:p>
        </w:tc>
        <w:tc>
          <w:tcPr>
            <w:tcW w:w="2294" w:type="dxa"/>
            <w:vAlign w:val="center"/>
          </w:tcPr>
          <w:p w14:paraId="25C8AB04">
            <w:pPr>
              <w:pStyle w:val="11"/>
              <w:rPr>
                <w:sz w:val="21"/>
                <w:szCs w:val="21"/>
              </w:rPr>
            </w:pPr>
            <w:r>
              <w:rPr>
                <w:sz w:val="21"/>
                <w:szCs w:val="21"/>
              </w:rPr>
              <w:t>见投标文件第( )页</w:t>
            </w:r>
          </w:p>
        </w:tc>
      </w:tr>
    </w:tbl>
    <w:p w14:paraId="2D2E6A54">
      <w:pPr>
        <w:pStyle w:val="11"/>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1"/>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4"/>
        <w:jc w:val="center"/>
        <w:rPr>
          <w:rFonts w:ascii="Times New Roman" w:hAnsi="Times New Roman" w:cs="Times New Roman"/>
          <w:sz w:val="30"/>
          <w:szCs w:val="30"/>
        </w:rPr>
      </w:pPr>
      <w:bookmarkStart w:id="16" w:name="_Toc435514855"/>
      <w:bookmarkStart w:id="17" w:name="_Toc435515295"/>
      <w:bookmarkStart w:id="18" w:name="_Toc57128632"/>
      <w:bookmarkStart w:id="19" w:name="_Toc24650"/>
      <w:bookmarkStart w:id="20"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2"/>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2"/>
      </w:pPr>
    </w:p>
    <w:p w14:paraId="584CD0E2">
      <w:pPr>
        <w:rPr>
          <w:b/>
          <w:sz w:val="24"/>
        </w:rPr>
      </w:pPr>
      <w:r>
        <w:rPr>
          <w:b/>
          <w:sz w:val="24"/>
        </w:rPr>
        <w:br w:type="page"/>
      </w:r>
    </w:p>
    <w:p w14:paraId="10BBA042">
      <w:pPr>
        <w:pStyle w:val="4"/>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4"/>
        <w:ind w:firstLine="2700" w:firstLineChars="900"/>
        <w:rPr>
          <w:rFonts w:ascii="Times New Roman" w:hAnsi="Times New Roman" w:eastAsia="宋体" w:cs="Times New Roman"/>
          <w:sz w:val="30"/>
          <w:szCs w:val="30"/>
        </w:rPr>
      </w:pPr>
    </w:p>
    <w:p w14:paraId="13CB5823">
      <w:pPr>
        <w:pStyle w:val="6"/>
        <w:rPr>
          <w:rFonts w:ascii="Times New Roman" w:hAnsi="Times New Roman" w:eastAsia="宋体"/>
          <w:sz w:val="30"/>
          <w:szCs w:val="30"/>
        </w:rPr>
      </w:pPr>
    </w:p>
    <w:p w14:paraId="4AAA1718">
      <w:pPr>
        <w:rPr>
          <w:rFonts w:eastAsia="宋体"/>
          <w:sz w:val="30"/>
          <w:szCs w:val="30"/>
        </w:rPr>
      </w:pPr>
    </w:p>
    <w:p w14:paraId="77343073">
      <w:pPr>
        <w:pStyle w:val="2"/>
        <w:rPr>
          <w:sz w:val="30"/>
          <w:szCs w:val="30"/>
        </w:rPr>
      </w:pPr>
    </w:p>
    <w:p w14:paraId="49A8B845">
      <w:pPr>
        <w:rPr>
          <w:rFonts w:eastAsia="宋体"/>
          <w:sz w:val="30"/>
          <w:szCs w:val="30"/>
        </w:rPr>
      </w:pPr>
    </w:p>
    <w:p w14:paraId="41AD8203">
      <w:pPr>
        <w:pStyle w:val="2"/>
        <w:rPr>
          <w:sz w:val="30"/>
          <w:szCs w:val="30"/>
        </w:rPr>
      </w:pPr>
    </w:p>
    <w:p w14:paraId="6CD7C5FD">
      <w:pPr>
        <w:rPr>
          <w:rFonts w:eastAsia="宋体"/>
          <w:sz w:val="30"/>
          <w:szCs w:val="30"/>
        </w:rPr>
      </w:pPr>
    </w:p>
    <w:p w14:paraId="018E8B03">
      <w:pPr>
        <w:pStyle w:val="2"/>
        <w:rPr>
          <w:sz w:val="30"/>
          <w:szCs w:val="30"/>
        </w:rPr>
      </w:pPr>
    </w:p>
    <w:p w14:paraId="61BAAD14">
      <w:pPr>
        <w:rPr>
          <w:rFonts w:eastAsia="宋体"/>
          <w:sz w:val="30"/>
          <w:szCs w:val="30"/>
        </w:rPr>
      </w:pPr>
    </w:p>
    <w:p w14:paraId="143B2986">
      <w:pPr>
        <w:pStyle w:val="2"/>
        <w:rPr>
          <w:sz w:val="30"/>
          <w:szCs w:val="30"/>
        </w:rPr>
      </w:pPr>
    </w:p>
    <w:p w14:paraId="5C3332C9">
      <w:pPr>
        <w:rPr>
          <w:rFonts w:eastAsia="宋体"/>
          <w:sz w:val="30"/>
          <w:szCs w:val="30"/>
        </w:rPr>
      </w:pPr>
    </w:p>
    <w:p w14:paraId="7B7C8911">
      <w:pPr>
        <w:pStyle w:val="2"/>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2"/>
      </w:pPr>
    </w:p>
    <w:p w14:paraId="7C505A75"/>
    <w:p w14:paraId="33B22096"/>
    <w:p w14:paraId="7500C037"/>
    <w:p w14:paraId="316B2EE9"/>
    <w:p w14:paraId="266C2F6C"/>
    <w:p w14:paraId="33F19635">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2"/>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3"/>
        <w:rPr>
          <w:rFonts w:hint="default" w:ascii="Times New Roman" w:hAnsi="Times New Roman"/>
          <w:bCs/>
        </w:rPr>
      </w:pPr>
    </w:p>
    <w:p w14:paraId="147B6E05">
      <w:pPr>
        <w:rPr>
          <w:rFonts w:eastAsia="宋体"/>
          <w:bCs/>
        </w:rPr>
      </w:pPr>
    </w:p>
    <w:p w14:paraId="091BAEEA">
      <w:pPr>
        <w:pStyle w:val="3"/>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7"/>
        <w:spacing w:before="120" w:after="120"/>
        <w:ind w:left="-1" w:leftChars="-1" w:hanging="1"/>
        <w:jc w:val="center"/>
        <w:rPr>
          <w:rFonts w:eastAsia="方正小标宋_GBK"/>
          <w:b w:val="0"/>
          <w:bCs w:val="0"/>
          <w:sz w:val="32"/>
          <w:szCs w:val="32"/>
        </w:rPr>
      </w:pPr>
      <w:bookmarkStart w:id="22" w:name="_Hlk126044986"/>
      <w:bookmarkStart w:id="23" w:name="_Hlk126913563"/>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8"/>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4"/>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2"/>
        <w:rPr>
          <w:kern w:val="0"/>
          <w:szCs w:val="21"/>
        </w:rPr>
      </w:pPr>
    </w:p>
    <w:p w14:paraId="1E830AE8">
      <w:pPr>
        <w:rPr>
          <w:rFonts w:eastAsia="宋体"/>
          <w:kern w:val="0"/>
          <w:szCs w:val="21"/>
        </w:rPr>
      </w:pPr>
    </w:p>
    <w:p w14:paraId="565526F1">
      <w:pPr>
        <w:pStyle w:val="2"/>
        <w:rPr>
          <w:kern w:val="0"/>
          <w:szCs w:val="21"/>
        </w:rPr>
      </w:pPr>
    </w:p>
    <w:p w14:paraId="3E301B22">
      <w:pPr>
        <w:rPr>
          <w:rFonts w:eastAsia="宋体"/>
          <w:kern w:val="0"/>
          <w:szCs w:val="21"/>
        </w:rPr>
      </w:pPr>
    </w:p>
    <w:p w14:paraId="41487727">
      <w:pPr>
        <w:pStyle w:val="2"/>
        <w:rPr>
          <w:kern w:val="0"/>
          <w:szCs w:val="21"/>
        </w:rPr>
      </w:pPr>
    </w:p>
    <w:p w14:paraId="23C2C8D9">
      <w:pPr>
        <w:rPr>
          <w:rFonts w:eastAsia="宋体"/>
          <w:kern w:val="0"/>
          <w:szCs w:val="21"/>
        </w:rPr>
      </w:pPr>
    </w:p>
    <w:p w14:paraId="5853B4CC">
      <w:pPr>
        <w:pStyle w:val="2"/>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4"/>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2"/>
      </w:pPr>
    </w:p>
    <w:p w14:paraId="2AD1001A">
      <w:pPr>
        <w:pStyle w:val="4"/>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4"/>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2"/>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2"/>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4"/>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2"/>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4"/>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4"/>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73FE7BE-4B87-4A58-A359-DA706B82C9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C089C808-5531-47B1-8435-1F037C789B5A}"/>
  </w:font>
  <w:font w:name="华文中宋">
    <w:panose1 w:val="02010600040101010101"/>
    <w:charset w:val="86"/>
    <w:family w:val="auto"/>
    <w:pitch w:val="default"/>
    <w:sig w:usb0="00000287" w:usb1="080F0000" w:usb2="00000000" w:usb3="00000000" w:csb0="0004009F" w:csb1="DFD70000"/>
    <w:embedRegular r:id="rId3" w:fontKey="{4EBC66E5-D7A1-437C-B00B-EB4398EE99DA}"/>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C08A8E2E-FA83-4169-8C2C-BFA5ED7ED787}"/>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5" w:fontKey="{8E4B9A46-1228-4371-ABB4-0B3E4EE2B19C}"/>
  </w:font>
  <w:font w:name="楷体_GB2312">
    <w:panose1 w:val="02010609030101010101"/>
    <w:charset w:val="86"/>
    <w:family w:val="modern"/>
    <w:pitch w:val="default"/>
    <w:sig w:usb0="00000001" w:usb1="080E0000" w:usb2="00000000" w:usb3="00000000" w:csb0="00040000" w:csb1="00000000"/>
    <w:embedRegular r:id="rId6" w:fontKey="{4B0D42C5-45BB-4100-A732-E0944C56CB53}"/>
  </w:font>
  <w:font w:name="WPSEMBED1">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23E205D"/>
    <w:rsid w:val="125D0492"/>
    <w:rsid w:val="126E68BA"/>
    <w:rsid w:val="128A4CD3"/>
    <w:rsid w:val="12C21EBB"/>
    <w:rsid w:val="12DA5DE6"/>
    <w:rsid w:val="12E32EDE"/>
    <w:rsid w:val="13411119"/>
    <w:rsid w:val="13421B62"/>
    <w:rsid w:val="13561AD0"/>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32374"/>
    <w:rsid w:val="1C9416E2"/>
    <w:rsid w:val="1CC65727"/>
    <w:rsid w:val="1CEB1E1A"/>
    <w:rsid w:val="1CED5159"/>
    <w:rsid w:val="1CF27B33"/>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991DEF"/>
    <w:rsid w:val="3DF8652F"/>
    <w:rsid w:val="3E032415"/>
    <w:rsid w:val="3E2B3FD0"/>
    <w:rsid w:val="3E3B2AA9"/>
    <w:rsid w:val="3EA64DEB"/>
    <w:rsid w:val="3EB633B2"/>
    <w:rsid w:val="3F163374"/>
    <w:rsid w:val="3F2B7951"/>
    <w:rsid w:val="3F3D7DC5"/>
    <w:rsid w:val="3F5B4679"/>
    <w:rsid w:val="3F713A4A"/>
    <w:rsid w:val="3F751B1D"/>
    <w:rsid w:val="3FFB279E"/>
    <w:rsid w:val="400D4BB3"/>
    <w:rsid w:val="405252AD"/>
    <w:rsid w:val="408B342F"/>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2"/>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autoRedefine/>
    <w:qFormat/>
    <w:uiPriority w:val="0"/>
    <w:pPr>
      <w:spacing w:after="120"/>
    </w:pPr>
    <w:rPr>
      <w:rFonts w:eastAsia="宋体"/>
    </w:rPr>
  </w:style>
  <w:style w:type="paragraph" w:styleId="8">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9"/>
    <w:semiHidden/>
    <w:qFormat/>
    <w:uiPriority w:val="0"/>
    <w:pPr>
      <w:shd w:val="clear" w:color="auto" w:fill="000080"/>
    </w:pPr>
    <w:rPr>
      <w:rFonts w:eastAsia="宋体"/>
    </w:rPr>
  </w:style>
  <w:style w:type="paragraph" w:styleId="10">
    <w:name w:val="annotation text"/>
    <w:basedOn w:val="1"/>
    <w:link w:val="45"/>
    <w:qFormat/>
    <w:uiPriority w:val="0"/>
    <w:pPr>
      <w:jc w:val="left"/>
    </w:pPr>
    <w:rPr>
      <w:rFonts w:ascii="Calibri" w:hAnsi="Calibri"/>
      <w:szCs w:val="20"/>
    </w:rPr>
  </w:style>
  <w:style w:type="paragraph" w:styleId="11">
    <w:name w:val="Body Text 3"/>
    <w:basedOn w:val="1"/>
    <w:link w:val="80"/>
    <w:qFormat/>
    <w:uiPriority w:val="0"/>
    <w:pPr>
      <w:spacing w:after="120"/>
    </w:pPr>
    <w:rPr>
      <w:rFonts w:eastAsia="宋体"/>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0"/>
    <w:autoRedefine/>
    <w:semiHidden/>
    <w:qFormat/>
    <w:uiPriority w:val="99"/>
    <w:rPr>
      <w:rFonts w:ascii="Times New Roman" w:hAnsi="Times New Roman"/>
      <w:kern w:val="2"/>
      <w:sz w:val="21"/>
      <w:szCs w:val="24"/>
    </w:rPr>
  </w:style>
  <w:style w:type="character" w:customStyle="1" w:styleId="46">
    <w:name w:val="标题 1 字符"/>
    <w:basedOn w:val="28"/>
    <w:link w:val="3"/>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8"/>
    <w:autoRedefine/>
    <w:qFormat/>
    <w:uiPriority w:val="0"/>
    <w:rPr>
      <w:rFonts w:ascii="Times New Roman" w:hAnsi="Times New Roman" w:eastAsia="宋体"/>
      <w:kern w:val="2"/>
      <w:sz w:val="24"/>
    </w:rPr>
  </w:style>
  <w:style w:type="character" w:customStyle="1" w:styleId="51">
    <w:name w:val="标题 2 字符"/>
    <w:basedOn w:val="28"/>
    <w:link w:val="4"/>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5"/>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6"/>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9"/>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2"/>
    <w:autoRedefine/>
    <w:qFormat/>
    <w:uiPriority w:val="0"/>
    <w:rPr>
      <w:kern w:val="2"/>
      <w:sz w:val="21"/>
      <w:szCs w:val="24"/>
    </w:rPr>
  </w:style>
  <w:style w:type="paragraph" w:customStyle="1" w:styleId="64">
    <w:name w:val="TOC 标题1"/>
    <w:basedOn w:val="3"/>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1"/>
    <w:autoRedefine/>
    <w:qFormat/>
    <w:uiPriority w:val="0"/>
    <w:rPr>
      <w:kern w:val="2"/>
      <w:sz w:val="16"/>
      <w:szCs w:val="16"/>
    </w:rPr>
  </w:style>
  <w:style w:type="character" w:customStyle="1" w:styleId="81">
    <w:name w:val="标题 5 字符"/>
    <w:basedOn w:val="28"/>
    <w:link w:val="7"/>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35</Pages>
  <Words>2639</Words>
  <Characters>2774</Characters>
  <Lines>87</Lines>
  <Paragraphs>24</Paragraphs>
  <TotalTime>0</TotalTime>
  <ScaleCrop>false</ScaleCrop>
  <LinksUpToDate>false</LinksUpToDate>
  <CharactersWithSpaces>2840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2025-11-11T03:12:57Z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