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35</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广州研究生宿舍租赁</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广州研究生宿舍租赁</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35</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广州研究生宿舍租赁</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59.28</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59.28</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广州研究生宿舍租赁</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自合同签订之日起1年。本项目为长期服务类项目，第一年为本次招标的中标服务期限，采购人可根据项目需求和中标供应商的履约情况确定合同期限是否延长，但最长不超过三年，合同一年一签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11月19日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21</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hint="eastAsia" w:hAnsi="宋体"/>
          <w:b/>
          <w:bCs/>
          <w:color w:val="000000"/>
          <w:kern w:val="0"/>
          <w:sz w:val="24"/>
          <w:lang w:val="en-US" w:eastAsia="zh-CN"/>
        </w:rPr>
        <w:t>80416622</w:t>
      </w:r>
      <w:r>
        <w:rPr>
          <w:rFonts w:hAnsi="宋体"/>
          <w:b/>
          <w:bCs/>
          <w:color w:val="000000"/>
          <w:kern w:val="0"/>
          <w:sz w:val="24"/>
        </w:rPr>
        <w:t>@</w:t>
      </w:r>
      <w:r>
        <w:rPr>
          <w:rFonts w:hint="eastAsia" w:hAnsi="宋体"/>
          <w:b/>
          <w:bCs/>
          <w:color w:val="000000"/>
          <w:kern w:val="0"/>
          <w:sz w:val="24"/>
          <w:lang w:val="en-US" w:eastAsia="zh-CN"/>
        </w:rPr>
        <w:t>qq</w:t>
      </w:r>
      <w:r>
        <w:rPr>
          <w:rFonts w:hAnsi="宋体"/>
          <w:b/>
          <w:bCs/>
          <w:color w:val="000000"/>
          <w:kern w:val="0"/>
          <w:sz w:val="24"/>
        </w:rPr>
        <w:t>.com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Times New Roman" w:hAnsi="Times New Roman" w:eastAsia="宋体" w:cs="Times New Roman"/>
          <w:kern w:val="0"/>
          <w:sz w:val="24"/>
          <w:szCs w:val="24"/>
          <w:highlight w:val="none"/>
          <w:lang w:val="en-US" w:eastAsia="zh-CN" w:bidi="ar-SA"/>
        </w:rPr>
        <w:t>采购人</w:t>
      </w:r>
      <w:r>
        <w:rPr>
          <w:rFonts w:hint="default" w:ascii="Times New Roman" w:hAnsi="Times New Roman" w:eastAsia="宋体" w:cs="Times New Roman"/>
          <w:kern w:val="0"/>
          <w:sz w:val="24"/>
          <w:szCs w:val="24"/>
          <w:highlight w:val="none"/>
          <w:lang w:val="en-US" w:eastAsia="zh-CN" w:bidi="ar-SA"/>
        </w:rPr>
        <w:t>提供给2022级、2023级临床型研究生居住。水电气费用学生自理，配套设施含：空调、热水器、书桌、椅子、床、床垫、衣柜、独立洗手间等。</w:t>
      </w:r>
      <w:r>
        <w:rPr>
          <w:rFonts w:hint="eastAsia" w:ascii="Times New Roman" w:hAnsi="Times New Roman" w:cs="Times New Roman"/>
          <w:kern w:val="0"/>
          <w:sz w:val="24"/>
          <w:szCs w:val="24"/>
          <w:highlight w:val="none"/>
          <w:lang w:val="en-US" w:eastAsia="zh-CN" w:bidi="ar-SA"/>
        </w:rPr>
        <w:t>现租赁合同即将到期，需重新对研究生宿舍进行租赁</w:t>
      </w:r>
      <w:r>
        <w:rPr>
          <w:rFonts w:hint="eastAsia" w:eastAsia="宋体"/>
          <w:b w:val="0"/>
          <w:bCs w:val="0"/>
          <w:sz w:val="24"/>
        </w:rPr>
        <w:t>。</w:t>
      </w:r>
    </w:p>
    <w:p w14:paraId="79196303">
      <w:pPr>
        <w:adjustRightInd w:val="0"/>
        <w:snapToGrid w:val="0"/>
        <w:spacing w:line="240" w:lineRule="auto"/>
        <w:ind w:firstLine="482" w:firstLineChars="200"/>
        <w:rPr>
          <w:rFonts w:hAnsi="宋体"/>
          <w:b/>
          <w:bCs/>
          <w:sz w:val="24"/>
        </w:rPr>
      </w:pPr>
      <w:r>
        <w:rPr>
          <w:rFonts w:hint="eastAsia" w:hAnsi="宋体"/>
          <w:b/>
          <w:bCs/>
          <w:sz w:val="24"/>
        </w:rPr>
        <w:t>（二）</w:t>
      </w:r>
      <w:r>
        <w:rPr>
          <w:rFonts w:hint="eastAsia" w:eastAsia="宋体" w:cs="Times New Roman"/>
          <w:b/>
          <w:bCs/>
          <w:color w:val="C00000"/>
          <w:sz w:val="24"/>
          <w:highlight w:val="none"/>
          <w:lang w:val="en-US" w:eastAsia="zh-CN"/>
        </w:rPr>
        <w:t>需求清单</w:t>
      </w:r>
    </w:p>
    <w:tbl>
      <w:tblPr>
        <w:tblStyle w:val="26"/>
        <w:tblpPr w:leftFromText="180" w:rightFromText="180" w:vertAnchor="text" w:horzAnchor="page" w:tblpX="1688" w:tblpY="67"/>
        <w:tblOverlap w:val="never"/>
        <w:tblW w:w="9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194"/>
        <w:gridCol w:w="1195"/>
        <w:gridCol w:w="2606"/>
        <w:gridCol w:w="2149"/>
      </w:tblGrid>
      <w:tr w14:paraId="1C74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2274" w:type="dxa"/>
            <w:shd w:val="clear" w:color="auto" w:fill="EEECE1"/>
            <w:noWrap w:val="0"/>
            <w:vAlign w:val="center"/>
          </w:tcPr>
          <w:p w14:paraId="52C51970">
            <w:pPr>
              <w:pageBreakBefore w:val="0"/>
              <w:kinsoku/>
              <w:overflowPunct/>
              <w:topLinePunct w:val="0"/>
              <w:bidi w:val="0"/>
              <w:spacing w:line="360" w:lineRule="auto"/>
              <w:jc w:val="center"/>
              <w:rPr>
                <w:rFonts w:hint="default" w:ascii="Times New Roman" w:hAnsi="Times New Roman" w:eastAsia="宋体" w:cs="Times New Roman"/>
                <w:b/>
                <w:color w:val="C00000"/>
                <w:sz w:val="24"/>
                <w:highlight w:val="none"/>
              </w:rPr>
            </w:pPr>
            <w:r>
              <w:rPr>
                <w:rFonts w:hint="default" w:ascii="Times New Roman" w:hAnsi="Times New Roman" w:eastAsia="宋体" w:cs="Times New Roman"/>
                <w:b/>
                <w:color w:val="C00000"/>
                <w:sz w:val="24"/>
                <w:highlight w:val="none"/>
              </w:rPr>
              <w:t>采购内容</w:t>
            </w:r>
          </w:p>
        </w:tc>
        <w:tc>
          <w:tcPr>
            <w:tcW w:w="1194" w:type="dxa"/>
            <w:shd w:val="clear" w:color="auto" w:fill="EEECE1"/>
            <w:noWrap w:val="0"/>
            <w:vAlign w:val="center"/>
          </w:tcPr>
          <w:p w14:paraId="3F8C9202">
            <w:pPr>
              <w:pageBreakBefore w:val="0"/>
              <w:kinsoku/>
              <w:overflowPunct/>
              <w:topLinePunct w:val="0"/>
              <w:bidi w:val="0"/>
              <w:spacing w:line="360" w:lineRule="auto"/>
              <w:jc w:val="center"/>
              <w:rPr>
                <w:rFonts w:hint="default" w:ascii="Times New Roman" w:hAnsi="Times New Roman" w:eastAsia="宋体" w:cs="Times New Roman"/>
                <w:b/>
                <w:color w:val="C00000"/>
                <w:sz w:val="24"/>
                <w:highlight w:val="none"/>
              </w:rPr>
            </w:pPr>
            <w:r>
              <w:rPr>
                <w:rFonts w:hint="eastAsia" w:ascii="Times New Roman" w:hAnsi="Times New Roman" w:eastAsia="宋体" w:cs="Times New Roman"/>
                <w:b/>
                <w:color w:val="C00000"/>
                <w:sz w:val="24"/>
                <w:highlight w:val="none"/>
                <w:lang w:val="en-US" w:eastAsia="zh-CN"/>
              </w:rPr>
              <w:t>租赁</w:t>
            </w:r>
            <w:r>
              <w:rPr>
                <w:rFonts w:hint="default" w:ascii="Times New Roman" w:hAnsi="Times New Roman" w:eastAsia="宋体" w:cs="Times New Roman"/>
                <w:b/>
                <w:color w:val="C00000"/>
                <w:sz w:val="24"/>
                <w:highlight w:val="none"/>
              </w:rPr>
              <w:t>需求</w:t>
            </w:r>
          </w:p>
        </w:tc>
        <w:tc>
          <w:tcPr>
            <w:tcW w:w="1195" w:type="dxa"/>
            <w:shd w:val="clear" w:color="auto" w:fill="EEECE1"/>
            <w:noWrap w:val="0"/>
            <w:vAlign w:val="center"/>
          </w:tcPr>
          <w:p w14:paraId="47B1273D">
            <w:pPr>
              <w:pageBreakBefore w:val="0"/>
              <w:kinsoku/>
              <w:overflowPunct/>
              <w:topLinePunct w:val="0"/>
              <w:bidi w:val="0"/>
              <w:spacing w:line="360" w:lineRule="auto"/>
              <w:jc w:val="center"/>
              <w:rPr>
                <w:rFonts w:hint="default" w:ascii="Times New Roman" w:hAnsi="Times New Roman" w:eastAsia="宋体" w:cs="Times New Roman"/>
                <w:b/>
                <w:color w:val="C00000"/>
                <w:sz w:val="24"/>
                <w:highlight w:val="none"/>
                <w:lang w:val="en-US" w:eastAsia="zh-CN"/>
              </w:rPr>
            </w:pPr>
            <w:r>
              <w:rPr>
                <w:rFonts w:hint="eastAsia" w:ascii="Times New Roman" w:hAnsi="Times New Roman" w:eastAsia="宋体" w:cs="Times New Roman"/>
                <w:b/>
                <w:color w:val="C00000"/>
                <w:sz w:val="24"/>
                <w:highlight w:val="none"/>
                <w:lang w:val="en-US" w:eastAsia="zh-CN"/>
              </w:rPr>
              <w:t>数量（间）</w:t>
            </w:r>
          </w:p>
        </w:tc>
        <w:tc>
          <w:tcPr>
            <w:tcW w:w="2606" w:type="dxa"/>
            <w:shd w:val="clear" w:color="auto" w:fill="EEECE1"/>
            <w:noWrap w:val="0"/>
            <w:vAlign w:val="center"/>
          </w:tcPr>
          <w:p w14:paraId="55EBC312">
            <w:pPr>
              <w:pageBreakBefore w:val="0"/>
              <w:kinsoku/>
              <w:overflowPunct/>
              <w:topLinePunct w:val="0"/>
              <w:bidi w:val="0"/>
              <w:spacing w:line="360" w:lineRule="auto"/>
              <w:jc w:val="center"/>
              <w:rPr>
                <w:rFonts w:hint="default" w:ascii="Times New Roman" w:hAnsi="Times New Roman" w:eastAsia="宋体" w:cs="Times New Roman"/>
                <w:b/>
                <w:color w:val="C00000"/>
                <w:sz w:val="24"/>
                <w:highlight w:val="none"/>
                <w:lang w:val="en-US" w:eastAsia="zh-CN"/>
              </w:rPr>
            </w:pPr>
            <w:r>
              <w:rPr>
                <w:rFonts w:hint="eastAsia" w:ascii="Times New Roman" w:hAnsi="Times New Roman" w:eastAsia="宋体" w:cs="Times New Roman"/>
                <w:b/>
                <w:color w:val="C00000"/>
                <w:sz w:val="24"/>
                <w:highlight w:val="none"/>
                <w:lang w:val="en-US" w:eastAsia="zh-CN"/>
              </w:rPr>
              <w:t>房间租金单价限价（万元/月，含管理费）</w:t>
            </w:r>
          </w:p>
        </w:tc>
        <w:tc>
          <w:tcPr>
            <w:tcW w:w="2149" w:type="dxa"/>
            <w:shd w:val="clear" w:color="auto" w:fill="EEECE1"/>
            <w:noWrap w:val="0"/>
            <w:vAlign w:val="center"/>
          </w:tcPr>
          <w:p w14:paraId="4FB44DA4">
            <w:pPr>
              <w:pageBreakBefore w:val="0"/>
              <w:kinsoku/>
              <w:overflowPunct/>
              <w:topLinePunct w:val="0"/>
              <w:bidi w:val="0"/>
              <w:spacing w:line="360" w:lineRule="auto"/>
              <w:jc w:val="center"/>
              <w:rPr>
                <w:rFonts w:hint="default" w:eastAsia="宋体" w:cs="Times New Roman"/>
                <w:b/>
                <w:color w:val="C00000"/>
                <w:sz w:val="24"/>
                <w:highlight w:val="none"/>
                <w:lang w:val="en-US" w:eastAsia="zh-CN"/>
              </w:rPr>
            </w:pPr>
            <w:r>
              <w:rPr>
                <w:rFonts w:hint="eastAsia" w:eastAsia="宋体" w:cs="Times New Roman"/>
                <w:b/>
                <w:color w:val="C00000"/>
                <w:sz w:val="24"/>
                <w:highlight w:val="none"/>
                <w:lang w:val="en-US" w:eastAsia="zh-CN"/>
              </w:rPr>
              <w:t>年度限价（万元/年，按月据实结算）</w:t>
            </w:r>
          </w:p>
        </w:tc>
      </w:tr>
      <w:tr w14:paraId="3376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2274" w:type="dxa"/>
            <w:noWrap w:val="0"/>
            <w:vAlign w:val="center"/>
          </w:tcPr>
          <w:p w14:paraId="0D60D646">
            <w:pPr>
              <w:pageBreakBefore w:val="0"/>
              <w:kinsoku/>
              <w:overflowPunct/>
              <w:topLinePunct w:val="0"/>
              <w:bidi w:val="0"/>
              <w:spacing w:line="240" w:lineRule="auto"/>
              <w:jc w:val="center"/>
              <w:rPr>
                <w:rFonts w:hint="default" w:ascii="Times New Roman" w:hAnsi="Times New Roman" w:eastAsia="宋体" w:cs="Times New Roman"/>
                <w:bCs/>
                <w:color w:val="C00000"/>
                <w:sz w:val="24"/>
                <w:highlight w:val="none"/>
                <w:lang w:val="en-US" w:eastAsia="zh-CN"/>
              </w:rPr>
            </w:pPr>
            <w:r>
              <w:rPr>
                <w:rFonts w:hint="eastAsia" w:hAnsi="宋体" w:eastAsia="宋体" w:cs="Times New Roman"/>
                <w:color w:val="auto"/>
                <w:kern w:val="2"/>
                <w:sz w:val="24"/>
                <w:szCs w:val="24"/>
                <w:highlight w:val="none"/>
                <w:lang w:val="en-US" w:eastAsia="zh-CN" w:bidi="ar-SA"/>
              </w:rPr>
              <w:t>广州研究生宿舍租赁</w:t>
            </w:r>
          </w:p>
        </w:tc>
        <w:tc>
          <w:tcPr>
            <w:tcW w:w="1194" w:type="dxa"/>
            <w:noWrap w:val="0"/>
            <w:vAlign w:val="center"/>
          </w:tcPr>
          <w:p w14:paraId="2CC265BF">
            <w:pPr>
              <w:pStyle w:val="65"/>
              <w:pageBreakBefore w:val="0"/>
              <w:kinsoku/>
              <w:overflowPunct/>
              <w:topLinePunct w:val="0"/>
              <w:bidi w:val="0"/>
              <w:spacing w:before="0" w:after="0" w:line="240" w:lineRule="auto"/>
              <w:ind w:firstLine="0"/>
              <w:rPr>
                <w:rFonts w:hint="default" w:ascii="Times New Roman" w:hAnsi="Times New Roman" w:eastAsia="宋体" w:cs="Times New Roman"/>
                <w:color w:val="C00000"/>
                <w:spacing w:val="0"/>
                <w:kern w:val="2"/>
                <w:szCs w:val="24"/>
                <w:highlight w:val="none"/>
              </w:rPr>
            </w:pPr>
            <w:r>
              <w:rPr>
                <w:rFonts w:hint="eastAsia" w:ascii="Times New Roman" w:hAnsi="宋体" w:eastAsia="宋体" w:cs="Times New Roman"/>
                <w:snapToGrid/>
                <w:color w:val="auto"/>
                <w:spacing w:val="0"/>
                <w:kern w:val="2"/>
                <w:szCs w:val="24"/>
                <w:highlight w:val="none"/>
              </w:rPr>
              <w:t>详见采购项目需求</w:t>
            </w:r>
          </w:p>
        </w:tc>
        <w:tc>
          <w:tcPr>
            <w:tcW w:w="1195" w:type="dxa"/>
            <w:noWrap w:val="0"/>
            <w:vAlign w:val="center"/>
          </w:tcPr>
          <w:p w14:paraId="772DE192">
            <w:pPr>
              <w:pStyle w:val="65"/>
              <w:pageBreakBefore w:val="0"/>
              <w:kinsoku/>
              <w:overflowPunct/>
              <w:topLinePunct w:val="0"/>
              <w:bidi w:val="0"/>
              <w:spacing w:before="0" w:after="0" w:line="240" w:lineRule="auto"/>
              <w:ind w:firstLine="0"/>
              <w:rPr>
                <w:rFonts w:hint="default" w:ascii="Times New Roman" w:hAnsi="宋体" w:eastAsia="宋体" w:cs="Times New Roman"/>
                <w:snapToGrid/>
                <w:color w:val="auto"/>
                <w:spacing w:val="0"/>
                <w:kern w:val="2"/>
                <w:szCs w:val="24"/>
                <w:highlight w:val="none"/>
                <w:lang w:val="en-US" w:eastAsia="zh-CN"/>
              </w:rPr>
            </w:pPr>
            <w:r>
              <w:rPr>
                <w:rFonts w:hint="eastAsia" w:ascii="Times New Roman" w:hAnsi="宋体" w:eastAsia="宋体" w:cs="Times New Roman"/>
                <w:snapToGrid/>
                <w:color w:val="auto"/>
                <w:spacing w:val="0"/>
                <w:kern w:val="2"/>
                <w:szCs w:val="24"/>
                <w:highlight w:val="none"/>
                <w:lang w:val="en-US" w:eastAsia="zh-CN"/>
              </w:rPr>
              <w:t>13</w:t>
            </w:r>
          </w:p>
        </w:tc>
        <w:tc>
          <w:tcPr>
            <w:tcW w:w="2606" w:type="dxa"/>
            <w:noWrap w:val="0"/>
            <w:vAlign w:val="center"/>
          </w:tcPr>
          <w:p w14:paraId="1922EE49">
            <w:pPr>
              <w:pStyle w:val="65"/>
              <w:pageBreakBefore w:val="0"/>
              <w:kinsoku/>
              <w:overflowPunct/>
              <w:topLinePunct w:val="0"/>
              <w:bidi w:val="0"/>
              <w:spacing w:before="0" w:after="0" w:line="240" w:lineRule="auto"/>
              <w:jc w:val="center"/>
              <w:rPr>
                <w:rFonts w:hint="default" w:ascii="Times New Roman" w:hAnsi="Times New Roman" w:eastAsia="宋体" w:cs="Times New Roman"/>
                <w:snapToGrid/>
                <w:color w:val="C00000"/>
                <w:spacing w:val="0"/>
                <w:kern w:val="2"/>
                <w:szCs w:val="24"/>
                <w:highlight w:val="none"/>
                <w:lang w:val="en-US" w:eastAsia="zh-CN"/>
              </w:rPr>
            </w:pPr>
            <w:r>
              <w:rPr>
                <w:rFonts w:hint="eastAsia" w:ascii="Times New Roman" w:hAnsi="Times New Roman" w:eastAsia="宋体" w:cs="Times New Roman"/>
                <w:snapToGrid/>
                <w:color w:val="C00000"/>
                <w:spacing w:val="0"/>
                <w:kern w:val="2"/>
                <w:szCs w:val="24"/>
                <w:highlight w:val="none"/>
                <w:lang w:val="en-US" w:eastAsia="zh-CN"/>
              </w:rPr>
              <w:t>0.38</w:t>
            </w:r>
          </w:p>
        </w:tc>
        <w:tc>
          <w:tcPr>
            <w:tcW w:w="2149" w:type="dxa"/>
            <w:noWrap w:val="0"/>
            <w:vAlign w:val="center"/>
          </w:tcPr>
          <w:p w14:paraId="1ED8894A">
            <w:pPr>
              <w:pStyle w:val="65"/>
              <w:pageBreakBefore w:val="0"/>
              <w:kinsoku/>
              <w:overflowPunct/>
              <w:topLinePunct w:val="0"/>
              <w:bidi w:val="0"/>
              <w:spacing w:before="0" w:after="0" w:line="240" w:lineRule="auto"/>
              <w:jc w:val="center"/>
              <w:rPr>
                <w:rFonts w:hint="default" w:hAnsi="宋体" w:eastAsia="宋体" w:cs="Times New Roman"/>
                <w:snapToGrid/>
                <w:color w:val="auto"/>
                <w:spacing w:val="0"/>
                <w:kern w:val="2"/>
                <w:szCs w:val="24"/>
                <w:highlight w:val="none"/>
                <w:lang w:val="en-US" w:eastAsia="zh-CN"/>
              </w:rPr>
            </w:pPr>
            <w:r>
              <w:rPr>
                <w:rFonts w:hint="eastAsia" w:hAnsi="宋体" w:eastAsia="宋体" w:cs="Times New Roman"/>
                <w:snapToGrid/>
                <w:color w:val="auto"/>
                <w:spacing w:val="0"/>
                <w:kern w:val="2"/>
                <w:szCs w:val="24"/>
                <w:highlight w:val="none"/>
                <w:lang w:val="en-US" w:eastAsia="zh-CN"/>
              </w:rPr>
              <w:t>59.28</w:t>
            </w:r>
          </w:p>
        </w:tc>
      </w:tr>
    </w:tbl>
    <w:p w14:paraId="61D6B5C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sz w:val="24"/>
        </w:rPr>
      </w:pPr>
      <w:r>
        <w:rPr>
          <w:rFonts w:hint="eastAsia" w:hAnsi="宋体"/>
          <w:b/>
          <w:bCs/>
          <w:sz w:val="24"/>
        </w:rPr>
        <w:t>（三）服务要求</w:t>
      </w:r>
    </w:p>
    <w:p w14:paraId="60B0D642">
      <w:pPr>
        <w:pStyle w:val="9"/>
        <w:numPr>
          <w:ilvl w:val="0"/>
          <w:numId w:val="0"/>
        </w:numPr>
        <w:spacing w:line="24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1、2023级、2024级临床型研究生宿舍，共需52个床位，共13间房，租金含管理费，水电气费用学生自理。租赁期限共三年，每年根据研究生科实际住宿房间情况按月据实结算。</w:t>
      </w:r>
      <w:bookmarkStart w:id="26" w:name="_GoBack"/>
      <w:bookmarkEnd w:id="26"/>
    </w:p>
    <w:p w14:paraId="58D255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2、以上房屋配套设施至少含：空调、热水器、书桌、椅子、床、床垫、衣柜、独立洗手间等。</w:t>
      </w:r>
    </w:p>
    <w:p w14:paraId="64AA89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3、房屋交付日期：接到采购人通知后7天内将租赁房屋交付给采购人，并保证房屋及其附属设施安全、合格。</w:t>
      </w:r>
    </w:p>
    <w:p w14:paraId="68C7BF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4、投标人提供的楼房房产权须清晰明确，与采购人签订合同后不可再次转租、转让、租赁。</w:t>
      </w:r>
    </w:p>
    <w:p w14:paraId="4D2D59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kern w:val="2"/>
          <w:sz w:val="24"/>
          <w:szCs w:val="24"/>
          <w:lang w:val="en-US" w:eastAsia="zh-CN" w:bidi="ar-SA"/>
        </w:rPr>
      </w:pPr>
      <w:r>
        <w:rPr>
          <w:rFonts w:hAnsi="宋体"/>
          <w:b/>
          <w:bCs/>
          <w:sz w:val="24"/>
          <w:highlight w:val="yellow"/>
        </w:rPr>
        <w:t>★</w:t>
      </w:r>
      <w:r>
        <w:rPr>
          <w:rFonts w:hint="eastAsia" w:ascii="宋体" w:hAnsi="宋体" w:eastAsia="宋体" w:cs="宋体"/>
          <w:kern w:val="2"/>
          <w:sz w:val="24"/>
          <w:szCs w:val="24"/>
          <w:highlight w:val="yellow"/>
          <w:lang w:val="en-US" w:eastAsia="zh-CN" w:bidi="ar-SA"/>
        </w:rPr>
        <w:t>5、投标人需持房屋租赁合同或使用权证明，材料及相关资质齐全符合国家现行标准（投标人提供相关证明材料）</w:t>
      </w:r>
      <w:r>
        <w:rPr>
          <w:rFonts w:hint="eastAsia" w:ascii="宋体" w:hAnsi="宋体" w:eastAsia="宋体" w:cs="宋体"/>
          <w:kern w:val="2"/>
          <w:sz w:val="24"/>
          <w:szCs w:val="24"/>
          <w:lang w:val="en-US" w:eastAsia="zh-CN" w:bidi="ar-SA"/>
        </w:rPr>
        <w:t>。</w:t>
      </w:r>
    </w:p>
    <w:p w14:paraId="34F47E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6、投标人负责跟进配合采购人处理租赁期间相关的一切事宜，包括但不限于</w:t>
      </w:r>
      <w:r>
        <w:rPr>
          <w:rFonts w:hint="default" w:ascii="宋体" w:hAnsi="宋体" w:eastAsia="宋体" w:cs="宋体"/>
          <w:kern w:val="2"/>
          <w:sz w:val="24"/>
          <w:szCs w:val="24"/>
          <w:lang w:val="en-US" w:eastAsia="zh-CN" w:bidi="ar-SA"/>
        </w:rPr>
        <w:t>物业管理对接</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财务</w:t>
      </w:r>
      <w:r>
        <w:rPr>
          <w:rFonts w:hint="eastAsia" w:ascii="宋体" w:hAnsi="宋体" w:eastAsia="宋体" w:cs="宋体"/>
          <w:kern w:val="2"/>
          <w:sz w:val="24"/>
          <w:szCs w:val="24"/>
          <w:lang w:val="en-US" w:eastAsia="zh-CN" w:bidi="ar-SA"/>
        </w:rPr>
        <w:t>结算、</w:t>
      </w:r>
      <w:r>
        <w:rPr>
          <w:rFonts w:hint="default" w:ascii="宋体" w:hAnsi="宋体" w:eastAsia="宋体" w:cs="宋体"/>
          <w:kern w:val="2"/>
          <w:sz w:val="24"/>
          <w:szCs w:val="24"/>
          <w:lang w:val="en-US" w:eastAsia="zh-CN" w:bidi="ar-SA"/>
        </w:rPr>
        <w:t>水电气抄表</w:t>
      </w:r>
      <w:r>
        <w:rPr>
          <w:rFonts w:hint="eastAsia" w:ascii="宋体" w:hAnsi="宋体" w:eastAsia="宋体" w:cs="宋体"/>
          <w:kern w:val="2"/>
          <w:sz w:val="24"/>
          <w:szCs w:val="24"/>
          <w:lang w:val="en-US" w:eastAsia="zh-CN" w:bidi="ar-SA"/>
        </w:rPr>
        <w:t>、租赁处</w:t>
      </w:r>
      <w:r>
        <w:rPr>
          <w:rFonts w:hint="default" w:ascii="宋体" w:hAnsi="宋体" w:eastAsia="宋体" w:cs="宋体"/>
          <w:kern w:val="2"/>
          <w:sz w:val="24"/>
          <w:szCs w:val="24"/>
          <w:lang w:val="en-US" w:eastAsia="zh-CN" w:bidi="ar-SA"/>
        </w:rPr>
        <w:t>外围卫生</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环境保洁</w:t>
      </w:r>
      <w:r>
        <w:rPr>
          <w:rFonts w:hint="eastAsia" w:ascii="宋体" w:hAnsi="宋体" w:eastAsia="宋体" w:cs="宋体"/>
          <w:kern w:val="2"/>
          <w:sz w:val="24"/>
          <w:szCs w:val="24"/>
          <w:lang w:val="en-US" w:eastAsia="zh-CN" w:bidi="ar-SA"/>
        </w:rPr>
        <w:t>等工作</w:t>
      </w:r>
      <w:r>
        <w:rPr>
          <w:rFonts w:hint="default" w:ascii="宋体" w:hAnsi="宋体" w:eastAsia="宋体" w:cs="宋体"/>
          <w:kern w:val="2"/>
          <w:sz w:val="24"/>
          <w:szCs w:val="24"/>
          <w:lang w:val="en-US" w:eastAsia="zh-CN" w:bidi="ar-SA"/>
        </w:rPr>
        <w:t>。</w:t>
      </w:r>
    </w:p>
    <w:p w14:paraId="3977AB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r>
        <w:rPr>
          <w:rFonts w:hint="default"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t>在采购人租赁期内，投标人不得将采购人租用的房间进行转租、抵押、转让、馈赠、质押、外借等用途。</w:t>
      </w:r>
    </w:p>
    <w:p w14:paraId="71059A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kern w:val="2"/>
          <w:sz w:val="24"/>
          <w:szCs w:val="24"/>
          <w:lang w:val="en-US" w:eastAsia="zh-CN" w:bidi="ar-SA"/>
        </w:rPr>
        <w:t>8</w:t>
      </w:r>
      <w:r>
        <w:rPr>
          <w:rFonts w:hint="default"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t>房屋主体结构导致的问题（包括但不限于房屋配套设施设备、漏水、漏电、墙体损坏），由投标人无条件提供修缮维护，在投标人接到采购人通知后5天内完成维修修缮工作。相关维护修缮费用全部由投标人承担。</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自合同签订之日起1年。本项目为长期服务类项目，第一年为本次招标的中标服务期限，采购人可根据项目需求和中标供应商的履约情况确定合同期限是否延长，但最长不超过三年，合同一年一签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imes New Roman" w:hAnsi="Times New Roman" w:eastAsia="宋体" w:cs="Times New Roman"/>
          <w:color w:val="000000"/>
          <w:kern w:val="0"/>
          <w:sz w:val="24"/>
          <w:szCs w:val="22"/>
          <w:highlight w:val="none"/>
        </w:rPr>
        <w:t>广州市海珠区</w:t>
      </w:r>
      <w:r>
        <w:rPr>
          <w:rFonts w:hint="eastAsia" w:ascii="Times New Roman" w:hAnsi="Times New Roman" w:eastAsia="宋体" w:cs="Times New Roman"/>
          <w:color w:val="000000"/>
          <w:kern w:val="0"/>
          <w:sz w:val="24"/>
          <w:szCs w:val="22"/>
          <w:highlight w:val="none"/>
          <w:lang w:val="en-US" w:eastAsia="zh-CN"/>
        </w:rPr>
        <w:t>中山大学南校区周边8公里内</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632DC8B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firstLine="480" w:firstLineChars="200"/>
        <w:textAlignment w:val="auto"/>
        <w:rPr>
          <w:rFonts w:hint="eastAsia" w:ascii="宋体" w:hAnsi="宋体" w:eastAsia="宋体" w:cs="宋体"/>
          <w:bCs/>
          <w:color w:val="C00000"/>
          <w:sz w:val="24"/>
          <w:highlight w:val="none"/>
        </w:rPr>
      </w:pPr>
      <w:r>
        <w:rPr>
          <w:rFonts w:hint="eastAsia" w:ascii="宋体" w:hAnsi="宋体" w:eastAsia="宋体" w:cs="宋体"/>
          <w:bCs/>
          <w:color w:val="C00000"/>
          <w:sz w:val="24"/>
          <w:highlight w:val="none"/>
          <w:lang w:val="en-US" w:eastAsia="zh-CN"/>
        </w:rPr>
        <w:t>1.</w:t>
      </w:r>
      <w:r>
        <w:rPr>
          <w:rFonts w:hint="default" w:ascii="Times New Roman" w:hAnsi="Times New Roman" w:cs="Times New Roman"/>
          <w:color w:val="C00000"/>
          <w:kern w:val="0"/>
          <w:sz w:val="24"/>
          <w:highlight w:val="none"/>
        </w:rPr>
        <w:t>不得超过招标控制价，投标总价必须是完成该项目所有服务要求的一切费用总和，</w:t>
      </w:r>
      <w:r>
        <w:rPr>
          <w:rFonts w:hint="eastAsia" w:ascii="宋体" w:hAnsi="宋体" w:eastAsia="宋体" w:cs="宋体"/>
          <w:bCs/>
          <w:color w:val="C00000"/>
          <w:sz w:val="24"/>
          <w:highlight w:val="none"/>
        </w:rPr>
        <w:t>包括</w:t>
      </w:r>
      <w:r>
        <w:rPr>
          <w:rFonts w:hint="eastAsia" w:ascii="宋体" w:hAnsi="宋体" w:eastAsia="宋体" w:cs="宋体"/>
          <w:bCs/>
          <w:color w:val="C00000"/>
          <w:sz w:val="24"/>
          <w:highlight w:val="none"/>
          <w:lang w:val="en-US" w:eastAsia="zh-CN"/>
        </w:rPr>
        <w:t>楼房租金</w:t>
      </w:r>
      <w:r>
        <w:rPr>
          <w:rFonts w:hint="eastAsia" w:ascii="宋体" w:hAnsi="宋体" w:eastAsia="宋体" w:cs="宋体"/>
          <w:bCs/>
          <w:color w:val="C00000"/>
          <w:sz w:val="24"/>
          <w:highlight w:val="none"/>
        </w:rPr>
        <w:t>、</w:t>
      </w:r>
      <w:r>
        <w:rPr>
          <w:rFonts w:hint="eastAsia" w:ascii="宋体" w:hAnsi="宋体" w:eastAsia="宋体" w:cs="宋体"/>
          <w:bCs/>
          <w:color w:val="C00000"/>
          <w:sz w:val="24"/>
          <w:highlight w:val="none"/>
          <w:lang w:val="en-US" w:eastAsia="zh-CN"/>
        </w:rPr>
        <w:t>管理费、</w:t>
      </w:r>
      <w:r>
        <w:rPr>
          <w:rFonts w:hint="eastAsia" w:ascii="宋体" w:hAnsi="宋体" w:eastAsia="宋体" w:cs="宋体"/>
          <w:bCs/>
          <w:color w:val="C00000"/>
          <w:sz w:val="24"/>
          <w:highlight w:val="none"/>
        </w:rPr>
        <w:t>人工费、消杀费、</w:t>
      </w:r>
      <w:r>
        <w:rPr>
          <w:rFonts w:hint="eastAsia" w:ascii="Times New Roman" w:hAnsi="Times New Roman" w:eastAsia="宋体" w:cs="Times New Roman"/>
          <w:color w:val="C00000"/>
          <w:sz w:val="24"/>
          <w:szCs w:val="24"/>
          <w:highlight w:val="none"/>
          <w:lang w:val="en-US" w:eastAsia="zh-CN"/>
        </w:rPr>
        <w:t>卫生</w:t>
      </w:r>
      <w:r>
        <w:rPr>
          <w:rFonts w:hint="eastAsia" w:eastAsia="宋体" w:cs="Times New Roman"/>
          <w:color w:val="C00000"/>
          <w:sz w:val="24"/>
          <w:szCs w:val="24"/>
          <w:highlight w:val="none"/>
          <w:lang w:val="en-US" w:eastAsia="zh-CN"/>
        </w:rPr>
        <w:t>费</w:t>
      </w:r>
      <w:r>
        <w:rPr>
          <w:rFonts w:hint="eastAsia" w:ascii="Times New Roman" w:hAnsi="Times New Roman" w:eastAsia="宋体" w:cs="Times New Roman"/>
          <w:color w:val="C00000"/>
          <w:sz w:val="24"/>
          <w:szCs w:val="24"/>
          <w:highlight w:val="none"/>
          <w:lang w:val="en-US" w:eastAsia="zh-CN"/>
        </w:rPr>
        <w:t>（含垃圾清运及处理）</w:t>
      </w:r>
      <w:r>
        <w:rPr>
          <w:rFonts w:hint="eastAsia" w:ascii="宋体" w:hAnsi="宋体" w:eastAsia="宋体" w:cs="宋体"/>
          <w:bCs/>
          <w:color w:val="C00000"/>
          <w:sz w:val="24"/>
          <w:highlight w:val="none"/>
          <w:lang w:val="en-US" w:eastAsia="zh-CN"/>
        </w:rPr>
        <w:t>、</w:t>
      </w:r>
      <w:r>
        <w:rPr>
          <w:rFonts w:hint="eastAsia" w:ascii="宋体" w:hAnsi="宋体" w:eastAsia="宋体" w:cs="宋体"/>
          <w:bCs/>
          <w:color w:val="C00000"/>
          <w:sz w:val="24"/>
          <w:highlight w:val="none"/>
        </w:rPr>
        <w:t>设备或基础设施维修费、国家规定的各项税费等全部费用。</w:t>
      </w:r>
    </w:p>
    <w:p w14:paraId="1B95F6E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firstLine="480" w:firstLineChars="200"/>
        <w:textAlignment w:val="auto"/>
        <w:rPr>
          <w:rFonts w:hint="eastAsia" w:ascii="Times New Roman" w:hAnsi="Times New Roman" w:eastAsia="宋体" w:cs="Times New Roman"/>
          <w:color w:val="C00000"/>
          <w:kern w:val="0"/>
          <w:sz w:val="24"/>
          <w:highlight w:val="none"/>
          <w:lang w:val="en-US" w:eastAsia="zh-CN"/>
        </w:rPr>
      </w:pPr>
      <w:r>
        <w:rPr>
          <w:rFonts w:hint="eastAsia" w:ascii="宋体" w:hAnsi="宋体" w:eastAsia="宋体" w:cs="宋体"/>
          <w:bCs/>
          <w:color w:val="C00000"/>
          <w:sz w:val="24"/>
          <w:highlight w:val="none"/>
          <w:lang w:val="en-US" w:eastAsia="zh-CN"/>
        </w:rPr>
        <w:t>2.</w:t>
      </w:r>
      <w:r>
        <w:rPr>
          <w:rFonts w:hint="eastAsia" w:ascii="宋体" w:hAnsi="宋体" w:eastAsia="宋体" w:cs="宋体"/>
          <w:bCs/>
          <w:color w:val="C00000"/>
          <w:sz w:val="24"/>
          <w:highlight w:val="none"/>
        </w:rPr>
        <w:t>房屋租赁期内，</w:t>
      </w:r>
      <w:r>
        <w:rPr>
          <w:rFonts w:hint="eastAsia" w:ascii="宋体" w:hAnsi="宋体" w:eastAsia="宋体" w:cs="宋体"/>
          <w:bCs/>
          <w:color w:val="C00000"/>
          <w:sz w:val="24"/>
          <w:highlight w:val="none"/>
          <w:lang w:eastAsia="zh-CN"/>
        </w:rPr>
        <w:t>投标人</w:t>
      </w:r>
      <w:r>
        <w:rPr>
          <w:rFonts w:hint="eastAsia" w:ascii="宋体" w:hAnsi="宋体" w:eastAsia="宋体" w:cs="宋体"/>
          <w:bCs/>
          <w:color w:val="C00000"/>
          <w:sz w:val="24"/>
          <w:highlight w:val="none"/>
        </w:rPr>
        <w:t>不得单方面提高租金。</w:t>
      </w:r>
      <w:r>
        <w:rPr>
          <w:rFonts w:hint="eastAsia" w:ascii="宋体" w:hAnsi="宋体" w:cs="宋体"/>
          <w:color w:val="C00000"/>
          <w:kern w:val="0"/>
          <w:sz w:val="24"/>
          <w:szCs w:val="24"/>
          <w:lang w:val="en-US" w:eastAsia="zh-CN" w:bidi="ar-SA"/>
        </w:rPr>
        <w:t>租赁期租金不上浮</w:t>
      </w:r>
      <w:r>
        <w:rPr>
          <w:rFonts w:hint="eastAsia" w:ascii="宋体" w:hAnsi="宋体" w:eastAsia="宋体" w:cs="宋体"/>
          <w:color w:val="C00000"/>
          <w:kern w:val="0"/>
          <w:sz w:val="24"/>
          <w:szCs w:val="24"/>
          <w:lang w:val="en-US" w:eastAsia="zh-CN" w:bidi="ar-SA"/>
        </w:rPr>
        <w:t>；签</w:t>
      </w:r>
      <w:r>
        <w:rPr>
          <w:rFonts w:hint="eastAsia" w:ascii="宋体" w:hAnsi="宋体" w:cs="宋体"/>
          <w:color w:val="C00000"/>
          <w:kern w:val="0"/>
          <w:sz w:val="24"/>
          <w:szCs w:val="24"/>
          <w:lang w:val="en-US" w:eastAsia="zh-CN" w:bidi="ar-SA"/>
        </w:rPr>
        <w:t>定</w:t>
      </w:r>
      <w:r>
        <w:rPr>
          <w:rFonts w:hint="eastAsia" w:ascii="宋体" w:hAnsi="宋体" w:eastAsia="宋体" w:cs="宋体"/>
          <w:color w:val="C00000"/>
          <w:kern w:val="0"/>
          <w:sz w:val="24"/>
          <w:szCs w:val="24"/>
          <w:lang w:val="en-US" w:eastAsia="zh-CN" w:bidi="ar-SA"/>
        </w:rPr>
        <w:t>合同</w:t>
      </w:r>
      <w:r>
        <w:rPr>
          <w:rFonts w:hint="eastAsia" w:ascii="宋体" w:hAnsi="宋体" w:cs="宋体"/>
          <w:color w:val="C00000"/>
          <w:kern w:val="0"/>
          <w:sz w:val="24"/>
          <w:szCs w:val="24"/>
          <w:lang w:val="en-US" w:eastAsia="zh-CN" w:bidi="ar-SA"/>
        </w:rPr>
        <w:t>即支</w:t>
      </w:r>
      <w:r>
        <w:rPr>
          <w:rFonts w:hint="eastAsia" w:ascii="宋体" w:hAnsi="宋体" w:eastAsia="宋体" w:cs="宋体"/>
          <w:color w:val="C00000"/>
          <w:kern w:val="0"/>
          <w:sz w:val="24"/>
          <w:szCs w:val="24"/>
          <w:lang w:val="en-US" w:eastAsia="zh-CN" w:bidi="ar-SA"/>
        </w:rPr>
        <w:t>付</w:t>
      </w:r>
      <w:r>
        <w:rPr>
          <w:rFonts w:hint="eastAsia" w:ascii="宋体" w:hAnsi="宋体" w:cs="宋体"/>
          <w:color w:val="C00000"/>
          <w:kern w:val="0"/>
          <w:sz w:val="24"/>
          <w:szCs w:val="24"/>
          <w:lang w:val="en-US" w:eastAsia="zh-CN" w:bidi="ar-SA"/>
        </w:rPr>
        <w:t>一</w:t>
      </w:r>
      <w:r>
        <w:rPr>
          <w:rFonts w:hint="eastAsia" w:ascii="宋体" w:hAnsi="宋体" w:eastAsia="宋体" w:cs="宋体"/>
          <w:color w:val="C00000"/>
          <w:kern w:val="0"/>
          <w:sz w:val="24"/>
          <w:szCs w:val="24"/>
          <w:lang w:val="en-US" w:eastAsia="zh-CN" w:bidi="ar-SA"/>
        </w:rPr>
        <w:t>押一租</w:t>
      </w:r>
      <w:r>
        <w:rPr>
          <w:rFonts w:hint="eastAsia" w:ascii="宋体" w:hAnsi="宋体" w:cs="宋体"/>
          <w:color w:val="C00000"/>
          <w:kern w:val="0"/>
          <w:sz w:val="24"/>
          <w:szCs w:val="24"/>
          <w:lang w:val="en-US" w:eastAsia="zh-CN" w:bidi="ar-SA"/>
        </w:rPr>
        <w:t>金</w:t>
      </w:r>
      <w:r>
        <w:rPr>
          <w:rFonts w:hint="eastAsia" w:ascii="宋体" w:hAnsi="宋体" w:eastAsia="宋体" w:cs="宋体"/>
          <w:bCs/>
          <w:color w:val="C00000"/>
          <w:sz w:val="24"/>
          <w:highlight w:val="none"/>
        </w:rPr>
        <w:t>。</w:t>
      </w:r>
    </w:p>
    <w:p w14:paraId="4C86C981">
      <w:pPr>
        <w:pStyle w:val="41"/>
        <w:numPr>
          <w:ilvl w:val="0"/>
          <w:numId w:val="0"/>
        </w:numPr>
        <w:tabs>
          <w:tab w:val="left" w:pos="907"/>
        </w:tabs>
        <w:spacing w:line="400" w:lineRule="exact"/>
        <w:ind w:firstLine="480" w:firstLineChars="200"/>
        <w:jc w:val="left"/>
        <w:rPr>
          <w:rFonts w:hint="default" w:ascii="Times New Roman" w:hAnsi="Times New Roman" w:cs="Times New Roman"/>
          <w:color w:val="C00000"/>
          <w:kern w:val="0"/>
          <w:sz w:val="24"/>
          <w:highlight w:val="none"/>
          <w:lang w:val="en-US" w:eastAsia="zh-CN"/>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租赁期间</w:t>
      </w:r>
      <w:r>
        <w:rPr>
          <w:rFonts w:hint="eastAsia" w:ascii="宋体" w:hAnsi="宋体" w:eastAsia="宋体" w:cs="宋体"/>
          <w:bCs/>
          <w:color w:val="C00000"/>
          <w:sz w:val="24"/>
          <w:highlight w:val="none"/>
          <w:lang w:eastAsia="zh-CN"/>
        </w:rPr>
        <w:t>投标人</w:t>
      </w:r>
      <w:r>
        <w:rPr>
          <w:rFonts w:hint="eastAsia" w:ascii="Times New Roman" w:hAnsi="Times New Roman" w:eastAsia="宋体" w:cs="Times New Roman"/>
          <w:color w:val="C00000"/>
          <w:sz w:val="24"/>
          <w:szCs w:val="24"/>
          <w:highlight w:val="none"/>
          <w:lang w:val="en-US" w:eastAsia="zh-CN"/>
        </w:rPr>
        <w:t>提供物业管理服务，包括但不限于物业管理、供应水电气、卫生保洁（含垃圾清运及处理）、停车等相关服务。</w:t>
      </w:r>
    </w:p>
    <w:p w14:paraId="17F0AACF">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default" w:ascii="宋体" w:hAnsi="宋体" w:eastAsia="宋体" w:cs="宋体"/>
          <w:bCs/>
          <w:color w:val="C00000"/>
          <w:sz w:val="24"/>
          <w:highlight w:val="none"/>
          <w:lang w:val="en-US" w:eastAsia="zh-CN"/>
        </w:rPr>
        <w:t>4.</w:t>
      </w:r>
      <w:r>
        <w:rPr>
          <w:rFonts w:hint="eastAsia" w:ascii="宋体" w:hAnsi="宋体" w:eastAsia="宋体" w:cs="宋体"/>
          <w:bCs/>
          <w:color w:val="C00000"/>
          <w:sz w:val="24"/>
          <w:highlight w:val="none"/>
        </w:rPr>
        <w:t>租赁期间的水</w:t>
      </w:r>
      <w:r>
        <w:rPr>
          <w:rFonts w:hint="eastAsia" w:ascii="宋体" w:hAnsi="宋体" w:eastAsia="宋体" w:cs="宋体"/>
          <w:bCs/>
          <w:color w:val="C00000"/>
          <w:sz w:val="24"/>
          <w:highlight w:val="none"/>
          <w:lang w:val="en-US" w:eastAsia="zh-CN"/>
        </w:rPr>
        <w:t>费</w:t>
      </w:r>
      <w:r>
        <w:rPr>
          <w:rFonts w:hint="eastAsia" w:ascii="宋体" w:hAnsi="宋体" w:eastAsia="宋体" w:cs="宋体"/>
          <w:bCs/>
          <w:color w:val="C00000"/>
          <w:sz w:val="24"/>
          <w:highlight w:val="none"/>
        </w:rPr>
        <w:t>、电费</w:t>
      </w:r>
      <w:r>
        <w:rPr>
          <w:rFonts w:hint="eastAsia" w:ascii="宋体" w:hAnsi="宋体" w:eastAsia="宋体" w:cs="宋体"/>
          <w:bCs/>
          <w:color w:val="C00000"/>
          <w:sz w:val="24"/>
          <w:highlight w:val="none"/>
          <w:lang w:eastAsia="zh-CN"/>
        </w:rPr>
        <w:t>、</w:t>
      </w:r>
      <w:r>
        <w:rPr>
          <w:rFonts w:hint="eastAsia" w:ascii="宋体" w:hAnsi="宋体" w:eastAsia="宋体" w:cs="宋体"/>
          <w:bCs/>
          <w:color w:val="C00000"/>
          <w:sz w:val="24"/>
          <w:highlight w:val="none"/>
          <w:lang w:val="en-US" w:eastAsia="zh-CN"/>
        </w:rPr>
        <w:t>燃气</w:t>
      </w:r>
      <w:r>
        <w:rPr>
          <w:rFonts w:hint="eastAsia" w:ascii="宋体" w:hAnsi="宋体" w:eastAsia="宋体" w:cs="宋体"/>
          <w:bCs/>
          <w:color w:val="C00000"/>
          <w:sz w:val="24"/>
          <w:highlight w:val="none"/>
        </w:rPr>
        <w:t>费</w:t>
      </w:r>
      <w:r>
        <w:rPr>
          <w:rFonts w:hint="eastAsia" w:ascii="宋体" w:hAnsi="宋体" w:eastAsia="宋体" w:cs="宋体"/>
          <w:bCs/>
          <w:color w:val="C00000"/>
          <w:sz w:val="24"/>
          <w:highlight w:val="none"/>
          <w:lang w:eastAsia="zh-CN"/>
        </w:rPr>
        <w:t>、电视、电话、网络</w:t>
      </w:r>
      <w:r>
        <w:rPr>
          <w:rFonts w:hint="eastAsia" w:ascii="宋体" w:hAnsi="宋体" w:eastAsia="宋体" w:cs="宋体"/>
          <w:bCs/>
          <w:color w:val="C00000"/>
          <w:sz w:val="24"/>
          <w:highlight w:val="none"/>
          <w:lang w:val="en-US" w:eastAsia="zh-CN"/>
        </w:rPr>
        <w:t>等费用按广州市现行收费标准，</w:t>
      </w:r>
      <w:r>
        <w:rPr>
          <w:rFonts w:hint="eastAsia" w:ascii="宋体" w:hAnsi="宋体" w:eastAsia="宋体" w:cs="宋体"/>
          <w:bCs/>
          <w:color w:val="C00000"/>
          <w:sz w:val="24"/>
          <w:highlight w:val="none"/>
        </w:rPr>
        <w:t>据实按月支付</w:t>
      </w:r>
      <w:r>
        <w:rPr>
          <w:rFonts w:hint="eastAsia" w:ascii="宋体" w:hAnsi="宋体" w:eastAsia="宋体" w:cs="宋体"/>
          <w:bCs/>
          <w:color w:val="C00000"/>
          <w:sz w:val="24"/>
          <w:highlight w:val="none"/>
          <w:lang w:eastAsia="zh-CN"/>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44E7B771">
      <w:pPr>
        <w:keepNext w:val="0"/>
        <w:keepLines w:val="0"/>
        <w:pageBreakBefore w:val="0"/>
        <w:kinsoku/>
        <w:wordWrap/>
        <w:overflowPunct/>
        <w:topLinePunct w:val="0"/>
        <w:bidi w:val="0"/>
        <w:adjustRightInd w:val="0"/>
        <w:snapToGrid w:val="0"/>
        <w:spacing w:line="240" w:lineRule="auto"/>
        <w:ind w:firstLine="480" w:firstLineChars="200"/>
        <w:textAlignment w:val="auto"/>
        <w:rPr>
          <w:rFonts w:hint="default" w:ascii="Times New Roman" w:hAnsi="Times New Roman" w:eastAsia="宋体" w:cs="Times New Roman"/>
          <w:bCs/>
          <w:sz w:val="24"/>
          <w:highlight w:val="none"/>
        </w:rPr>
      </w:pPr>
      <w:r>
        <w:rPr>
          <w:rFonts w:hint="eastAsia" w:eastAsia="宋体" w:cs="Times New Roman"/>
          <w:bCs/>
          <w:sz w:val="24"/>
          <w:highlight w:val="none"/>
          <w:lang w:val="en-US" w:eastAsia="zh-CN"/>
        </w:rPr>
        <w:t>1.</w:t>
      </w:r>
      <w:r>
        <w:rPr>
          <w:rFonts w:hint="default" w:ascii="Times New Roman" w:hAnsi="Times New Roman" w:eastAsia="宋体" w:cs="Times New Roman"/>
          <w:bCs/>
          <w:sz w:val="24"/>
          <w:highlight w:val="none"/>
        </w:rPr>
        <w:t>按照中山大学附属第八医院（深圳福田）有关规定付款。</w:t>
      </w:r>
    </w:p>
    <w:p w14:paraId="7DF7B6A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Cs/>
          <w:color w:val="C00000"/>
          <w:sz w:val="24"/>
          <w:highlight w:val="none"/>
        </w:rPr>
      </w:pPr>
      <w:r>
        <w:rPr>
          <w:rFonts w:hint="eastAsia" w:ascii="宋体" w:hAnsi="宋体" w:eastAsia="宋体" w:cs="宋体"/>
          <w:bCs/>
          <w:color w:val="C00000"/>
          <w:sz w:val="24"/>
          <w:highlight w:val="none"/>
          <w:lang w:val="en-US" w:eastAsia="zh-CN"/>
        </w:rPr>
        <w:t>2.</w:t>
      </w:r>
      <w:r>
        <w:rPr>
          <w:rFonts w:hint="eastAsia" w:ascii="宋体" w:hAnsi="宋体" w:eastAsia="宋体" w:cs="宋体"/>
          <w:bCs/>
          <w:color w:val="C00000"/>
          <w:sz w:val="24"/>
          <w:highlight w:val="none"/>
        </w:rPr>
        <w:t>租赁押金：合同签订后7日内，采购人向</w:t>
      </w:r>
      <w:r>
        <w:rPr>
          <w:rFonts w:hint="eastAsia" w:ascii="宋体" w:hAnsi="宋体" w:eastAsia="宋体" w:cs="宋体"/>
          <w:bCs/>
          <w:color w:val="C00000"/>
          <w:sz w:val="24"/>
          <w:highlight w:val="none"/>
          <w:lang w:val="en-US" w:eastAsia="zh-CN"/>
        </w:rPr>
        <w:t>投</w:t>
      </w:r>
      <w:r>
        <w:rPr>
          <w:rFonts w:hint="eastAsia" w:ascii="宋体" w:hAnsi="宋体" w:eastAsia="宋体" w:cs="宋体"/>
          <w:bCs/>
          <w:color w:val="C00000"/>
          <w:sz w:val="24"/>
          <w:highlight w:val="none"/>
        </w:rPr>
        <w:t>标人支付相当于</w:t>
      </w:r>
      <w:r>
        <w:rPr>
          <w:rFonts w:hint="eastAsia" w:ascii="宋体" w:hAnsi="宋体" w:eastAsia="宋体" w:cs="宋体"/>
          <w:bCs/>
          <w:color w:val="C00000"/>
          <w:sz w:val="24"/>
          <w:highlight w:val="none"/>
          <w:lang w:val="en-US" w:eastAsia="zh-CN"/>
        </w:rPr>
        <w:t>1</w:t>
      </w:r>
      <w:r>
        <w:rPr>
          <w:rFonts w:hint="eastAsia" w:ascii="宋体" w:hAnsi="宋体" w:eastAsia="宋体" w:cs="宋体"/>
          <w:bCs/>
          <w:color w:val="C00000"/>
          <w:sz w:val="24"/>
          <w:highlight w:val="none"/>
        </w:rPr>
        <w:t>个月租金的押金款项作为保证金。</w:t>
      </w:r>
      <w:r>
        <w:rPr>
          <w:rFonts w:hint="eastAsia" w:ascii="宋体" w:hAnsi="宋体" w:eastAsia="宋体" w:cs="宋体"/>
          <w:bCs/>
          <w:color w:val="C00000"/>
          <w:sz w:val="24"/>
          <w:highlight w:val="none"/>
          <w:lang w:eastAsia="zh-CN"/>
        </w:rPr>
        <w:t>投标人</w:t>
      </w:r>
      <w:r>
        <w:rPr>
          <w:rFonts w:hint="eastAsia" w:ascii="宋体" w:hAnsi="宋体" w:eastAsia="宋体" w:cs="宋体"/>
          <w:bCs/>
          <w:color w:val="C00000"/>
          <w:sz w:val="24"/>
          <w:highlight w:val="none"/>
        </w:rPr>
        <w:t>收取押金时，应当向采购人开具押金收据。</w:t>
      </w:r>
    </w:p>
    <w:p w14:paraId="7BEB36A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Cs/>
          <w:sz w:val="24"/>
          <w:highlight w:val="none"/>
          <w:lang w:eastAsia="zh-CN"/>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采购人支付的押金并非采购人预付的租金或其他费用，仅是采购人履行合同约定义务的保证，</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不得无故扣留采购人押金，拒不退还。租赁期限届满或合同解除后5日内，同时满足以下条件时，</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应当在扣除采购人应承担的租金、费用以及违约赔偿金后，将租赁押金剩余部分无息退还给采购人（如有租金余额应一并予以退还）</w:t>
      </w:r>
      <w:r>
        <w:rPr>
          <w:rFonts w:hint="eastAsia" w:ascii="宋体" w:hAnsi="宋体" w:eastAsia="宋体" w:cs="宋体"/>
          <w:bCs/>
          <w:sz w:val="24"/>
          <w:highlight w:val="none"/>
          <w:lang w:eastAsia="zh-CN"/>
        </w:rPr>
        <w:t>：</w:t>
      </w:r>
    </w:p>
    <w:p w14:paraId="7230813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采购人未对租赁房屋造成损坏；</w:t>
      </w:r>
    </w:p>
    <w:p w14:paraId="116EEDC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采购人按照合同约定的方式将租赁房屋（包括附属设施）交还给</w:t>
      </w:r>
      <w:r>
        <w:rPr>
          <w:rFonts w:hint="eastAsia" w:ascii="宋体" w:hAnsi="宋体" w:eastAsia="宋体" w:cs="宋体"/>
          <w:bCs/>
          <w:sz w:val="24"/>
          <w:highlight w:val="none"/>
          <w:lang w:val="en-US" w:eastAsia="zh-CN"/>
        </w:rPr>
        <w:t>投</w:t>
      </w:r>
      <w:r>
        <w:rPr>
          <w:rFonts w:hint="eastAsia" w:ascii="宋体" w:hAnsi="宋体" w:eastAsia="宋体" w:cs="宋体"/>
          <w:bCs/>
          <w:sz w:val="24"/>
          <w:highlight w:val="none"/>
        </w:rPr>
        <w:t>标人。</w:t>
      </w:r>
    </w:p>
    <w:p w14:paraId="08A55A7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租金按</w:t>
      </w:r>
      <w:r>
        <w:rPr>
          <w:rFonts w:hint="eastAsia" w:ascii="宋体" w:hAnsi="宋体" w:eastAsia="宋体" w:cs="宋体"/>
          <w:bCs/>
          <w:sz w:val="24"/>
          <w:highlight w:val="none"/>
          <w:lang w:val="en-US" w:eastAsia="zh-CN"/>
        </w:rPr>
        <w:t>月</w:t>
      </w:r>
      <w:r>
        <w:rPr>
          <w:rFonts w:hint="eastAsia" w:ascii="宋体" w:hAnsi="宋体" w:eastAsia="宋体" w:cs="宋体"/>
          <w:bCs/>
          <w:sz w:val="24"/>
          <w:highlight w:val="none"/>
        </w:rPr>
        <w:t>支付，采购人于每</w:t>
      </w:r>
      <w:r>
        <w:rPr>
          <w:rFonts w:hint="eastAsia" w:ascii="宋体" w:hAnsi="宋体" w:eastAsia="宋体" w:cs="宋体"/>
          <w:bCs/>
          <w:sz w:val="24"/>
          <w:highlight w:val="none"/>
          <w:lang w:val="en-US" w:eastAsia="zh-CN"/>
        </w:rPr>
        <w:t>月5</w:t>
      </w:r>
      <w:r>
        <w:rPr>
          <w:rFonts w:hint="eastAsia" w:ascii="宋体" w:hAnsi="宋体" w:eastAsia="宋体" w:cs="宋体"/>
          <w:bCs/>
          <w:sz w:val="24"/>
          <w:highlight w:val="none"/>
        </w:rPr>
        <w:t>日向</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支付租金。</w:t>
      </w:r>
      <w:r>
        <w:rPr>
          <w:rFonts w:hint="eastAsia" w:ascii="宋体" w:hAnsi="宋体" w:eastAsia="宋体" w:cs="宋体"/>
          <w:bCs/>
          <w:sz w:val="24"/>
          <w:highlight w:val="none"/>
          <w:lang w:val="en-US" w:eastAsia="zh-CN"/>
        </w:rPr>
        <w:t>投</w:t>
      </w:r>
      <w:r>
        <w:rPr>
          <w:rFonts w:hint="eastAsia" w:ascii="宋体" w:hAnsi="宋体" w:eastAsia="宋体" w:cs="宋体"/>
          <w:bCs/>
          <w:sz w:val="24"/>
          <w:highlight w:val="none"/>
        </w:rPr>
        <w:t>标人在收取采购人租金前，应当向采购人开具收款凭证（发票）。</w:t>
      </w:r>
    </w:p>
    <w:p w14:paraId="4B3BECD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租金支付方式：采购人在约定的支付租金日期前以银行转账方式将租金交付于</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p>
    <w:p w14:paraId="22C5827F">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b/>
          <w:bCs/>
          <w:sz w:val="24"/>
        </w:rPr>
      </w:pPr>
      <w:r>
        <w:rPr>
          <w:rFonts w:hint="eastAsia"/>
          <w:b/>
          <w:bCs/>
          <w:sz w:val="24"/>
        </w:rPr>
        <w:t>（五）</w:t>
      </w:r>
      <w:r>
        <w:rPr>
          <w:rFonts w:hint="eastAsia" w:ascii="Times New Roman" w:hAnsi="Times New Roman" w:eastAsia="宋体" w:cs="Times New Roman"/>
          <w:b/>
          <w:bCs/>
          <w:sz w:val="24"/>
          <w:highlight w:val="none"/>
        </w:rPr>
        <w:t>安全管理</w:t>
      </w:r>
    </w:p>
    <w:p w14:paraId="1899F32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20" w:leftChars="0" w:firstLine="400" w:firstLineChars="0"/>
        <w:textAlignment w:val="auto"/>
        <w:rPr>
          <w:highlight w:val="none"/>
        </w:rPr>
      </w:pPr>
      <w:r>
        <w:rPr>
          <w:rFonts w:hint="eastAsia" w:ascii="Times New Roman" w:hAnsi="宋体" w:eastAsia="宋体" w:cs="Times New Roman"/>
          <w:sz w:val="24"/>
          <w:highlight w:val="none"/>
          <w:lang w:val="en-US" w:eastAsia="zh-CN"/>
        </w:rPr>
        <w:t>1、</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负责租赁物业的整体安全，并确保租赁物业符合相关政策法规要求，如有安全隐患，须</w:t>
      </w:r>
      <w:r>
        <w:rPr>
          <w:rFonts w:hint="eastAsia" w:hAnsi="宋体" w:eastAsia="宋体"/>
          <w:sz w:val="24"/>
          <w:highlight w:val="none"/>
        </w:rPr>
        <w:t>及时整改。</w:t>
      </w:r>
    </w:p>
    <w:p w14:paraId="3077DF3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2、</w:t>
      </w:r>
      <w:r>
        <w:rPr>
          <w:rFonts w:hint="eastAsia" w:ascii="Times New Roman" w:hAnsi="宋体" w:eastAsia="宋体" w:cs="Times New Roman"/>
          <w:sz w:val="24"/>
          <w:highlight w:val="none"/>
        </w:rPr>
        <w:t>租赁期间，采购方如发生货物或个人物品被盗、丢失，或其他非</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原因的损害，</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有义务协助物业公司向公安部门（必要时）提供监控信息等线索。</w:t>
      </w:r>
    </w:p>
    <w:p w14:paraId="1167BE1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3、</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负责在采购人承租区域配置相应符合国家消防安全标准的消防设施、设备，并定期对消防设施、设备进行检查、维护和保养，发现有消防隐患的，采购人有权责令</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进行整改。若因为</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消防工作没做到位，因此而造成采购人入住人员生命财产损失的，由中投标人承担一切责任。</w:t>
      </w:r>
    </w:p>
    <w:p w14:paraId="53A2D3A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20" w:leftChars="0" w:firstLine="400" w:firstLineChars="0"/>
        <w:textAlignment w:val="auto"/>
        <w:rPr>
          <w:rFonts w:hint="eastAsia" w:ascii="宋体" w:hAnsi="宋体" w:eastAsia="宋体" w:cs="宋体"/>
          <w:sz w:val="24"/>
          <w:szCs w:val="24"/>
          <w:highlight w:val="none"/>
          <w:lang w:val="en-US" w:eastAsia="zh-CN"/>
        </w:rPr>
      </w:pPr>
      <w:r>
        <w:rPr>
          <w:rFonts w:hint="eastAsia" w:ascii="Times New Roman" w:hAnsi="宋体" w:eastAsia="宋体" w:cs="Times New Roman"/>
          <w:sz w:val="24"/>
          <w:highlight w:val="none"/>
          <w:lang w:val="en-US" w:eastAsia="zh-CN"/>
        </w:rPr>
        <w:t>4、</w:t>
      </w:r>
      <w:r>
        <w:rPr>
          <w:rFonts w:hint="eastAsia" w:ascii="Times New Roman" w:hAnsi="宋体" w:eastAsia="宋体" w:cs="Times New Roman"/>
          <w:sz w:val="24"/>
          <w:highlight w:val="none"/>
        </w:rPr>
        <w:t>合同期限内，</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应保证采购人入住人员的人身及财产安全，出现任何意外事故，</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应第一时间组织人员进行处理，并通知采购人指定联系人。若意外事故的发生是因</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所致，则</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应对本次事故所造成的人员人身伤亡或财产损失，承担全部赔偿责任。若由于采购人个人的行为，导致安全事故或者人身安全的，由法律认定双方责任</w:t>
      </w:r>
      <w:r>
        <w:rPr>
          <w:rFonts w:hint="eastAsia" w:ascii="宋体" w:hAnsi="宋体" w:eastAsia="宋体" w:cs="宋体"/>
          <w:sz w:val="24"/>
          <w:szCs w:val="24"/>
          <w:highlight w:val="none"/>
          <w:lang w:val="en-US" w:eastAsia="zh-CN"/>
        </w:rPr>
        <w:t>。</w:t>
      </w:r>
    </w:p>
    <w:p w14:paraId="1301CD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Cs/>
          <w:sz w:val="24"/>
        </w:rPr>
      </w:pPr>
      <w:r>
        <w:rPr>
          <w:rFonts w:hint="eastAsia" w:ascii="宋体" w:hAnsi="宋体"/>
          <w:b/>
          <w:bCs w:val="0"/>
          <w:sz w:val="24"/>
        </w:rPr>
        <w:t>（</w:t>
      </w:r>
      <w:r>
        <w:rPr>
          <w:rFonts w:hint="eastAsia" w:ascii="宋体" w:hAnsi="宋体"/>
          <w:b/>
          <w:bCs w:val="0"/>
          <w:sz w:val="24"/>
          <w:lang w:val="en-US" w:eastAsia="zh-CN"/>
        </w:rPr>
        <w:t>六</w:t>
      </w:r>
      <w:r>
        <w:rPr>
          <w:rFonts w:hint="eastAsia" w:ascii="宋体" w:hAnsi="宋体"/>
          <w:b/>
          <w:bCs w:val="0"/>
          <w:sz w:val="24"/>
        </w:rPr>
        <w:t>）违约责任</w:t>
      </w:r>
    </w:p>
    <w:p w14:paraId="4115E3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1、</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未经采购人同意而擅自将租赁物转租、分租、转借给第三方时，采购人有权终止本合同，</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据实赔偿采购人的损失外，还须双倍返还采购人保证金。</w:t>
      </w:r>
    </w:p>
    <w:p w14:paraId="7EB2CC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2、</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必须保证所投标提供的房源的真实性，如所提供房源不真实，提供虚假材料，或未按采购人要求交付房源的，一律按</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单方面违约处理，</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须双倍返还采购人当月租金，还应承担对采购人造成实际损失的赔偿责任。</w:t>
      </w:r>
    </w:p>
    <w:p w14:paraId="74401E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3、</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不得擅自提前终止租赁，若投标人擅自提前终止租赁，应向采购人支付2个月的租金及管理费作为违约金。</w:t>
      </w:r>
    </w:p>
    <w:p w14:paraId="117110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lang w:val="en-US" w:eastAsia="zh-CN"/>
        </w:rPr>
        <w:t>4、</w:t>
      </w:r>
      <w:r>
        <w:rPr>
          <w:rFonts w:hint="eastAsia" w:ascii="Times New Roman" w:hAnsi="宋体" w:eastAsia="宋体" w:cs="Times New Roman"/>
          <w:sz w:val="24"/>
          <w:highlight w:val="none"/>
        </w:rPr>
        <w:t>因</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出租的房屋存在权属纠纷，造成采购人损失的，</w:t>
      </w:r>
      <w:r>
        <w:rPr>
          <w:rFonts w:hint="eastAsia" w:ascii="Times New Roman" w:hAnsi="宋体" w:eastAsia="宋体" w:cs="Times New Roman"/>
          <w:sz w:val="24"/>
          <w:highlight w:val="none"/>
          <w:lang w:eastAsia="zh-CN"/>
        </w:rPr>
        <w:t>投标人</w:t>
      </w:r>
      <w:r>
        <w:rPr>
          <w:rFonts w:hint="eastAsia" w:ascii="Times New Roman" w:hAnsi="宋体" w:eastAsia="宋体" w:cs="Times New Roman"/>
          <w:sz w:val="24"/>
          <w:highlight w:val="none"/>
        </w:rPr>
        <w:t>应当承担全部的赔偿责任，赔偿内容包括但不限于采购人的投入损失、维权损失等。</w:t>
      </w:r>
    </w:p>
    <w:p w14:paraId="544CDB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0"/>
        <w:textAlignment w:val="auto"/>
        <w:rPr>
          <w:rFonts w:hAnsi="宋体" w:eastAsia="宋体"/>
          <w:b/>
          <w:bCs/>
          <w:sz w:val="24"/>
          <w:highlight w:val="none"/>
        </w:rPr>
      </w:pPr>
      <w:r>
        <w:rPr>
          <w:rFonts w:hint="eastAsia" w:hAnsi="宋体" w:eastAsia="宋体"/>
          <w:b/>
          <w:bCs/>
          <w:kern w:val="2"/>
          <w:sz w:val="24"/>
          <w:szCs w:val="24"/>
          <w:lang w:val="en-US" w:eastAsia="zh-CN" w:bidi="ar-SA"/>
        </w:rPr>
        <w:t>（七）</w:t>
      </w:r>
      <w:r>
        <w:rPr>
          <w:rFonts w:hint="eastAsia" w:hAnsi="宋体" w:eastAsia="宋体"/>
          <w:b/>
          <w:bCs/>
          <w:sz w:val="24"/>
          <w:highlight w:val="none"/>
        </w:rPr>
        <w:t>其它</w:t>
      </w:r>
    </w:p>
    <w:p w14:paraId="18A41D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00" w:firstLineChars="0"/>
        <w:textAlignment w:val="auto"/>
        <w:rPr>
          <w:rFonts w:eastAsia="宋体"/>
          <w:sz w:val="24"/>
          <w:highlight w:val="none"/>
        </w:rPr>
      </w:pPr>
      <w:r>
        <w:rPr>
          <w:rFonts w:hint="eastAsia" w:eastAsia="宋体"/>
          <w:kern w:val="2"/>
          <w:sz w:val="24"/>
          <w:szCs w:val="24"/>
          <w:lang w:val="en-US" w:eastAsia="zh-CN" w:bidi="ar-SA"/>
        </w:rPr>
        <w:t>1、</w:t>
      </w:r>
      <w:r>
        <w:rPr>
          <w:rFonts w:eastAsia="宋体"/>
          <w:sz w:val="24"/>
          <w:highlight w:val="none"/>
        </w:rPr>
        <w:t>合同期内，如遇政府征收、拆迁该地段时，或因战争、自然灾害等不可抗力因素影响导致合同期内双方无法履行本合同时，本合同自行终止，双方互不承担责任，</w:t>
      </w:r>
      <w:r>
        <w:rPr>
          <w:rFonts w:hint="eastAsia" w:eastAsia="宋体"/>
          <w:sz w:val="24"/>
          <w:highlight w:val="none"/>
          <w:lang w:eastAsia="zh-CN"/>
        </w:rPr>
        <w:t>投标人</w:t>
      </w:r>
      <w:r>
        <w:rPr>
          <w:rFonts w:eastAsia="宋体"/>
          <w:sz w:val="24"/>
          <w:highlight w:val="none"/>
        </w:rPr>
        <w:t>全额返还保证金给</w:t>
      </w:r>
      <w:r>
        <w:rPr>
          <w:rFonts w:hint="eastAsia" w:eastAsia="宋体"/>
          <w:sz w:val="24"/>
          <w:highlight w:val="none"/>
        </w:rPr>
        <w:t>采购人</w:t>
      </w:r>
      <w:r>
        <w:rPr>
          <w:rFonts w:eastAsia="宋体"/>
          <w:sz w:val="24"/>
          <w:highlight w:val="none"/>
        </w:rPr>
        <w:t>。</w:t>
      </w:r>
    </w:p>
    <w:p w14:paraId="712EA902">
      <w:pPr>
        <w:ind w:firstLine="420" w:firstLineChars="200"/>
        <w:rPr>
          <w:rFonts w:hint="eastAsia" w:eastAsia="宋体"/>
          <w:lang w:eastAsia="zh-CN"/>
        </w:rPr>
      </w:pPr>
      <w:r>
        <w:rPr>
          <w:rFonts w:hint="eastAsia"/>
          <w:kern w:val="2"/>
          <w:sz w:val="21"/>
          <w:szCs w:val="24"/>
          <w:lang w:val="en-US" w:eastAsia="zh-CN" w:bidi="ar-SA"/>
        </w:rPr>
        <w:t>2、</w:t>
      </w:r>
      <w:r>
        <w:rPr>
          <w:rFonts w:eastAsia="宋体"/>
          <w:sz w:val="24"/>
          <w:highlight w:val="none"/>
        </w:rPr>
        <w:t>本合同在履行过程中产生纠纷或争议的，双方应友好协商解决，协商不成的，任何一方应向</w:t>
      </w:r>
      <w:r>
        <w:rPr>
          <w:rFonts w:hint="eastAsia" w:eastAsia="宋体"/>
          <w:sz w:val="24"/>
          <w:highlight w:val="none"/>
        </w:rPr>
        <w:t>采购人</w:t>
      </w:r>
      <w:r>
        <w:rPr>
          <w:rFonts w:eastAsia="宋体"/>
          <w:sz w:val="24"/>
          <w:highlight w:val="none"/>
        </w:rPr>
        <w:t>所在地人民法院提起诉讼</w:t>
      </w:r>
      <w:r>
        <w:rPr>
          <w:rFonts w:hint="eastAsia" w:eastAsia="宋体"/>
          <w:sz w:val="24"/>
          <w:highlight w:val="none"/>
          <w:lang w:eastAsia="zh-CN"/>
        </w:rPr>
        <w:t>。</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8307306"/>
      <w:bookmarkStart w:id="1" w:name="_Toc435514851"/>
      <w:bookmarkStart w:id="2" w:name="_Toc22206"/>
      <w:bookmarkStart w:id="3" w:name="_Toc57128626"/>
      <w:bookmarkStart w:id="4" w:name="_Toc24338"/>
      <w:bookmarkStart w:id="5" w:name="_Toc435115056"/>
      <w:bookmarkStart w:id="6" w:name="_Toc9128_WPSOffice_Level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57128627"/>
      <w:bookmarkStart w:id="8" w:name="_Toc8080"/>
      <w:bookmarkStart w:id="9" w:name="_Toc435515292"/>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021"/>
        <w:gridCol w:w="1637"/>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hint="eastAsia" w:ascii="宋体" w:hAnsi="宋体" w:cs="宋体" w:eastAsiaTheme="minorEastAsia"/>
                <w:b/>
                <w:bCs/>
                <w:color w:val="000000"/>
                <w:szCs w:val="21"/>
                <w:lang w:val="en-US" w:eastAsia="zh-CN"/>
              </w:rPr>
            </w:pPr>
            <w:r>
              <w:rPr>
                <w:rFonts w:hint="eastAsia" w:ascii="宋体" w:hAnsi="宋体" w:cs="宋体"/>
                <w:b/>
                <w:bCs/>
                <w:color w:val="000000"/>
                <w:szCs w:val="21"/>
              </w:rPr>
              <w:t>数量</w:t>
            </w:r>
            <w:r>
              <w:rPr>
                <w:rFonts w:hint="eastAsia" w:ascii="宋体" w:hAnsi="宋体" w:cs="宋体"/>
                <w:b/>
                <w:bCs/>
                <w:color w:val="000000"/>
                <w:szCs w:val="21"/>
                <w:lang w:eastAsia="zh-CN"/>
              </w:rPr>
              <w:t>（</w:t>
            </w:r>
            <w:r>
              <w:rPr>
                <w:rFonts w:hint="eastAsia" w:ascii="宋体" w:hAnsi="宋体" w:cs="宋体"/>
                <w:b/>
                <w:bCs/>
                <w:color w:val="000000"/>
                <w:szCs w:val="21"/>
                <w:lang w:val="en-US" w:eastAsia="zh-CN"/>
              </w:rPr>
              <w:t>间</w:t>
            </w:r>
            <w:r>
              <w:rPr>
                <w:rFonts w:hint="eastAsia" w:ascii="宋体" w:hAnsi="宋体" w:cs="宋体"/>
                <w:b/>
                <w:bCs/>
                <w:color w:val="000000"/>
                <w:szCs w:val="21"/>
                <w:lang w:eastAsia="zh-CN"/>
              </w:rPr>
              <w:t>）</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021"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637"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center"/>
              <w:textAlignment w:val="center"/>
              <w:rPr>
                <w:rFonts w:hint="default"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13</w:t>
            </w:r>
          </w:p>
        </w:tc>
        <w:tc>
          <w:tcPr>
            <w:tcW w:w="1290" w:type="dxa"/>
            <w:noWrap w:val="0"/>
            <w:vAlign w:val="center"/>
          </w:tcPr>
          <w:p w14:paraId="7DF7A45B">
            <w:pPr>
              <w:widowControl/>
              <w:jc w:val="left"/>
              <w:textAlignment w:val="center"/>
            </w:pPr>
          </w:p>
        </w:tc>
        <w:tc>
          <w:tcPr>
            <w:tcW w:w="2021" w:type="dxa"/>
            <w:noWrap w:val="0"/>
            <w:vAlign w:val="center"/>
          </w:tcPr>
          <w:p w14:paraId="41D1EFB7">
            <w:pPr>
              <w:widowControl/>
              <w:jc w:val="left"/>
              <w:textAlignment w:val="center"/>
              <w:rPr>
                <w:rFonts w:ascii="宋体" w:hAnsi="宋体" w:cs="宋体"/>
                <w:bCs/>
                <w:sz w:val="18"/>
                <w:szCs w:val="18"/>
              </w:rPr>
            </w:pPr>
          </w:p>
        </w:tc>
        <w:tc>
          <w:tcPr>
            <w:tcW w:w="1637" w:type="dxa"/>
            <w:noWrap w:val="0"/>
            <w:vAlign w:val="center"/>
          </w:tcPr>
          <w:p w14:paraId="513E5E06">
            <w:pPr>
              <w:widowControl/>
              <w:jc w:val="left"/>
              <w:textAlignment w:val="center"/>
              <w:rPr>
                <w:rFonts w:ascii="宋体" w:hAnsi="宋体" w:cs="宋体"/>
                <w:bCs/>
                <w:sz w:val="18"/>
                <w:szCs w:val="18"/>
              </w:rPr>
            </w:pPr>
            <w:r>
              <w:rPr>
                <w:rFonts w:hint="eastAsia" w:ascii="宋体" w:hAnsi="宋体" w:eastAsia="宋体" w:cs="宋体"/>
                <w:i w:val="0"/>
                <w:iCs w:val="0"/>
                <w:color w:val="000000"/>
                <w:sz w:val="22"/>
                <w:szCs w:val="22"/>
                <w:highlight w:val="none"/>
                <w:u w:val="none"/>
                <w:lang w:val="en-US" w:eastAsia="zh-CN"/>
              </w:rPr>
              <w:t>合同期内根据房间入住数量和入住时间按月据实结算</w:t>
            </w: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021" w:type="dxa"/>
            <w:noWrap w:val="0"/>
            <w:vAlign w:val="center"/>
          </w:tcPr>
          <w:p w14:paraId="4EC68B7A">
            <w:pPr>
              <w:widowControl/>
              <w:jc w:val="left"/>
              <w:textAlignment w:val="center"/>
              <w:rPr>
                <w:rFonts w:ascii="宋体" w:hAnsi="宋体" w:cs="宋体"/>
                <w:bCs/>
                <w:sz w:val="18"/>
                <w:szCs w:val="18"/>
              </w:rPr>
            </w:pPr>
          </w:p>
        </w:tc>
        <w:tc>
          <w:tcPr>
            <w:tcW w:w="1637"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021" w:type="dxa"/>
            <w:noWrap w:val="0"/>
            <w:vAlign w:val="center"/>
          </w:tcPr>
          <w:p w14:paraId="227C2502">
            <w:pPr>
              <w:widowControl/>
              <w:jc w:val="left"/>
              <w:textAlignment w:val="center"/>
              <w:rPr>
                <w:rFonts w:ascii="宋体" w:hAnsi="宋体" w:cs="宋体"/>
                <w:color w:val="000000"/>
                <w:kern w:val="0"/>
                <w:sz w:val="18"/>
                <w:szCs w:val="18"/>
              </w:rPr>
            </w:pPr>
          </w:p>
        </w:tc>
        <w:tc>
          <w:tcPr>
            <w:tcW w:w="1637"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435515295"/>
      <w:bookmarkStart w:id="17" w:name="_Toc24650"/>
      <w:bookmarkStart w:id="18" w:name="_Toc57128632"/>
      <w:bookmarkStart w:id="19" w:name="_Toc435514855"/>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D7C044-6043-484E-B580-3337DF6B63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F1969508-DAF5-4E7C-A720-7C467C2FF1EE}"/>
  </w:font>
  <w:font w:name="华文中宋">
    <w:panose1 w:val="02010600040101010101"/>
    <w:charset w:val="86"/>
    <w:family w:val="auto"/>
    <w:pitch w:val="default"/>
    <w:sig w:usb0="00000287" w:usb1="080F0000" w:usb2="00000000" w:usb3="00000000" w:csb0="0004009F" w:csb1="DFD70000"/>
    <w:embedRegular r:id="rId3" w:fontKey="{2CCFA6C9-BCFF-4748-B9D8-7CA9D60A3B64}"/>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AAA9ED0E-835A-4214-804E-954EC1E3CFAF}"/>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A902B484-8DB9-4D39-9EF7-6FDD668310B0}"/>
  </w:font>
  <w:font w:name="楷体_GB2312">
    <w:panose1 w:val="02010609030101010101"/>
    <w:charset w:val="86"/>
    <w:family w:val="modern"/>
    <w:pitch w:val="default"/>
    <w:sig w:usb0="00000001" w:usb1="080E0000" w:usb2="00000000" w:usb3="00000000" w:csb0="00040000" w:csb1="00000000"/>
    <w:embedRegular r:id="rId6" w:fontKey="{3A7239E0-76E2-4C0A-A91A-5412025B7CC4}"/>
  </w:font>
  <w:font w:name="WPSEMBED1">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embedRegular r:id="rId7" w:fontKey="{88E160C1-A1DF-425D-AD13-2CAB80D26B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54415D"/>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2F4368"/>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1F631E"/>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2F72A84"/>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A35910"/>
    <w:rsid w:val="4ADA02F6"/>
    <w:rsid w:val="4B092817"/>
    <w:rsid w:val="4B1A6478"/>
    <w:rsid w:val="4B797B0F"/>
    <w:rsid w:val="4B9747C7"/>
    <w:rsid w:val="4BC65056"/>
    <w:rsid w:val="4BC66AD5"/>
    <w:rsid w:val="4BDD5EE2"/>
    <w:rsid w:val="4C35155C"/>
    <w:rsid w:val="4D575818"/>
    <w:rsid w:val="4DA34F16"/>
    <w:rsid w:val="4EF86720"/>
    <w:rsid w:val="4F0A10D5"/>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702D9A"/>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3871</Words>
  <Characters>3996</Characters>
  <Lines>87</Lines>
  <Paragraphs>24</Paragraphs>
  <TotalTime>1</TotalTime>
  <ScaleCrop>false</ScaleCrop>
  <LinksUpToDate>false</LinksUpToDate>
  <CharactersWithSpaces>4057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2025-11-18T06:22:30Z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