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34</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lang w:val="en-US" w:eastAsia="zh-CN"/>
        </w:rPr>
        <w:t>全院急救类（常规）设备维保服务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全院急救类（常规）设备维保服务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34</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全院急救类（常规）设备维保服务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19.6</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19.6</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全院急救类（常规）设备维保服务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自合同签订之日起1年。本项目为长期服务类项目，第一年为本次招标的中标服务期限，采购人可根据项目需求和中标供应商的履约情况确定合同期限是否延长，但最长不超过三年，合同一年一签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11月19日</w:t>
      </w:r>
      <w:r>
        <w:rPr>
          <w:rFonts w:hint="eastAsia"/>
          <w:kern w:val="0"/>
          <w:sz w:val="24"/>
          <w:szCs w:val="22"/>
          <w:highlight w:val="cyan"/>
        </w:rPr>
        <w:t>至</w:t>
      </w:r>
      <w:r>
        <w:rPr>
          <w:rFonts w:hint="eastAsia"/>
          <w:kern w:val="0"/>
          <w:sz w:val="24"/>
          <w:szCs w:val="22"/>
          <w:highlight w:val="cyan"/>
          <w:lang w:val="en-US" w:eastAsia="zh-CN"/>
        </w:rPr>
        <w:t>11</w:t>
      </w:r>
      <w:r>
        <w:rPr>
          <w:rFonts w:hint="eastAsia"/>
          <w:kern w:val="0"/>
          <w:sz w:val="24"/>
          <w:szCs w:val="22"/>
          <w:highlight w:val="cyan"/>
        </w:rPr>
        <w:t>月</w:t>
      </w:r>
      <w:r>
        <w:rPr>
          <w:rFonts w:hint="eastAsia"/>
          <w:kern w:val="0"/>
          <w:sz w:val="24"/>
          <w:szCs w:val="22"/>
          <w:highlight w:val="cyan"/>
          <w:lang w:val="en-US" w:eastAsia="zh-CN"/>
        </w:rPr>
        <w:t>21</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11</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上</w:t>
      </w:r>
      <w:r>
        <w:rPr>
          <w:kern w:val="0"/>
          <w:sz w:val="24"/>
          <w:szCs w:val="22"/>
          <w:highlight w:val="cyan"/>
        </w:rPr>
        <w:t>午</w:t>
      </w:r>
      <w:r>
        <w:rPr>
          <w:rFonts w:hint="eastAsia"/>
          <w:kern w:val="0"/>
          <w:sz w:val="24"/>
          <w:szCs w:val="22"/>
          <w:highlight w:val="cyan"/>
          <w:lang w:val="en-US" w:eastAsia="zh-CN"/>
        </w:rPr>
        <w:t>8：3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bookmarkStart w:id="26" w:name="_GoBack"/>
      <w:bookmarkEnd w:id="26"/>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eastAsia="宋体"/>
          <w:b w:val="0"/>
          <w:bCs w:val="0"/>
          <w:sz w:val="24"/>
        </w:rPr>
        <w:t>为进一步提升</w:t>
      </w:r>
      <w:r>
        <w:rPr>
          <w:rFonts w:hint="eastAsia" w:eastAsia="宋体"/>
          <w:b w:val="0"/>
          <w:bCs w:val="0"/>
          <w:sz w:val="24"/>
          <w:lang w:val="en-US" w:eastAsia="zh-CN"/>
        </w:rPr>
        <w:t>采购人</w:t>
      </w:r>
      <w:r>
        <w:rPr>
          <w:rFonts w:hint="eastAsia" w:eastAsia="宋体"/>
          <w:b w:val="0"/>
          <w:bCs w:val="0"/>
          <w:sz w:val="24"/>
        </w:rPr>
        <w:t>医疗服务质量，简化医疗设备维修审批流程，提高维修效率，拟计划对括除颤仪（含AED）、心电图机、监护仪、车床（含轮椅）、内镜洗消机和输注泵共六类设备需购买维保服务（全保）。</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526F8A75">
      <w:pPr>
        <w:spacing w:line="360" w:lineRule="auto"/>
        <w:ind w:firstLine="480" w:firstLineChars="200"/>
        <w:rPr>
          <w:rFonts w:hint="eastAsia" w:ascii="宋体" w:hAnsi="宋体" w:eastAsia="宋体"/>
          <w:bCs/>
          <w:sz w:val="24"/>
          <w:highlight w:val="none"/>
          <w:lang w:eastAsia="zh-CN"/>
        </w:rPr>
      </w:pPr>
      <w:r>
        <w:rPr>
          <w:rFonts w:hint="eastAsia" w:ascii="宋体" w:hAnsi="宋体" w:eastAsia="宋体"/>
          <w:bCs/>
          <w:sz w:val="24"/>
          <w:highlight w:val="none"/>
        </w:rPr>
        <w:t>1、</w:t>
      </w:r>
      <w:r>
        <w:rPr>
          <w:rFonts w:hint="eastAsia" w:ascii="宋体" w:hAnsi="宋体" w:eastAsia="宋体"/>
          <w:bCs/>
          <w:sz w:val="24"/>
          <w:highlight w:val="none"/>
          <w:lang w:eastAsia="zh-CN"/>
        </w:rPr>
        <w:t>维修保养范围</w:t>
      </w:r>
      <w:r>
        <w:rPr>
          <w:rFonts w:hint="eastAsia" w:ascii="宋体" w:hAnsi="宋体" w:eastAsia="宋体"/>
          <w:bCs/>
          <w:sz w:val="24"/>
          <w:highlight w:val="none"/>
        </w:rPr>
        <w:t>要求</w:t>
      </w:r>
      <w:r>
        <w:rPr>
          <w:rFonts w:hint="eastAsia" w:ascii="宋体" w:hAnsi="宋体" w:eastAsia="宋体"/>
          <w:bCs/>
          <w:sz w:val="24"/>
          <w:highlight w:val="none"/>
          <w:lang w:eastAsia="zh-CN"/>
        </w:rPr>
        <w:t>：</w:t>
      </w:r>
    </w:p>
    <w:p w14:paraId="411E4D0B">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yellow"/>
          <w:lang w:val="en-US" w:eastAsia="zh-CN"/>
        </w:rPr>
        <w:t>1.1</w:t>
      </w:r>
      <w:r>
        <w:rPr>
          <w:rFonts w:hint="eastAsia" w:ascii="宋体" w:hAnsi="宋体" w:eastAsia="宋体" w:cs="宋体"/>
          <w:sz w:val="24"/>
          <w:szCs w:val="24"/>
          <w:highlight w:val="yellow"/>
        </w:rPr>
        <w:t>★</w:t>
      </w:r>
      <w:r>
        <w:rPr>
          <w:rFonts w:hint="eastAsia" w:ascii="宋体" w:hAnsi="宋体" w:eastAsia="宋体"/>
          <w:bCs/>
          <w:sz w:val="24"/>
          <w:highlight w:val="yellow"/>
          <w:lang w:val="en-US" w:eastAsia="zh-CN"/>
        </w:rPr>
        <w:t>需要维修保养的设备包括括除颤仪（含AED）、心电图机、监护仪、车床（含轮椅）、内镜洗消机和输注泵共六类设备，具体设备类别及数量如下（维保数量以医院实际设备数量为准）：</w:t>
      </w:r>
    </w:p>
    <w:tbl>
      <w:tblPr>
        <w:tblStyle w:val="26"/>
        <w:tblW w:w="97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5"/>
        <w:gridCol w:w="1755"/>
        <w:gridCol w:w="1679"/>
        <w:gridCol w:w="1946"/>
        <w:gridCol w:w="3309"/>
      </w:tblGrid>
      <w:tr w14:paraId="4BFE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D1B5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755" w:type="dxa"/>
            <w:tcBorders>
              <w:top w:val="single" w:color="000000" w:sz="8" w:space="0"/>
              <w:left w:val="nil"/>
              <w:bottom w:val="single" w:color="000000" w:sz="8" w:space="0"/>
              <w:right w:val="single" w:color="000000" w:sz="8" w:space="0"/>
            </w:tcBorders>
            <w:shd w:val="clear" w:color="auto" w:fill="auto"/>
            <w:noWrap/>
            <w:vAlign w:val="center"/>
          </w:tcPr>
          <w:p w14:paraId="4A26A1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设备类别</w:t>
            </w:r>
          </w:p>
        </w:tc>
        <w:tc>
          <w:tcPr>
            <w:tcW w:w="1679" w:type="dxa"/>
            <w:tcBorders>
              <w:top w:val="single" w:color="000000" w:sz="8" w:space="0"/>
              <w:left w:val="nil"/>
              <w:bottom w:val="single" w:color="000000" w:sz="8" w:space="0"/>
              <w:right w:val="single" w:color="000000" w:sz="8" w:space="0"/>
            </w:tcBorders>
            <w:shd w:val="clear" w:color="auto" w:fill="auto"/>
            <w:noWrap/>
            <w:vAlign w:val="center"/>
          </w:tcPr>
          <w:p w14:paraId="79AE19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946" w:type="dxa"/>
            <w:tcBorders>
              <w:top w:val="single" w:color="000000" w:sz="8" w:space="0"/>
              <w:left w:val="nil"/>
              <w:bottom w:val="single" w:color="000000" w:sz="8" w:space="0"/>
              <w:right w:val="single" w:color="000000" w:sz="8" w:space="0"/>
            </w:tcBorders>
            <w:shd w:val="clear" w:color="auto" w:fill="auto"/>
            <w:noWrap/>
            <w:vAlign w:val="center"/>
          </w:tcPr>
          <w:p w14:paraId="65FFD5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近三年采购比例</w:t>
            </w:r>
          </w:p>
        </w:tc>
        <w:tc>
          <w:tcPr>
            <w:tcW w:w="3309" w:type="dxa"/>
            <w:tcBorders>
              <w:top w:val="single" w:color="000000" w:sz="8" w:space="0"/>
              <w:left w:val="nil"/>
              <w:bottom w:val="single" w:color="000000" w:sz="8" w:space="0"/>
              <w:right w:val="single" w:color="000000" w:sz="8" w:space="0"/>
            </w:tcBorders>
            <w:shd w:val="clear" w:color="auto" w:fill="auto"/>
            <w:noWrap/>
            <w:vAlign w:val="center"/>
          </w:tcPr>
          <w:p w14:paraId="4BD96B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w:t>
            </w:r>
          </w:p>
        </w:tc>
      </w:tr>
      <w:tr w14:paraId="525AE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5" w:type="dxa"/>
            <w:tcBorders>
              <w:top w:val="nil"/>
              <w:left w:val="single" w:color="000000" w:sz="8" w:space="0"/>
              <w:bottom w:val="single" w:color="000000" w:sz="8" w:space="0"/>
              <w:right w:val="single" w:color="000000" w:sz="8" w:space="0"/>
            </w:tcBorders>
            <w:shd w:val="clear" w:color="auto" w:fill="auto"/>
            <w:noWrap/>
            <w:vAlign w:val="center"/>
          </w:tcPr>
          <w:p w14:paraId="704076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755" w:type="dxa"/>
            <w:tcBorders>
              <w:top w:val="nil"/>
              <w:left w:val="nil"/>
              <w:bottom w:val="single" w:color="000000" w:sz="8" w:space="0"/>
              <w:right w:val="single" w:color="000000" w:sz="8" w:space="0"/>
            </w:tcBorders>
            <w:shd w:val="clear" w:color="auto" w:fill="auto"/>
            <w:noWrap/>
            <w:vAlign w:val="center"/>
          </w:tcPr>
          <w:p w14:paraId="5E1416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除颤仪</w:t>
            </w:r>
          </w:p>
        </w:tc>
        <w:tc>
          <w:tcPr>
            <w:tcW w:w="1679" w:type="dxa"/>
            <w:tcBorders>
              <w:top w:val="nil"/>
              <w:left w:val="nil"/>
              <w:bottom w:val="single" w:color="000000" w:sz="8" w:space="0"/>
              <w:right w:val="single" w:color="000000" w:sz="8" w:space="0"/>
            </w:tcBorders>
            <w:shd w:val="clear" w:color="auto" w:fill="auto"/>
            <w:noWrap/>
            <w:vAlign w:val="center"/>
          </w:tcPr>
          <w:p w14:paraId="681D73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1946" w:type="dxa"/>
            <w:tcBorders>
              <w:top w:val="nil"/>
              <w:left w:val="nil"/>
              <w:bottom w:val="single" w:color="000000" w:sz="8" w:space="0"/>
              <w:right w:val="single" w:color="000000" w:sz="8" w:space="0"/>
            </w:tcBorders>
            <w:shd w:val="clear" w:color="auto" w:fill="auto"/>
            <w:noWrap/>
            <w:vAlign w:val="center"/>
          </w:tcPr>
          <w:p w14:paraId="7C737E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32.10%</w:t>
            </w:r>
          </w:p>
        </w:tc>
        <w:tc>
          <w:tcPr>
            <w:tcW w:w="3309" w:type="dxa"/>
            <w:tcBorders>
              <w:top w:val="nil"/>
              <w:left w:val="nil"/>
              <w:bottom w:val="single" w:color="000000" w:sz="8" w:space="0"/>
              <w:right w:val="single" w:color="000000" w:sz="8" w:space="0"/>
            </w:tcBorders>
            <w:shd w:val="clear" w:color="auto" w:fill="auto"/>
            <w:noWrap/>
            <w:vAlign w:val="center"/>
          </w:tcPr>
          <w:p w14:paraId="554E03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ZOLL、飞利浦、迈瑞等品牌</w:t>
            </w:r>
          </w:p>
        </w:tc>
      </w:tr>
      <w:tr w14:paraId="7248F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5" w:type="dxa"/>
            <w:tcBorders>
              <w:top w:val="nil"/>
              <w:left w:val="single" w:color="000000" w:sz="8" w:space="0"/>
              <w:bottom w:val="single" w:color="000000" w:sz="8" w:space="0"/>
              <w:right w:val="single" w:color="000000" w:sz="8" w:space="0"/>
            </w:tcBorders>
            <w:shd w:val="clear" w:color="auto" w:fill="auto"/>
            <w:noWrap/>
            <w:vAlign w:val="center"/>
          </w:tcPr>
          <w:p w14:paraId="5684D5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755" w:type="dxa"/>
            <w:tcBorders>
              <w:top w:val="nil"/>
              <w:left w:val="nil"/>
              <w:bottom w:val="single" w:color="000000" w:sz="8" w:space="0"/>
              <w:right w:val="single" w:color="000000" w:sz="8" w:space="0"/>
            </w:tcBorders>
            <w:shd w:val="clear" w:color="auto" w:fill="auto"/>
            <w:noWrap/>
            <w:vAlign w:val="center"/>
          </w:tcPr>
          <w:p w14:paraId="4687CB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心电图机</w:t>
            </w:r>
          </w:p>
        </w:tc>
        <w:tc>
          <w:tcPr>
            <w:tcW w:w="1679" w:type="dxa"/>
            <w:tcBorders>
              <w:top w:val="nil"/>
              <w:left w:val="nil"/>
              <w:bottom w:val="single" w:color="000000" w:sz="8" w:space="0"/>
              <w:right w:val="single" w:color="000000" w:sz="8" w:space="0"/>
            </w:tcBorders>
            <w:shd w:val="clear" w:color="auto" w:fill="auto"/>
            <w:noWrap/>
            <w:vAlign w:val="center"/>
          </w:tcPr>
          <w:p w14:paraId="64C929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1946" w:type="dxa"/>
            <w:tcBorders>
              <w:top w:val="nil"/>
              <w:left w:val="nil"/>
              <w:bottom w:val="single" w:color="000000" w:sz="8" w:space="0"/>
              <w:right w:val="single" w:color="000000" w:sz="8" w:space="0"/>
            </w:tcBorders>
            <w:shd w:val="clear" w:color="auto" w:fill="auto"/>
            <w:noWrap/>
            <w:vAlign w:val="center"/>
          </w:tcPr>
          <w:p w14:paraId="60EC3E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31.70%</w:t>
            </w:r>
          </w:p>
        </w:tc>
        <w:tc>
          <w:tcPr>
            <w:tcW w:w="3309" w:type="dxa"/>
            <w:tcBorders>
              <w:top w:val="nil"/>
              <w:left w:val="nil"/>
              <w:bottom w:val="single" w:color="000000" w:sz="8" w:space="0"/>
              <w:right w:val="single" w:color="000000" w:sz="8" w:space="0"/>
            </w:tcBorders>
            <w:shd w:val="clear" w:color="auto" w:fill="auto"/>
            <w:noWrap/>
            <w:vAlign w:val="center"/>
          </w:tcPr>
          <w:p w14:paraId="4B06DE7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理邦、邦健等品牌</w:t>
            </w:r>
          </w:p>
        </w:tc>
      </w:tr>
      <w:tr w14:paraId="336D8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5" w:type="dxa"/>
            <w:tcBorders>
              <w:top w:val="nil"/>
              <w:left w:val="single" w:color="000000" w:sz="8" w:space="0"/>
              <w:bottom w:val="single" w:color="000000" w:sz="8" w:space="0"/>
              <w:right w:val="single" w:color="000000" w:sz="8" w:space="0"/>
            </w:tcBorders>
            <w:shd w:val="clear" w:color="auto" w:fill="auto"/>
            <w:noWrap/>
            <w:vAlign w:val="center"/>
          </w:tcPr>
          <w:p w14:paraId="1A4D84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755" w:type="dxa"/>
            <w:tcBorders>
              <w:top w:val="nil"/>
              <w:left w:val="nil"/>
              <w:bottom w:val="single" w:color="000000" w:sz="8" w:space="0"/>
              <w:right w:val="single" w:color="000000" w:sz="8" w:space="0"/>
            </w:tcBorders>
            <w:shd w:val="clear" w:color="auto" w:fill="auto"/>
            <w:noWrap/>
            <w:vAlign w:val="center"/>
          </w:tcPr>
          <w:p w14:paraId="067ACD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监护仪</w:t>
            </w:r>
          </w:p>
        </w:tc>
        <w:tc>
          <w:tcPr>
            <w:tcW w:w="1679" w:type="dxa"/>
            <w:tcBorders>
              <w:top w:val="nil"/>
              <w:left w:val="nil"/>
              <w:bottom w:val="single" w:color="000000" w:sz="8" w:space="0"/>
              <w:right w:val="single" w:color="000000" w:sz="8" w:space="0"/>
            </w:tcBorders>
            <w:shd w:val="clear" w:color="auto" w:fill="auto"/>
            <w:noWrap/>
            <w:vAlign w:val="center"/>
          </w:tcPr>
          <w:p w14:paraId="21560E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708</w:t>
            </w:r>
          </w:p>
        </w:tc>
        <w:tc>
          <w:tcPr>
            <w:tcW w:w="1946" w:type="dxa"/>
            <w:tcBorders>
              <w:top w:val="nil"/>
              <w:left w:val="nil"/>
              <w:bottom w:val="single" w:color="000000" w:sz="8" w:space="0"/>
              <w:right w:val="single" w:color="000000" w:sz="8" w:space="0"/>
            </w:tcBorders>
            <w:shd w:val="clear" w:color="auto" w:fill="auto"/>
            <w:noWrap/>
            <w:vAlign w:val="center"/>
          </w:tcPr>
          <w:p w14:paraId="69554A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46.30%</w:t>
            </w:r>
          </w:p>
        </w:tc>
        <w:tc>
          <w:tcPr>
            <w:tcW w:w="3309" w:type="dxa"/>
            <w:tcBorders>
              <w:top w:val="nil"/>
              <w:left w:val="nil"/>
              <w:bottom w:val="single" w:color="000000" w:sz="8" w:space="0"/>
              <w:right w:val="single" w:color="000000" w:sz="8" w:space="0"/>
            </w:tcBorders>
            <w:shd w:val="clear" w:color="auto" w:fill="auto"/>
            <w:noWrap/>
            <w:vAlign w:val="center"/>
          </w:tcPr>
          <w:p w14:paraId="78E611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飞利浦、迈瑞、华声等品牌</w:t>
            </w:r>
          </w:p>
        </w:tc>
      </w:tr>
      <w:tr w14:paraId="54180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5" w:type="dxa"/>
            <w:tcBorders>
              <w:top w:val="nil"/>
              <w:left w:val="single" w:color="000000" w:sz="8" w:space="0"/>
              <w:bottom w:val="single" w:color="000000" w:sz="8" w:space="0"/>
              <w:right w:val="single" w:color="000000" w:sz="8" w:space="0"/>
            </w:tcBorders>
            <w:shd w:val="clear" w:color="auto" w:fill="auto"/>
            <w:noWrap/>
            <w:vAlign w:val="center"/>
          </w:tcPr>
          <w:p w14:paraId="2DCE39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55" w:type="dxa"/>
            <w:tcBorders>
              <w:top w:val="nil"/>
              <w:left w:val="nil"/>
              <w:bottom w:val="single" w:color="000000" w:sz="8" w:space="0"/>
              <w:right w:val="single" w:color="000000" w:sz="8" w:space="0"/>
            </w:tcBorders>
            <w:shd w:val="clear" w:color="auto" w:fill="auto"/>
            <w:noWrap/>
            <w:vAlign w:val="center"/>
          </w:tcPr>
          <w:p w14:paraId="7031D6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车床</w:t>
            </w:r>
          </w:p>
        </w:tc>
        <w:tc>
          <w:tcPr>
            <w:tcW w:w="1679" w:type="dxa"/>
            <w:tcBorders>
              <w:top w:val="nil"/>
              <w:left w:val="nil"/>
              <w:bottom w:val="single" w:color="000000" w:sz="8" w:space="0"/>
              <w:right w:val="single" w:color="000000" w:sz="8" w:space="0"/>
            </w:tcBorders>
            <w:shd w:val="clear" w:color="auto" w:fill="auto"/>
            <w:noWrap/>
            <w:vAlign w:val="center"/>
          </w:tcPr>
          <w:p w14:paraId="325856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1961</w:t>
            </w:r>
          </w:p>
        </w:tc>
        <w:tc>
          <w:tcPr>
            <w:tcW w:w="1946" w:type="dxa"/>
            <w:tcBorders>
              <w:top w:val="nil"/>
              <w:left w:val="nil"/>
              <w:bottom w:val="single" w:color="000000" w:sz="8" w:space="0"/>
              <w:right w:val="single" w:color="000000" w:sz="8" w:space="0"/>
            </w:tcBorders>
            <w:shd w:val="clear" w:color="auto" w:fill="auto"/>
            <w:noWrap/>
            <w:vAlign w:val="center"/>
          </w:tcPr>
          <w:p w14:paraId="069580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15.20%</w:t>
            </w:r>
          </w:p>
        </w:tc>
        <w:tc>
          <w:tcPr>
            <w:tcW w:w="3309" w:type="dxa"/>
            <w:tcBorders>
              <w:top w:val="nil"/>
              <w:left w:val="nil"/>
              <w:bottom w:val="single" w:color="000000" w:sz="8" w:space="0"/>
              <w:right w:val="single" w:color="000000" w:sz="8" w:space="0"/>
            </w:tcBorders>
            <w:shd w:val="clear" w:color="auto" w:fill="auto"/>
            <w:noWrap/>
            <w:vAlign w:val="center"/>
          </w:tcPr>
          <w:p w14:paraId="7FAD905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转运推车，病床等</w:t>
            </w:r>
          </w:p>
        </w:tc>
      </w:tr>
      <w:tr w14:paraId="37088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5" w:type="dxa"/>
            <w:tcBorders>
              <w:top w:val="nil"/>
              <w:left w:val="single" w:color="000000" w:sz="8" w:space="0"/>
              <w:bottom w:val="single" w:color="000000" w:sz="8" w:space="0"/>
              <w:right w:val="single" w:color="000000" w:sz="8" w:space="0"/>
            </w:tcBorders>
            <w:shd w:val="clear" w:color="auto" w:fill="auto"/>
            <w:noWrap/>
            <w:vAlign w:val="center"/>
          </w:tcPr>
          <w:p w14:paraId="48539A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755" w:type="dxa"/>
            <w:tcBorders>
              <w:top w:val="nil"/>
              <w:left w:val="nil"/>
              <w:bottom w:val="single" w:color="000000" w:sz="8" w:space="0"/>
              <w:right w:val="single" w:color="000000" w:sz="8" w:space="0"/>
            </w:tcBorders>
            <w:shd w:val="clear" w:color="auto" w:fill="auto"/>
            <w:noWrap/>
            <w:vAlign w:val="center"/>
          </w:tcPr>
          <w:p w14:paraId="7A1C6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内镜洗消机</w:t>
            </w:r>
          </w:p>
        </w:tc>
        <w:tc>
          <w:tcPr>
            <w:tcW w:w="1679" w:type="dxa"/>
            <w:tcBorders>
              <w:top w:val="nil"/>
              <w:left w:val="nil"/>
              <w:bottom w:val="single" w:color="000000" w:sz="8" w:space="0"/>
              <w:right w:val="single" w:color="000000" w:sz="8" w:space="0"/>
            </w:tcBorders>
            <w:shd w:val="clear" w:color="auto" w:fill="auto"/>
            <w:noWrap/>
            <w:vAlign w:val="center"/>
          </w:tcPr>
          <w:p w14:paraId="0C9A16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946" w:type="dxa"/>
            <w:tcBorders>
              <w:top w:val="nil"/>
              <w:left w:val="nil"/>
              <w:bottom w:val="single" w:color="000000" w:sz="8" w:space="0"/>
              <w:right w:val="single" w:color="000000" w:sz="8" w:space="0"/>
            </w:tcBorders>
            <w:shd w:val="clear" w:color="auto" w:fill="auto"/>
            <w:noWrap/>
            <w:vAlign w:val="center"/>
          </w:tcPr>
          <w:p w14:paraId="00C4B9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60.90%</w:t>
            </w:r>
          </w:p>
        </w:tc>
        <w:tc>
          <w:tcPr>
            <w:tcW w:w="3309" w:type="dxa"/>
            <w:tcBorders>
              <w:top w:val="nil"/>
              <w:left w:val="nil"/>
              <w:bottom w:val="single" w:color="000000" w:sz="8" w:space="0"/>
              <w:right w:val="single" w:color="000000" w:sz="8" w:space="0"/>
            </w:tcBorders>
            <w:shd w:val="clear" w:color="auto" w:fill="auto"/>
            <w:noWrap/>
            <w:vAlign w:val="center"/>
          </w:tcPr>
          <w:p w14:paraId="6E473E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柯丽尔、山东新华等品牌</w:t>
            </w:r>
          </w:p>
        </w:tc>
      </w:tr>
      <w:tr w14:paraId="1FAFA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5" w:type="dxa"/>
            <w:tcBorders>
              <w:top w:val="nil"/>
              <w:left w:val="single" w:color="000000" w:sz="8" w:space="0"/>
              <w:bottom w:val="single" w:color="000000" w:sz="8" w:space="0"/>
              <w:right w:val="single" w:color="000000" w:sz="8" w:space="0"/>
            </w:tcBorders>
            <w:shd w:val="clear" w:color="auto" w:fill="auto"/>
            <w:noWrap/>
            <w:vAlign w:val="center"/>
          </w:tcPr>
          <w:p w14:paraId="4448A913">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6</w:t>
            </w:r>
          </w:p>
        </w:tc>
        <w:tc>
          <w:tcPr>
            <w:tcW w:w="1755" w:type="dxa"/>
            <w:tcBorders>
              <w:top w:val="nil"/>
              <w:left w:val="nil"/>
              <w:bottom w:val="single" w:color="000000" w:sz="8" w:space="0"/>
              <w:right w:val="single" w:color="000000" w:sz="8" w:space="0"/>
            </w:tcBorders>
            <w:shd w:val="clear" w:color="auto" w:fill="auto"/>
            <w:noWrap/>
            <w:vAlign w:val="center"/>
          </w:tcPr>
          <w:p w14:paraId="515D6A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输注泵</w:t>
            </w:r>
          </w:p>
        </w:tc>
        <w:tc>
          <w:tcPr>
            <w:tcW w:w="1679" w:type="dxa"/>
            <w:tcBorders>
              <w:top w:val="nil"/>
              <w:left w:val="nil"/>
              <w:bottom w:val="single" w:color="000000" w:sz="8" w:space="0"/>
              <w:right w:val="single" w:color="000000" w:sz="8" w:space="0"/>
            </w:tcBorders>
            <w:shd w:val="clear" w:color="auto" w:fill="auto"/>
            <w:noWrap/>
            <w:vAlign w:val="center"/>
          </w:tcPr>
          <w:p w14:paraId="7F4226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1196</w:t>
            </w:r>
          </w:p>
        </w:tc>
        <w:tc>
          <w:tcPr>
            <w:tcW w:w="1946" w:type="dxa"/>
            <w:tcBorders>
              <w:top w:val="nil"/>
              <w:left w:val="nil"/>
              <w:bottom w:val="single" w:color="000000" w:sz="8" w:space="0"/>
              <w:right w:val="single" w:color="000000" w:sz="8" w:space="0"/>
            </w:tcBorders>
            <w:shd w:val="clear" w:color="auto" w:fill="auto"/>
            <w:noWrap/>
            <w:vAlign w:val="center"/>
          </w:tcPr>
          <w:p w14:paraId="32E5DF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32.90%</w:t>
            </w:r>
          </w:p>
        </w:tc>
        <w:tc>
          <w:tcPr>
            <w:tcW w:w="3309" w:type="dxa"/>
            <w:tcBorders>
              <w:top w:val="nil"/>
              <w:left w:val="nil"/>
              <w:bottom w:val="single" w:color="000000" w:sz="8" w:space="0"/>
              <w:right w:val="single" w:color="000000" w:sz="8" w:space="0"/>
            </w:tcBorders>
            <w:shd w:val="clear" w:color="auto" w:fill="auto"/>
            <w:noWrap/>
            <w:vAlign w:val="center"/>
          </w:tcPr>
          <w:p w14:paraId="2881B59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输液泵、注射泵、排泵等</w:t>
            </w:r>
          </w:p>
        </w:tc>
      </w:tr>
      <w:tr w14:paraId="02D0C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780" w:type="dxa"/>
            <w:gridSpan w:val="2"/>
            <w:tcBorders>
              <w:top w:val="nil"/>
              <w:left w:val="single" w:color="000000" w:sz="8" w:space="0"/>
              <w:bottom w:val="single" w:color="000000" w:sz="8" w:space="0"/>
              <w:right w:val="single" w:color="000000" w:sz="8" w:space="0"/>
            </w:tcBorders>
            <w:shd w:val="clear" w:color="auto" w:fill="auto"/>
            <w:noWrap/>
            <w:vAlign w:val="center"/>
          </w:tcPr>
          <w:p w14:paraId="608605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679" w:type="dxa"/>
            <w:tcBorders>
              <w:top w:val="nil"/>
              <w:left w:val="nil"/>
              <w:bottom w:val="single" w:color="000000" w:sz="8" w:space="0"/>
              <w:right w:val="single" w:color="000000" w:sz="8" w:space="0"/>
            </w:tcBorders>
            <w:shd w:val="clear" w:color="auto" w:fill="auto"/>
            <w:noWrap/>
            <w:vAlign w:val="center"/>
          </w:tcPr>
          <w:p w14:paraId="69F1F3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4192</w:t>
            </w:r>
          </w:p>
        </w:tc>
        <w:tc>
          <w:tcPr>
            <w:tcW w:w="1946" w:type="dxa"/>
            <w:tcBorders>
              <w:top w:val="nil"/>
              <w:left w:val="nil"/>
              <w:bottom w:val="single" w:color="000000" w:sz="8" w:space="0"/>
              <w:right w:val="single" w:color="000000" w:sz="8" w:space="0"/>
            </w:tcBorders>
            <w:shd w:val="clear" w:color="auto" w:fill="auto"/>
            <w:noWrap/>
            <w:vAlign w:val="center"/>
          </w:tcPr>
          <w:p w14:paraId="55F9EE3C">
            <w:pPr>
              <w:jc w:val="center"/>
              <w:rPr>
                <w:rFonts w:hint="eastAsia" w:ascii="宋体" w:hAnsi="宋体" w:eastAsia="宋体" w:cs="宋体"/>
                <w:i w:val="0"/>
                <w:iCs w:val="0"/>
                <w:color w:val="000000"/>
                <w:sz w:val="21"/>
                <w:szCs w:val="21"/>
                <w:u w:val="none"/>
              </w:rPr>
            </w:pPr>
          </w:p>
        </w:tc>
        <w:tc>
          <w:tcPr>
            <w:tcW w:w="3309" w:type="dxa"/>
            <w:tcBorders>
              <w:top w:val="nil"/>
              <w:left w:val="nil"/>
              <w:bottom w:val="single" w:color="000000" w:sz="8" w:space="0"/>
              <w:right w:val="single" w:color="000000" w:sz="8" w:space="0"/>
            </w:tcBorders>
            <w:shd w:val="clear" w:color="auto" w:fill="auto"/>
            <w:noWrap/>
            <w:vAlign w:val="center"/>
          </w:tcPr>
          <w:p w14:paraId="71E23AF7">
            <w:pPr>
              <w:jc w:val="center"/>
              <w:rPr>
                <w:rFonts w:hint="eastAsia" w:ascii="宋体" w:hAnsi="宋体" w:eastAsia="宋体" w:cs="宋体"/>
                <w:i w:val="0"/>
                <w:iCs w:val="0"/>
                <w:color w:val="000000"/>
                <w:sz w:val="21"/>
                <w:szCs w:val="21"/>
                <w:u w:val="none"/>
              </w:rPr>
            </w:pPr>
          </w:p>
        </w:tc>
      </w:tr>
    </w:tbl>
    <w:p w14:paraId="02785DF1">
      <w:pPr>
        <w:pStyle w:val="11"/>
        <w:ind w:firstLine="480" w:firstLineChars="200"/>
        <w:rPr>
          <w:rFonts w:hint="eastAsia" w:ascii="宋体" w:hAnsi="宋体" w:eastAsia="宋体" w:cs="宋体"/>
          <w:sz w:val="24"/>
          <w:szCs w:val="24"/>
        </w:rPr>
      </w:pPr>
      <w:r>
        <w:rPr>
          <w:rFonts w:hint="eastAsia"/>
          <w:sz w:val="24"/>
          <w:szCs w:val="24"/>
          <w:highlight w:val="yellow"/>
          <w:lang w:val="en-US" w:eastAsia="zh-CN"/>
        </w:rPr>
        <w:t>1.2</w:t>
      </w:r>
      <w:r>
        <w:rPr>
          <w:rFonts w:hint="eastAsia" w:ascii="宋体" w:hAnsi="宋体" w:eastAsia="宋体" w:cs="宋体"/>
          <w:sz w:val="24"/>
          <w:szCs w:val="24"/>
          <w:highlight w:val="yellow"/>
        </w:rPr>
        <w:t>★保修类别为包含</w:t>
      </w:r>
      <w:r>
        <w:rPr>
          <w:rFonts w:hint="eastAsia" w:ascii="宋体" w:hAnsi="宋体" w:eastAsia="宋体" w:cs="宋体"/>
          <w:sz w:val="24"/>
          <w:szCs w:val="24"/>
          <w:highlight w:val="yellow"/>
          <w:lang w:val="en-US" w:eastAsia="zh-CN"/>
        </w:rPr>
        <w:t>所有配件的</w:t>
      </w:r>
      <w:r>
        <w:rPr>
          <w:rFonts w:hint="eastAsia" w:ascii="宋体" w:hAnsi="宋体" w:eastAsia="宋体" w:cs="宋体"/>
          <w:sz w:val="24"/>
          <w:szCs w:val="24"/>
          <w:highlight w:val="yellow"/>
        </w:rPr>
        <w:t>全保保修（包括</w:t>
      </w:r>
      <w:r>
        <w:rPr>
          <w:rFonts w:hint="eastAsia" w:ascii="宋体" w:hAnsi="宋体" w:eastAsia="宋体" w:cs="宋体"/>
          <w:sz w:val="24"/>
          <w:szCs w:val="24"/>
          <w:highlight w:val="yellow"/>
          <w:lang w:val="en-US" w:eastAsia="zh-CN"/>
        </w:rPr>
        <w:t>电池、导联线、袖带等易损件及其他</w:t>
      </w:r>
      <w:r>
        <w:rPr>
          <w:rFonts w:hint="eastAsia" w:ascii="宋体" w:hAnsi="宋体" w:eastAsia="宋体" w:cs="宋体"/>
          <w:sz w:val="24"/>
          <w:szCs w:val="24"/>
          <w:highlight w:val="yellow"/>
        </w:rPr>
        <w:t>所有配件、劳务、差旅等费用），设备保修服务包括但不限于技术服务，</w:t>
      </w:r>
      <w:r>
        <w:rPr>
          <w:rFonts w:hint="eastAsia" w:ascii="宋体" w:hAnsi="宋体" w:eastAsia="宋体" w:cs="宋体"/>
          <w:sz w:val="24"/>
          <w:szCs w:val="24"/>
          <w:highlight w:val="yellow"/>
          <w:lang w:val="en-US" w:eastAsia="zh-CN"/>
        </w:rPr>
        <w:t>包括</w:t>
      </w:r>
      <w:r>
        <w:rPr>
          <w:rFonts w:hint="eastAsia" w:ascii="宋体" w:hAnsi="宋体" w:eastAsia="宋体" w:cs="宋体"/>
          <w:sz w:val="24"/>
          <w:szCs w:val="24"/>
          <w:highlight w:val="yellow"/>
        </w:rPr>
        <w:t>各功能控制电路主板</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rPr>
        <w:t>配套的各种应用软件及其他所有零配件等</w:t>
      </w:r>
      <w:r>
        <w:rPr>
          <w:rFonts w:hint="eastAsia" w:ascii="宋体" w:hAnsi="宋体" w:eastAsia="宋体" w:cs="宋体"/>
          <w:sz w:val="24"/>
          <w:szCs w:val="24"/>
        </w:rPr>
        <w:t>。</w:t>
      </w:r>
    </w:p>
    <w:p w14:paraId="0F4C6C2A">
      <w:pPr>
        <w:spacing w:line="360" w:lineRule="auto"/>
        <w:ind w:firstLine="480" w:firstLineChars="200"/>
        <w:rPr>
          <w:rFonts w:hint="eastAsia" w:ascii="宋体" w:hAnsi="宋体" w:eastAsia="宋体"/>
          <w:bCs/>
          <w:sz w:val="24"/>
          <w:highlight w:val="none"/>
          <w:lang w:eastAsia="zh-CN"/>
        </w:rPr>
      </w:pPr>
      <w:r>
        <w:rPr>
          <w:rFonts w:ascii="宋体" w:hAnsi="宋体" w:eastAsia="宋体"/>
          <w:bCs/>
          <w:sz w:val="24"/>
          <w:highlight w:val="none"/>
        </w:rPr>
        <w:t>2</w:t>
      </w:r>
      <w:r>
        <w:rPr>
          <w:rFonts w:hint="eastAsia" w:ascii="宋体" w:hAnsi="宋体" w:eastAsia="宋体"/>
          <w:bCs/>
          <w:sz w:val="24"/>
          <w:highlight w:val="none"/>
        </w:rPr>
        <w:t>、</w:t>
      </w:r>
      <w:r>
        <w:rPr>
          <w:rFonts w:hint="eastAsia" w:ascii="宋体" w:hAnsi="宋体" w:eastAsia="宋体"/>
          <w:bCs/>
          <w:sz w:val="24"/>
          <w:highlight w:val="none"/>
          <w:lang w:eastAsia="zh-CN"/>
        </w:rPr>
        <w:t>维修保养能力</w:t>
      </w:r>
      <w:r>
        <w:rPr>
          <w:rFonts w:hint="eastAsia" w:ascii="宋体" w:hAnsi="宋体" w:eastAsia="宋体"/>
          <w:bCs/>
          <w:sz w:val="24"/>
          <w:highlight w:val="none"/>
        </w:rPr>
        <w:t>要求</w:t>
      </w:r>
      <w:r>
        <w:rPr>
          <w:rFonts w:hint="eastAsia" w:ascii="宋体" w:hAnsi="宋体" w:eastAsia="宋体"/>
          <w:bCs/>
          <w:sz w:val="24"/>
          <w:highlight w:val="none"/>
          <w:lang w:eastAsia="zh-CN"/>
        </w:rPr>
        <w:t>：</w:t>
      </w:r>
    </w:p>
    <w:p w14:paraId="5472C2C0">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2.1▲投标人所更换的配件须是合格的全新未拆封的原装零配件，满足设备运行要求，不会给设备带来危害，维修后设备的技术参数达到原厂技术要求。配件采购渠道应符合国家相关的法律法规。</w:t>
      </w:r>
    </w:p>
    <w:p w14:paraId="6909511A">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yellow"/>
          <w:lang w:val="en-US" w:eastAsia="zh-CN"/>
        </w:rPr>
        <w:t>2.2</w:t>
      </w:r>
      <w:r>
        <w:rPr>
          <w:rFonts w:hint="eastAsia" w:ascii="宋体" w:hAnsi="宋体" w:eastAsia="宋体" w:cs="宋体"/>
          <w:sz w:val="24"/>
          <w:szCs w:val="24"/>
          <w:highlight w:val="yellow"/>
        </w:rPr>
        <w:t>★</w:t>
      </w:r>
      <w:r>
        <w:rPr>
          <w:rFonts w:hint="eastAsia" w:ascii="宋体" w:hAnsi="宋体" w:eastAsia="宋体"/>
          <w:bCs/>
          <w:sz w:val="24"/>
          <w:highlight w:val="yellow"/>
          <w:lang w:val="en-US" w:eastAsia="zh-CN"/>
        </w:rPr>
        <w:t>投标人需委派至少1名工程师提供驻点服务，接到报修后，10分钟内电话响应，30分钟内到达现场进行技术支持，并提供365天*24小时值班，且驻点服务人员不得随意更换</w:t>
      </w:r>
      <w:r>
        <w:rPr>
          <w:rFonts w:hint="eastAsia" w:ascii="宋体" w:hAnsi="宋体" w:eastAsia="宋体"/>
          <w:bCs/>
          <w:sz w:val="24"/>
          <w:highlight w:val="none"/>
          <w:lang w:val="en-US" w:eastAsia="zh-CN"/>
        </w:rPr>
        <w:t>。</w:t>
      </w:r>
    </w:p>
    <w:p w14:paraId="0021AFB7">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2.3维保清单内的设备故障时，投标人接到采购人的维修通知后须24小时内完成维修，需要订购的配件的3天内完成维修。</w:t>
      </w:r>
    </w:p>
    <w:p w14:paraId="00815299">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2.4▲投标人报价包括提供低值零星维修服务，具体包括但不限于：所有医疗设备的焊接，螺母螺帽适配、轮椅维修，电源线、灯管等低值配件的更换等。</w:t>
      </w:r>
    </w:p>
    <w:p w14:paraId="46E5FC89">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2.5投标人需对急救类设备每年提供预防性保养不少于4次（每季度一次）；包括设备必要的机械或电气环境检查、安全检查、清洁除尘保养、运行状态检查、性能测试及校准，使设备达到国家、行业和设备厂家相关标准要求。</w:t>
      </w:r>
    </w:p>
    <w:p w14:paraId="56D41E95">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2.6投标人应对项目组成员进行安全教育，所有参与项目的工作人员须遵守保密制度，不得以任何理由或目的泄露与本服务相关的内容。</w:t>
      </w:r>
    </w:p>
    <w:p w14:paraId="51229321">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2.7▲投标人在设备维修维护期间应严格遵循安全规范，确保安全的情况下再实施操作，如因投标人原因发生设备、人身等事故，由投标人承担全部赔偿责任。</w:t>
      </w:r>
    </w:p>
    <w:p w14:paraId="43B2FB8D">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2.8投标人在项目实施过程中造成设备丢失、损毁的，每件按照资产条码上价格进行的标准进行赔偿，并承担相应的法律责任。</w:t>
      </w:r>
    </w:p>
    <w:p w14:paraId="6C4983AF">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2.9投标人需协助采购人提供定期预防性保养及巡检服务，做到重预防，轻维修，延长设备生命周期。</w:t>
      </w:r>
    </w:p>
    <w:p w14:paraId="486244DA">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2.10投标人需提供每年不少于2次专业的设备操作培训，并提供相应文字记录。</w:t>
      </w:r>
    </w:p>
    <w:p w14:paraId="1CA5700B">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2.11服务期内投标人应保存好所有的维修单据和资料，整理好相关单据材料交采购人存档。</w:t>
      </w:r>
    </w:p>
    <w:p w14:paraId="79A243DA">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yellow"/>
          <w:lang w:val="en-US" w:eastAsia="zh-CN"/>
        </w:rPr>
        <w:t>2.12</w:t>
      </w:r>
      <w:r>
        <w:rPr>
          <w:rFonts w:hint="eastAsia" w:ascii="宋体" w:hAnsi="宋体" w:eastAsia="宋体" w:cs="宋体"/>
          <w:sz w:val="24"/>
          <w:szCs w:val="24"/>
          <w:highlight w:val="yellow"/>
        </w:rPr>
        <w:t>★</w:t>
      </w:r>
      <w:r>
        <w:rPr>
          <w:rFonts w:hint="eastAsia" w:ascii="宋体" w:hAnsi="宋体" w:eastAsia="宋体"/>
          <w:bCs/>
          <w:sz w:val="24"/>
          <w:highlight w:val="yellow"/>
          <w:lang w:val="en-US" w:eastAsia="zh-CN"/>
        </w:rPr>
        <w:t>投标人须保证转运用途的急救类设备电池续航时间不低于30分钟，易损件（导联线、血氧探头、袖带等）出现外观明显破损或影响设备正常功能的情况下必须及时更换</w:t>
      </w:r>
      <w:r>
        <w:rPr>
          <w:rFonts w:hint="eastAsia" w:ascii="宋体" w:hAnsi="宋体" w:eastAsia="宋体"/>
          <w:bCs/>
          <w:sz w:val="24"/>
          <w:highlight w:val="none"/>
          <w:lang w:val="en-US" w:eastAsia="zh-CN"/>
        </w:rPr>
        <w:t>。</w:t>
      </w:r>
    </w:p>
    <w:p w14:paraId="6F7C6DBF">
      <w:pPr>
        <w:spacing w:line="360" w:lineRule="auto"/>
        <w:ind w:firstLine="480" w:firstLineChars="200"/>
        <w:rPr>
          <w:rFonts w:hint="eastAsia" w:ascii="宋体" w:hAnsi="宋体" w:eastAsia="宋体"/>
          <w:bCs/>
          <w:sz w:val="24"/>
          <w:highlight w:val="none"/>
          <w:lang w:val="en-US" w:eastAsia="zh-CN"/>
        </w:rPr>
      </w:pPr>
      <w:r>
        <w:rPr>
          <w:rFonts w:hint="default" w:ascii="宋体" w:hAnsi="宋体" w:eastAsia="宋体"/>
          <w:bCs/>
          <w:sz w:val="24"/>
          <w:highlight w:val="none"/>
          <w:lang w:val="en-US" w:eastAsia="zh-CN"/>
        </w:rPr>
        <w:t>▲2.</w:t>
      </w:r>
      <w:r>
        <w:rPr>
          <w:rFonts w:hint="eastAsia" w:ascii="宋体" w:hAnsi="宋体" w:eastAsia="宋体"/>
          <w:bCs/>
          <w:sz w:val="24"/>
          <w:highlight w:val="none"/>
          <w:lang w:val="en-US" w:eastAsia="zh-CN"/>
        </w:rPr>
        <w:t>13</w:t>
      </w:r>
      <w:r>
        <w:rPr>
          <w:rFonts w:hint="default" w:ascii="宋体" w:hAnsi="宋体" w:eastAsia="宋体"/>
          <w:bCs/>
          <w:sz w:val="24"/>
          <w:highlight w:val="none"/>
          <w:lang w:val="en-US" w:eastAsia="zh-CN"/>
        </w:rPr>
        <w:t xml:space="preserve"> 投标人需保证设备开机率95%以上（按全年365个日历日计算），即全年正常开机≥347天，停机＜18天。若因投标人原因导致开机率低于95%，开机时间每降低一天，则维保服务合同延长2天；若因投标人原因导致开机率达不到90%即329天以上，除按上述规定顺延保修期外，投标人按维保年度合同总金额的1‰/天向甲方支付违约金（即以低于329天的天数计算）。</w:t>
      </w:r>
    </w:p>
    <w:p w14:paraId="03E7E409">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3、其他服务要求：</w:t>
      </w:r>
    </w:p>
    <w:p w14:paraId="250B3E10">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3.1、投标人在维修维护期间，应根据采购方实际情况实施，错开使用高峰时间，不得影响临床日常工作。</w:t>
      </w:r>
    </w:p>
    <w:p w14:paraId="2827BB7B">
      <w:pPr>
        <w:spacing w:line="360" w:lineRule="auto"/>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3.2、由于设备故障可能引发的医疗纠纷，经医疗纠纷委员会等权威机构鉴定，属于投标人维修维护不当造成的原因，由投标人承担相应的责任。</w:t>
      </w:r>
    </w:p>
    <w:p w14:paraId="4717EABD">
      <w:pPr>
        <w:keepNext w:val="0"/>
        <w:keepLines w:val="0"/>
        <w:pageBreakBefore w:val="0"/>
        <w:numPr>
          <w:ilvl w:val="0"/>
          <w:numId w:val="0"/>
        </w:numPr>
        <w:kinsoku/>
        <w:wordWrap/>
        <w:overflowPunct/>
        <w:topLinePunct w:val="0"/>
        <w:autoSpaceDE/>
        <w:autoSpaceDN/>
        <w:bidi w:val="0"/>
        <w:adjustRightInd w:val="0"/>
        <w:snapToGrid w:val="0"/>
        <w:spacing w:line="520" w:lineRule="exact"/>
        <w:ind w:left="426" w:leftChars="0"/>
        <w:rPr>
          <w:rFonts w:hint="eastAsia" w:asciiTheme="minorEastAsia" w:hAnsiTheme="minorEastAsia" w:eastAsiaTheme="minorEastAsia" w:cstheme="minorEastAsia"/>
          <w:b/>
          <w:bCs/>
          <w:color w:val="auto"/>
          <w:sz w:val="24"/>
        </w:rPr>
      </w:pPr>
      <w:r>
        <w:rPr>
          <w:rFonts w:hint="eastAsia" w:ascii="宋体" w:hAnsi="宋体" w:eastAsia="宋体"/>
          <w:bCs/>
          <w:sz w:val="24"/>
          <w:highlight w:val="none"/>
          <w:lang w:val="en-US" w:eastAsia="zh-CN"/>
        </w:rPr>
        <w:t>3.3、实施本项目应满足采购方的实际情况和法规标准要求，符合国家、省、市、区等各级部门进行的检查标准，按照三级甲等医院评审要求，做好设备管理的制度、流程、文字记录等工作</w:t>
      </w:r>
    </w:p>
    <w:p w14:paraId="1E8D1792">
      <w:pPr>
        <w:keepNext w:val="0"/>
        <w:keepLines w:val="0"/>
        <w:pageBreakBefore w:val="0"/>
        <w:numPr>
          <w:ilvl w:val="0"/>
          <w:numId w:val="7"/>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highlight w:val="none"/>
        </w:rPr>
        <w:t>人员要求</w:t>
      </w:r>
    </w:p>
    <w:p w14:paraId="2189FAC8">
      <w:pPr>
        <w:keepNext w:val="0"/>
        <w:keepLines w:val="0"/>
        <w:pageBreakBefore w:val="0"/>
        <w:numPr>
          <w:ilvl w:val="255"/>
          <w:numId w:val="0"/>
        </w:numPr>
        <w:kinsoku/>
        <w:wordWrap/>
        <w:overflowPunct/>
        <w:topLinePunct w:val="0"/>
        <w:autoSpaceDE/>
        <w:autoSpaceDN/>
        <w:bidi w:val="0"/>
        <w:spacing w:line="520" w:lineRule="exact"/>
        <w:ind w:firstLine="480" w:firstLineChars="200"/>
        <w:rPr>
          <w:rFonts w:hint="eastAsia" w:asciiTheme="minorEastAsia" w:hAnsiTheme="minorEastAsia" w:eastAsiaTheme="minorEastAsia" w:cstheme="minorEastAsia"/>
          <w:bCs/>
          <w:color w:val="auto"/>
          <w:sz w:val="24"/>
        </w:rPr>
      </w:pPr>
      <w:r>
        <w:rPr>
          <w:rFonts w:hint="eastAsia" w:ascii="宋体" w:hAnsi="宋体" w:eastAsia="宋体" w:cs="宋体"/>
          <w:kern w:val="0"/>
          <w:sz w:val="24"/>
          <w:szCs w:val="24"/>
          <w:highlight w:val="none"/>
          <w:lang w:val="en-US" w:eastAsia="zh-CN"/>
        </w:rPr>
        <w:t>提供驻点工程师不少于1名，必要时需要增加至少1名机动工程师，维修人员具有大专及以上学历和相关职业资格证书，不少于2年医院驻点维修相关工作经验</w:t>
      </w:r>
      <w:r>
        <w:rPr>
          <w:rFonts w:hint="eastAsia" w:asciiTheme="minorEastAsia" w:hAnsiTheme="minorEastAsia" w:eastAsiaTheme="minorEastAsia" w:cstheme="minorEastAsia"/>
          <w:bCs/>
          <w:color w:val="auto"/>
          <w:sz w:val="24"/>
        </w:rPr>
        <w:t>。</w:t>
      </w:r>
    </w:p>
    <w:p w14:paraId="71059A6D">
      <w:pPr>
        <w:pStyle w:val="33"/>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bCs/>
          <w:color w:val="auto"/>
          <w:sz w:val="24"/>
        </w:rPr>
        <w:t>备注：以上人员均需提供近三个月的社保证明，工作经验证明及相关资质证书加盖投标人公章。</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自合同签订之日起1年。本项目为长期服务类项目，第一年为本次招标的中标服务期限，采购人可根据项目需求和中标供应商的履约情况确定合同期限是否延长，但最长不超过三年，合同一年一签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heme="minorEastAsia" w:hAnsiTheme="minorEastAsia" w:eastAsiaTheme="minorEastAsia" w:cstheme="minorEastAsia"/>
          <w:color w:val="auto"/>
          <w:sz w:val="24"/>
        </w:rPr>
        <w:t>中山大学附属第八医院（深圳福田）指定地点</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rPr>
        <w:t>投标总价必须是完成该项目的一切费用总和，包括零备件费、维修费、运输费、装卸费、保险费、技术培训费、差旅费、设备安装费、调试费、软件升级费、售后服务费、国家规定的各项税费等全部费用。除该报价外，采购方不再向中标方支付任何其他费用</w:t>
      </w:r>
      <w:r>
        <w:rPr>
          <w:rFonts w:hint="eastAsia" w:asciiTheme="minorEastAsia" w:hAnsiTheme="minorEastAsia" w:eastAsiaTheme="minorEastAsia" w:cstheme="minorEastAsia"/>
          <w:color w:val="auto"/>
          <w:kern w:val="0"/>
          <w:sz w:val="24"/>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3EC8D6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按照中山大学附属第八医院（深圳福田）有关规定付款。</w:t>
      </w:r>
    </w:p>
    <w:p w14:paraId="427F92D4">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合同签订之日起满三个月，且中标方按照采购方要求，完成首次保养后，向采购方开具合同总金额50%的发票，采购方财务科收到发票及相关付款资料后10个工作日内向中标方支付50%的合同款项；</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rPr>
        <w:t>合同期满后，采购方根据中标方的履约考评结果，若年度平均分为90分及以上，中标方出具剩余50%的合同款的发票，采购方向中标方支付剩余50%的合同款项，若年度平均分为90分以下，每减一分降一个百分点，每降一个百分点减少年度合同总价款的百分之一。</w:t>
      </w:r>
    </w:p>
    <w:p w14:paraId="335A6F08">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（五）其他：</w:t>
      </w:r>
    </w:p>
    <w:p w14:paraId="5A8E8D81">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中标方必须无条件接受招标方的监督考核</w:t>
      </w:r>
    </w:p>
    <w:p w14:paraId="1C3A297C">
      <w:pPr>
        <w:pStyle w:val="57"/>
        <w:ind w:firstLine="480" w:firstLineChars="200"/>
        <w:jc w:val="left"/>
        <w:rPr>
          <w:rFonts w:ascii="宋体" w:hAnsi="宋体"/>
          <w:color w:val="000000"/>
          <w:sz w:val="24"/>
          <w:szCs w:val="24"/>
        </w:rPr>
      </w:pPr>
      <w:r>
        <w:rPr>
          <w:rFonts w:hint="eastAsia" w:ascii="宋体" w:hAnsi="宋体"/>
          <w:color w:val="000000"/>
          <w:sz w:val="24"/>
          <w:szCs w:val="24"/>
        </w:rPr>
        <w:t xml:space="preserve"> 1、考核部门由医院设备科牵头，由使用部门、设备科组成的考核体系，每个季度考评一次，每年度过会决定下一年度是否续签。</w:t>
      </w:r>
    </w:p>
    <w:p w14:paraId="266C84B7">
      <w:pPr>
        <w:pStyle w:val="57"/>
        <w:ind w:firstLine="0" w:firstLineChars="0"/>
        <w:jc w:val="left"/>
        <w:rPr>
          <w:rFonts w:ascii="宋体" w:hAnsi="宋体"/>
          <w:color w:val="000000"/>
          <w:sz w:val="24"/>
          <w:szCs w:val="24"/>
        </w:rPr>
      </w:pPr>
      <w:r>
        <w:rPr>
          <w:rFonts w:hint="eastAsia" w:ascii="宋体" w:hAnsi="宋体"/>
          <w:color w:val="000000"/>
          <w:sz w:val="24"/>
          <w:szCs w:val="24"/>
        </w:rPr>
        <w:t xml:space="preserve">    2、考评内容包括：①现场响应；②维修时效；③设备保养率；④维保内设备完好率；⑤操作、保养培训记录；⑥服务态度。</w:t>
      </w:r>
    </w:p>
    <w:p w14:paraId="569E88B0">
      <w:pPr>
        <w:pStyle w:val="57"/>
        <w:ind w:firstLine="0" w:firstLineChars="0"/>
        <w:jc w:val="left"/>
        <w:rPr>
          <w:rFonts w:ascii="宋体" w:hAnsi="宋体"/>
          <w:color w:val="000000"/>
          <w:sz w:val="24"/>
          <w:szCs w:val="24"/>
        </w:rPr>
      </w:pPr>
      <w:r>
        <w:rPr>
          <w:rFonts w:hint="eastAsia" w:ascii="宋体" w:hAnsi="宋体"/>
          <w:color w:val="000000"/>
          <w:sz w:val="24"/>
          <w:szCs w:val="24"/>
        </w:rPr>
        <w:t xml:space="preserve">    3、调查问卷设定分值：很满意100分；满意90-99分；比较满意80-89分；一般60-79分；不满意40-59分；很不满意0-39分。</w:t>
      </w:r>
    </w:p>
    <w:p w14:paraId="43D1BE5E">
      <w:pPr>
        <w:pStyle w:val="57"/>
        <w:ind w:firstLine="0" w:firstLineChars="0"/>
        <w:jc w:val="left"/>
        <w:rPr>
          <w:rFonts w:ascii="宋体" w:hAnsi="宋体"/>
          <w:color w:val="000000"/>
          <w:sz w:val="24"/>
          <w:szCs w:val="24"/>
        </w:rPr>
      </w:pPr>
      <w:r>
        <w:rPr>
          <w:rFonts w:hint="eastAsia" w:ascii="宋体" w:hAnsi="宋体"/>
          <w:color w:val="000000"/>
          <w:sz w:val="24"/>
          <w:szCs w:val="24"/>
        </w:rPr>
        <w:t xml:space="preserve">    4、考评标准设置：</w:t>
      </w:r>
    </w:p>
    <w:tbl>
      <w:tblPr>
        <w:tblStyle w:val="26"/>
        <w:tblW w:w="8580" w:type="dxa"/>
        <w:jc w:val="center"/>
        <w:tblLayout w:type="autofit"/>
        <w:tblCellMar>
          <w:top w:w="0" w:type="dxa"/>
          <w:left w:w="108" w:type="dxa"/>
          <w:bottom w:w="0" w:type="dxa"/>
          <w:right w:w="108" w:type="dxa"/>
        </w:tblCellMar>
      </w:tblPr>
      <w:tblGrid>
        <w:gridCol w:w="642"/>
        <w:gridCol w:w="1193"/>
        <w:gridCol w:w="709"/>
        <w:gridCol w:w="4111"/>
        <w:gridCol w:w="1925"/>
      </w:tblGrid>
      <w:tr w14:paraId="0A24FAC3">
        <w:tblPrEx>
          <w:tblCellMar>
            <w:top w:w="0" w:type="dxa"/>
            <w:left w:w="108" w:type="dxa"/>
            <w:bottom w:w="0" w:type="dxa"/>
            <w:right w:w="108" w:type="dxa"/>
          </w:tblCellMar>
        </w:tblPrEx>
        <w:trPr>
          <w:trHeight w:val="841" w:hRule="atLeast"/>
          <w:jc w:val="center"/>
        </w:trPr>
        <w:tc>
          <w:tcPr>
            <w:tcW w:w="642" w:type="dxa"/>
            <w:tcBorders>
              <w:top w:val="single" w:color="auto" w:sz="8" w:space="0"/>
              <w:left w:val="single" w:color="auto" w:sz="8" w:space="0"/>
              <w:bottom w:val="single" w:color="auto" w:sz="4" w:space="0"/>
              <w:right w:val="single" w:color="auto" w:sz="4" w:space="0"/>
            </w:tcBorders>
            <w:noWrap/>
            <w:vAlign w:val="center"/>
          </w:tcPr>
          <w:p w14:paraId="0D3E3FA4">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序号</w:t>
            </w:r>
          </w:p>
        </w:tc>
        <w:tc>
          <w:tcPr>
            <w:tcW w:w="1193" w:type="dxa"/>
            <w:tcBorders>
              <w:top w:val="single" w:color="auto" w:sz="8" w:space="0"/>
              <w:left w:val="nil"/>
              <w:bottom w:val="single" w:color="auto" w:sz="4" w:space="0"/>
              <w:right w:val="single" w:color="auto" w:sz="4" w:space="0"/>
            </w:tcBorders>
            <w:noWrap/>
            <w:vAlign w:val="center"/>
          </w:tcPr>
          <w:p w14:paraId="2E34AEBA">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考核项目</w:t>
            </w:r>
          </w:p>
        </w:tc>
        <w:tc>
          <w:tcPr>
            <w:tcW w:w="709" w:type="dxa"/>
            <w:tcBorders>
              <w:top w:val="single" w:color="auto" w:sz="8" w:space="0"/>
              <w:left w:val="nil"/>
              <w:bottom w:val="single" w:color="auto" w:sz="4" w:space="0"/>
              <w:right w:val="single" w:color="auto" w:sz="4" w:space="0"/>
            </w:tcBorders>
            <w:noWrap/>
            <w:vAlign w:val="center"/>
          </w:tcPr>
          <w:p w14:paraId="75A110DC">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分值</w:t>
            </w:r>
          </w:p>
        </w:tc>
        <w:tc>
          <w:tcPr>
            <w:tcW w:w="4111" w:type="dxa"/>
            <w:tcBorders>
              <w:top w:val="single" w:color="auto" w:sz="8" w:space="0"/>
              <w:left w:val="nil"/>
              <w:bottom w:val="single" w:color="auto" w:sz="4" w:space="0"/>
              <w:right w:val="single" w:color="auto" w:sz="4" w:space="0"/>
            </w:tcBorders>
            <w:noWrap/>
            <w:vAlign w:val="center"/>
          </w:tcPr>
          <w:p w14:paraId="05C526D3">
            <w:pPr>
              <w:spacing w:line="360" w:lineRule="auto"/>
              <w:ind w:firstLine="360" w:firstLineChars="150"/>
              <w:jc w:val="center"/>
              <w:rPr>
                <w:rFonts w:ascii="宋体" w:hAnsi="宋体" w:cs="Helvetica"/>
                <w:color w:val="3E3E3E"/>
                <w:kern w:val="0"/>
                <w:sz w:val="24"/>
                <w:szCs w:val="24"/>
              </w:rPr>
            </w:pPr>
            <w:r>
              <w:rPr>
                <w:rFonts w:hint="eastAsia" w:ascii="宋体" w:hAnsi="宋体" w:cs="Helvetica"/>
                <w:color w:val="3E3E3E"/>
                <w:kern w:val="0"/>
                <w:sz w:val="24"/>
                <w:szCs w:val="24"/>
              </w:rPr>
              <w:t>考核标准</w:t>
            </w:r>
          </w:p>
        </w:tc>
        <w:tc>
          <w:tcPr>
            <w:tcW w:w="1925" w:type="dxa"/>
            <w:tcBorders>
              <w:top w:val="single" w:color="auto" w:sz="8" w:space="0"/>
              <w:left w:val="nil"/>
              <w:bottom w:val="single" w:color="auto" w:sz="4" w:space="0"/>
              <w:right w:val="single" w:color="auto" w:sz="8" w:space="0"/>
            </w:tcBorders>
            <w:noWrap/>
            <w:vAlign w:val="center"/>
          </w:tcPr>
          <w:p w14:paraId="0D8AC5E2">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扣分标准（各科室满意度调查表）得分=分值*系数</w:t>
            </w:r>
          </w:p>
        </w:tc>
      </w:tr>
      <w:tr w14:paraId="7ED4220E">
        <w:tblPrEx>
          <w:tblCellMar>
            <w:top w:w="0" w:type="dxa"/>
            <w:left w:w="108" w:type="dxa"/>
            <w:bottom w:w="0" w:type="dxa"/>
            <w:right w:w="108" w:type="dxa"/>
          </w:tblCellMar>
        </w:tblPrEx>
        <w:trPr>
          <w:trHeight w:val="1948" w:hRule="atLeast"/>
          <w:jc w:val="center"/>
        </w:trPr>
        <w:tc>
          <w:tcPr>
            <w:tcW w:w="642" w:type="dxa"/>
            <w:tcBorders>
              <w:top w:val="nil"/>
              <w:left w:val="single" w:color="auto" w:sz="8" w:space="0"/>
              <w:bottom w:val="single" w:color="auto" w:sz="4" w:space="0"/>
              <w:right w:val="single" w:color="auto" w:sz="4" w:space="0"/>
            </w:tcBorders>
            <w:noWrap/>
            <w:vAlign w:val="center"/>
          </w:tcPr>
          <w:p w14:paraId="0CC1382F">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1</w:t>
            </w:r>
          </w:p>
        </w:tc>
        <w:tc>
          <w:tcPr>
            <w:tcW w:w="1193" w:type="dxa"/>
            <w:tcBorders>
              <w:top w:val="nil"/>
              <w:left w:val="nil"/>
              <w:bottom w:val="single" w:color="auto" w:sz="4" w:space="0"/>
              <w:right w:val="single" w:color="auto" w:sz="4" w:space="0"/>
            </w:tcBorders>
            <w:noWrap/>
            <w:vAlign w:val="center"/>
          </w:tcPr>
          <w:p w14:paraId="3145ED4D">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现场响应</w:t>
            </w:r>
          </w:p>
        </w:tc>
        <w:tc>
          <w:tcPr>
            <w:tcW w:w="709" w:type="dxa"/>
            <w:tcBorders>
              <w:top w:val="nil"/>
              <w:left w:val="nil"/>
              <w:bottom w:val="single" w:color="auto" w:sz="4" w:space="0"/>
              <w:right w:val="single" w:color="auto" w:sz="4" w:space="0"/>
            </w:tcBorders>
            <w:noWrap/>
            <w:vAlign w:val="center"/>
          </w:tcPr>
          <w:p w14:paraId="1F8CE85C">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10</w:t>
            </w:r>
          </w:p>
        </w:tc>
        <w:tc>
          <w:tcPr>
            <w:tcW w:w="4111" w:type="dxa"/>
            <w:tcBorders>
              <w:top w:val="nil"/>
              <w:left w:val="nil"/>
              <w:bottom w:val="single" w:color="auto" w:sz="4" w:space="0"/>
              <w:right w:val="single" w:color="auto" w:sz="4" w:space="0"/>
            </w:tcBorders>
            <w:noWrap w:val="0"/>
            <w:vAlign w:val="center"/>
          </w:tcPr>
          <w:p w14:paraId="620BC4F2">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院本部收到报修通知后即时响应，工程师即时到达服务现场（一般情况下30分钟内，应急情况下15分钟内，服务时间：全天候24小时，同时几个报修按轻重缓急响应，当天内响应完当天报修）并对报修做好记录。（考核维保内设备报修）</w:t>
            </w:r>
          </w:p>
        </w:tc>
        <w:tc>
          <w:tcPr>
            <w:tcW w:w="1925" w:type="dxa"/>
            <w:tcBorders>
              <w:top w:val="nil"/>
              <w:left w:val="nil"/>
              <w:bottom w:val="single" w:color="auto" w:sz="4" w:space="0"/>
              <w:right w:val="single" w:color="auto" w:sz="8" w:space="0"/>
            </w:tcBorders>
            <w:noWrap w:val="0"/>
            <w:vAlign w:val="center"/>
          </w:tcPr>
          <w:p w14:paraId="58194B28">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维保内响应未达到扣分</w:t>
            </w:r>
          </w:p>
        </w:tc>
      </w:tr>
      <w:tr w14:paraId="02924B93">
        <w:tblPrEx>
          <w:tblCellMar>
            <w:top w:w="0" w:type="dxa"/>
            <w:left w:w="108" w:type="dxa"/>
            <w:bottom w:w="0" w:type="dxa"/>
            <w:right w:w="108" w:type="dxa"/>
          </w:tblCellMar>
        </w:tblPrEx>
        <w:trPr>
          <w:trHeight w:val="1169" w:hRule="atLeast"/>
          <w:jc w:val="center"/>
        </w:trPr>
        <w:tc>
          <w:tcPr>
            <w:tcW w:w="642" w:type="dxa"/>
            <w:tcBorders>
              <w:top w:val="nil"/>
              <w:left w:val="single" w:color="auto" w:sz="8" w:space="0"/>
              <w:bottom w:val="single" w:color="auto" w:sz="4" w:space="0"/>
              <w:right w:val="single" w:color="auto" w:sz="4" w:space="0"/>
            </w:tcBorders>
            <w:noWrap/>
            <w:vAlign w:val="center"/>
          </w:tcPr>
          <w:p w14:paraId="7A3273A2">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2</w:t>
            </w:r>
          </w:p>
        </w:tc>
        <w:tc>
          <w:tcPr>
            <w:tcW w:w="1193" w:type="dxa"/>
            <w:tcBorders>
              <w:top w:val="nil"/>
              <w:left w:val="nil"/>
              <w:bottom w:val="single" w:color="auto" w:sz="4" w:space="0"/>
              <w:right w:val="single" w:color="auto" w:sz="4" w:space="0"/>
            </w:tcBorders>
            <w:noWrap/>
            <w:vAlign w:val="center"/>
          </w:tcPr>
          <w:p w14:paraId="72C3457E">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维修时效</w:t>
            </w:r>
          </w:p>
        </w:tc>
        <w:tc>
          <w:tcPr>
            <w:tcW w:w="709" w:type="dxa"/>
            <w:tcBorders>
              <w:top w:val="nil"/>
              <w:left w:val="nil"/>
              <w:bottom w:val="single" w:color="auto" w:sz="4" w:space="0"/>
              <w:right w:val="single" w:color="auto" w:sz="4" w:space="0"/>
            </w:tcBorders>
            <w:noWrap/>
            <w:vAlign w:val="center"/>
          </w:tcPr>
          <w:p w14:paraId="7E62606C">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25</w:t>
            </w:r>
          </w:p>
        </w:tc>
        <w:tc>
          <w:tcPr>
            <w:tcW w:w="4111" w:type="dxa"/>
            <w:tcBorders>
              <w:top w:val="nil"/>
              <w:left w:val="nil"/>
              <w:bottom w:val="single" w:color="auto" w:sz="4" w:space="0"/>
              <w:right w:val="single" w:color="auto" w:sz="4" w:space="0"/>
            </w:tcBorders>
            <w:noWrap w:val="0"/>
            <w:vAlign w:val="center"/>
          </w:tcPr>
          <w:p w14:paraId="43A64468">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维保内设备，一般故障，当天修复，需外购配件的，2天内修复，如有特殊情况向相关科室申请报备。</w:t>
            </w:r>
          </w:p>
        </w:tc>
        <w:tc>
          <w:tcPr>
            <w:tcW w:w="1925" w:type="dxa"/>
            <w:tcBorders>
              <w:top w:val="nil"/>
              <w:left w:val="nil"/>
              <w:bottom w:val="single" w:color="auto" w:sz="4" w:space="0"/>
              <w:right w:val="single" w:color="auto" w:sz="8" w:space="0"/>
            </w:tcBorders>
            <w:noWrap w:val="0"/>
            <w:vAlign w:val="center"/>
          </w:tcPr>
          <w:p w14:paraId="2E5B7A34">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未达到扣分</w:t>
            </w:r>
          </w:p>
        </w:tc>
      </w:tr>
      <w:tr w14:paraId="32ECC913">
        <w:tblPrEx>
          <w:tblCellMar>
            <w:top w:w="0" w:type="dxa"/>
            <w:left w:w="108" w:type="dxa"/>
            <w:bottom w:w="0" w:type="dxa"/>
            <w:right w:w="108" w:type="dxa"/>
          </w:tblCellMar>
        </w:tblPrEx>
        <w:trPr>
          <w:trHeight w:val="779" w:hRule="atLeast"/>
          <w:jc w:val="center"/>
        </w:trPr>
        <w:tc>
          <w:tcPr>
            <w:tcW w:w="642" w:type="dxa"/>
            <w:tcBorders>
              <w:top w:val="nil"/>
              <w:left w:val="single" w:color="auto" w:sz="8" w:space="0"/>
              <w:bottom w:val="single" w:color="auto" w:sz="4" w:space="0"/>
              <w:right w:val="single" w:color="auto" w:sz="4" w:space="0"/>
            </w:tcBorders>
            <w:noWrap/>
            <w:vAlign w:val="center"/>
          </w:tcPr>
          <w:p w14:paraId="01B87F02">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3</w:t>
            </w:r>
          </w:p>
        </w:tc>
        <w:tc>
          <w:tcPr>
            <w:tcW w:w="1193" w:type="dxa"/>
            <w:tcBorders>
              <w:top w:val="nil"/>
              <w:left w:val="nil"/>
              <w:bottom w:val="single" w:color="auto" w:sz="4" w:space="0"/>
              <w:right w:val="single" w:color="auto" w:sz="4" w:space="0"/>
            </w:tcBorders>
            <w:noWrap/>
            <w:vAlign w:val="center"/>
          </w:tcPr>
          <w:p w14:paraId="20625DAA">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设备保养率</w:t>
            </w:r>
          </w:p>
        </w:tc>
        <w:tc>
          <w:tcPr>
            <w:tcW w:w="709" w:type="dxa"/>
            <w:tcBorders>
              <w:top w:val="nil"/>
              <w:left w:val="nil"/>
              <w:bottom w:val="single" w:color="auto" w:sz="4" w:space="0"/>
              <w:right w:val="single" w:color="auto" w:sz="4" w:space="0"/>
            </w:tcBorders>
            <w:noWrap/>
            <w:vAlign w:val="center"/>
          </w:tcPr>
          <w:p w14:paraId="00E1527E">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20</w:t>
            </w:r>
          </w:p>
        </w:tc>
        <w:tc>
          <w:tcPr>
            <w:tcW w:w="4111" w:type="dxa"/>
            <w:tcBorders>
              <w:top w:val="nil"/>
              <w:left w:val="nil"/>
              <w:bottom w:val="single" w:color="auto" w:sz="4" w:space="0"/>
              <w:right w:val="single" w:color="auto" w:sz="4" w:space="0"/>
            </w:tcBorders>
            <w:noWrap w:val="0"/>
            <w:vAlign w:val="center"/>
          </w:tcPr>
          <w:p w14:paraId="60EFF4A3">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维保内设备每年按合同制定每次保养计划，落实每台保内设备有保养记录，要求达到100%完成率。</w:t>
            </w:r>
          </w:p>
        </w:tc>
        <w:tc>
          <w:tcPr>
            <w:tcW w:w="1925" w:type="dxa"/>
            <w:tcBorders>
              <w:top w:val="nil"/>
              <w:left w:val="nil"/>
              <w:bottom w:val="single" w:color="auto" w:sz="4" w:space="0"/>
              <w:right w:val="single" w:color="auto" w:sz="8" w:space="0"/>
            </w:tcBorders>
            <w:noWrap w:val="0"/>
            <w:vAlign w:val="center"/>
          </w:tcPr>
          <w:p w14:paraId="5953D9DF">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一台设备一次没有保养扣分</w:t>
            </w:r>
          </w:p>
        </w:tc>
      </w:tr>
      <w:tr w14:paraId="10BA0FF6">
        <w:tblPrEx>
          <w:tblCellMar>
            <w:top w:w="0" w:type="dxa"/>
            <w:left w:w="108" w:type="dxa"/>
            <w:bottom w:w="0" w:type="dxa"/>
            <w:right w:w="108" w:type="dxa"/>
          </w:tblCellMar>
        </w:tblPrEx>
        <w:trPr>
          <w:trHeight w:val="595" w:hRule="atLeast"/>
          <w:jc w:val="center"/>
        </w:trPr>
        <w:tc>
          <w:tcPr>
            <w:tcW w:w="642" w:type="dxa"/>
            <w:tcBorders>
              <w:top w:val="nil"/>
              <w:left w:val="single" w:color="auto" w:sz="8" w:space="0"/>
              <w:bottom w:val="single" w:color="auto" w:sz="4" w:space="0"/>
              <w:right w:val="single" w:color="auto" w:sz="4" w:space="0"/>
            </w:tcBorders>
            <w:noWrap/>
            <w:vAlign w:val="center"/>
          </w:tcPr>
          <w:p w14:paraId="4817C1D5">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4</w:t>
            </w:r>
          </w:p>
        </w:tc>
        <w:tc>
          <w:tcPr>
            <w:tcW w:w="1193" w:type="dxa"/>
            <w:tcBorders>
              <w:top w:val="nil"/>
              <w:left w:val="nil"/>
              <w:bottom w:val="single" w:color="auto" w:sz="4" w:space="0"/>
              <w:right w:val="single" w:color="auto" w:sz="4" w:space="0"/>
            </w:tcBorders>
            <w:noWrap/>
            <w:vAlign w:val="center"/>
          </w:tcPr>
          <w:p w14:paraId="67B551B8">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维保内设备完好率</w:t>
            </w:r>
          </w:p>
        </w:tc>
        <w:tc>
          <w:tcPr>
            <w:tcW w:w="709" w:type="dxa"/>
            <w:tcBorders>
              <w:top w:val="nil"/>
              <w:left w:val="nil"/>
              <w:bottom w:val="single" w:color="auto" w:sz="4" w:space="0"/>
              <w:right w:val="single" w:color="auto" w:sz="4" w:space="0"/>
            </w:tcBorders>
            <w:noWrap/>
            <w:vAlign w:val="center"/>
          </w:tcPr>
          <w:p w14:paraId="0A76B5AD">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20</w:t>
            </w:r>
          </w:p>
        </w:tc>
        <w:tc>
          <w:tcPr>
            <w:tcW w:w="4111" w:type="dxa"/>
            <w:tcBorders>
              <w:top w:val="nil"/>
              <w:left w:val="nil"/>
              <w:bottom w:val="single" w:color="auto" w:sz="4" w:space="0"/>
              <w:right w:val="single" w:color="auto" w:sz="4" w:space="0"/>
            </w:tcBorders>
            <w:noWrap w:val="0"/>
            <w:vAlign w:val="center"/>
          </w:tcPr>
          <w:p w14:paraId="42467F20">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维保内设备完好率100%。</w:t>
            </w:r>
          </w:p>
        </w:tc>
        <w:tc>
          <w:tcPr>
            <w:tcW w:w="1925" w:type="dxa"/>
            <w:tcBorders>
              <w:top w:val="nil"/>
              <w:left w:val="nil"/>
              <w:bottom w:val="single" w:color="auto" w:sz="4" w:space="0"/>
              <w:right w:val="single" w:color="auto" w:sz="8" w:space="0"/>
            </w:tcBorders>
            <w:noWrap w:val="0"/>
            <w:vAlign w:val="center"/>
          </w:tcPr>
          <w:p w14:paraId="37C8FFBF">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少一个百分点扣分</w:t>
            </w:r>
          </w:p>
        </w:tc>
      </w:tr>
      <w:tr w14:paraId="4D0B6021">
        <w:tblPrEx>
          <w:tblCellMar>
            <w:top w:w="0" w:type="dxa"/>
            <w:left w:w="108" w:type="dxa"/>
            <w:bottom w:w="0" w:type="dxa"/>
            <w:right w:w="108" w:type="dxa"/>
          </w:tblCellMar>
        </w:tblPrEx>
        <w:trPr>
          <w:trHeight w:val="779" w:hRule="atLeast"/>
          <w:jc w:val="center"/>
        </w:trPr>
        <w:tc>
          <w:tcPr>
            <w:tcW w:w="642" w:type="dxa"/>
            <w:tcBorders>
              <w:top w:val="nil"/>
              <w:left w:val="single" w:color="auto" w:sz="8" w:space="0"/>
              <w:bottom w:val="single" w:color="auto" w:sz="4" w:space="0"/>
              <w:right w:val="single" w:color="auto" w:sz="4" w:space="0"/>
            </w:tcBorders>
            <w:noWrap/>
            <w:vAlign w:val="center"/>
          </w:tcPr>
          <w:p w14:paraId="25F28824">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5</w:t>
            </w:r>
          </w:p>
        </w:tc>
        <w:tc>
          <w:tcPr>
            <w:tcW w:w="1193" w:type="dxa"/>
            <w:tcBorders>
              <w:top w:val="nil"/>
              <w:left w:val="nil"/>
              <w:bottom w:val="single" w:color="auto" w:sz="4" w:space="0"/>
              <w:right w:val="single" w:color="auto" w:sz="4" w:space="0"/>
            </w:tcBorders>
            <w:noWrap/>
            <w:vAlign w:val="center"/>
          </w:tcPr>
          <w:p w14:paraId="1F2F40D2">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操作、保养培训记录</w:t>
            </w:r>
          </w:p>
        </w:tc>
        <w:tc>
          <w:tcPr>
            <w:tcW w:w="709" w:type="dxa"/>
            <w:tcBorders>
              <w:top w:val="nil"/>
              <w:left w:val="nil"/>
              <w:bottom w:val="single" w:color="auto" w:sz="4" w:space="0"/>
              <w:right w:val="single" w:color="auto" w:sz="4" w:space="0"/>
            </w:tcBorders>
            <w:noWrap/>
            <w:vAlign w:val="center"/>
          </w:tcPr>
          <w:p w14:paraId="2250E52D">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12</w:t>
            </w:r>
          </w:p>
        </w:tc>
        <w:tc>
          <w:tcPr>
            <w:tcW w:w="4111" w:type="dxa"/>
            <w:tcBorders>
              <w:top w:val="nil"/>
              <w:left w:val="nil"/>
              <w:bottom w:val="single" w:color="auto" w:sz="4" w:space="0"/>
              <w:right w:val="single" w:color="auto" w:sz="4" w:space="0"/>
            </w:tcBorders>
            <w:noWrap w:val="0"/>
            <w:vAlign w:val="center"/>
          </w:tcPr>
          <w:p w14:paraId="290D6290">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每个季度提交培训计划，提供图片、人员签字等记录。</w:t>
            </w:r>
          </w:p>
        </w:tc>
        <w:tc>
          <w:tcPr>
            <w:tcW w:w="1925" w:type="dxa"/>
            <w:tcBorders>
              <w:top w:val="nil"/>
              <w:left w:val="nil"/>
              <w:bottom w:val="single" w:color="auto" w:sz="4" w:space="0"/>
              <w:right w:val="single" w:color="auto" w:sz="8" w:space="0"/>
            </w:tcBorders>
            <w:noWrap w:val="0"/>
            <w:vAlign w:val="center"/>
          </w:tcPr>
          <w:p w14:paraId="0529613E">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一次未达到扣分</w:t>
            </w:r>
          </w:p>
        </w:tc>
      </w:tr>
      <w:tr w14:paraId="5690CDA1">
        <w:tblPrEx>
          <w:tblCellMar>
            <w:top w:w="0" w:type="dxa"/>
            <w:left w:w="108" w:type="dxa"/>
            <w:bottom w:w="0" w:type="dxa"/>
            <w:right w:w="108" w:type="dxa"/>
          </w:tblCellMar>
        </w:tblPrEx>
        <w:trPr>
          <w:trHeight w:val="615" w:hRule="atLeast"/>
          <w:jc w:val="center"/>
        </w:trPr>
        <w:tc>
          <w:tcPr>
            <w:tcW w:w="642" w:type="dxa"/>
            <w:tcBorders>
              <w:top w:val="nil"/>
              <w:left w:val="single" w:color="auto" w:sz="8" w:space="0"/>
              <w:bottom w:val="single" w:color="auto" w:sz="4" w:space="0"/>
              <w:right w:val="single" w:color="auto" w:sz="4" w:space="0"/>
            </w:tcBorders>
            <w:noWrap/>
            <w:vAlign w:val="center"/>
          </w:tcPr>
          <w:p w14:paraId="76F529A2">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6</w:t>
            </w:r>
          </w:p>
        </w:tc>
        <w:tc>
          <w:tcPr>
            <w:tcW w:w="1193" w:type="dxa"/>
            <w:tcBorders>
              <w:top w:val="nil"/>
              <w:left w:val="nil"/>
              <w:bottom w:val="single" w:color="auto" w:sz="4" w:space="0"/>
              <w:right w:val="single" w:color="auto" w:sz="4" w:space="0"/>
            </w:tcBorders>
            <w:noWrap/>
            <w:vAlign w:val="center"/>
          </w:tcPr>
          <w:p w14:paraId="05FAD8BB">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服务态度</w:t>
            </w:r>
          </w:p>
        </w:tc>
        <w:tc>
          <w:tcPr>
            <w:tcW w:w="709" w:type="dxa"/>
            <w:tcBorders>
              <w:top w:val="nil"/>
              <w:left w:val="nil"/>
              <w:bottom w:val="single" w:color="auto" w:sz="4" w:space="0"/>
              <w:right w:val="single" w:color="auto" w:sz="4" w:space="0"/>
            </w:tcBorders>
            <w:noWrap/>
            <w:vAlign w:val="center"/>
          </w:tcPr>
          <w:p w14:paraId="53AFFF5E">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13</w:t>
            </w:r>
          </w:p>
        </w:tc>
        <w:tc>
          <w:tcPr>
            <w:tcW w:w="4111" w:type="dxa"/>
            <w:tcBorders>
              <w:top w:val="nil"/>
              <w:left w:val="nil"/>
              <w:bottom w:val="single" w:color="auto" w:sz="4" w:space="0"/>
              <w:right w:val="single" w:color="auto" w:sz="4" w:space="0"/>
            </w:tcBorders>
            <w:noWrap w:val="0"/>
            <w:vAlign w:val="center"/>
          </w:tcPr>
          <w:p w14:paraId="7436F60B">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工作时服务态度有问题，被投诉举报等。</w:t>
            </w:r>
          </w:p>
        </w:tc>
        <w:tc>
          <w:tcPr>
            <w:tcW w:w="1925" w:type="dxa"/>
            <w:tcBorders>
              <w:top w:val="nil"/>
              <w:left w:val="nil"/>
              <w:bottom w:val="single" w:color="auto" w:sz="4" w:space="0"/>
              <w:right w:val="single" w:color="auto" w:sz="8" w:space="0"/>
            </w:tcBorders>
            <w:noWrap w:val="0"/>
            <w:vAlign w:val="center"/>
          </w:tcPr>
          <w:p w14:paraId="48E90377">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投诉举报投诉扣分</w:t>
            </w:r>
          </w:p>
        </w:tc>
      </w:tr>
    </w:tbl>
    <w:p w14:paraId="5F63AB0A">
      <w:pPr>
        <w:pStyle w:val="57"/>
        <w:ind w:firstLine="0" w:firstLineChars="0"/>
        <w:jc w:val="left"/>
        <w:rPr>
          <w:rFonts w:ascii="宋体" w:hAnsi="宋体"/>
          <w:color w:val="000000"/>
          <w:sz w:val="24"/>
          <w:szCs w:val="24"/>
        </w:rPr>
      </w:pPr>
      <w:r>
        <w:rPr>
          <w:rFonts w:hint="eastAsia" w:ascii="宋体" w:hAnsi="宋体" w:cs="Arial"/>
          <w:b/>
          <w:sz w:val="24"/>
          <w:szCs w:val="24"/>
        </w:rPr>
        <w:t xml:space="preserve">  </w:t>
      </w:r>
      <w:r>
        <w:rPr>
          <w:rFonts w:hint="eastAsia" w:ascii="宋体" w:hAnsi="宋体"/>
          <w:color w:val="000000"/>
          <w:sz w:val="24"/>
          <w:szCs w:val="24"/>
        </w:rPr>
        <w:t xml:space="preserve">  5、考核评分计算方法：</w:t>
      </w:r>
    </w:p>
    <w:p w14:paraId="4C7DF7DD">
      <w:pPr>
        <w:pStyle w:val="57"/>
        <w:ind w:firstLine="0" w:firstLineChars="0"/>
        <w:jc w:val="left"/>
        <w:rPr>
          <w:rFonts w:ascii="宋体" w:hAnsi="宋体"/>
          <w:color w:val="000000"/>
          <w:sz w:val="24"/>
          <w:szCs w:val="24"/>
        </w:rPr>
      </w:pPr>
      <w:r>
        <w:rPr>
          <w:rFonts w:hint="eastAsia" w:ascii="宋体" w:hAnsi="宋体"/>
          <w:color w:val="000000"/>
          <w:sz w:val="24"/>
          <w:szCs w:val="24"/>
        </w:rPr>
        <w:t>很满意系数1；满意系数0.95；比较满意系数0.85；一般0.7；不满意0.45；很不满意0.2。</w:t>
      </w:r>
    </w:p>
    <w:p w14:paraId="09883350">
      <w:pPr>
        <w:pStyle w:val="57"/>
        <w:ind w:firstLine="0" w:firstLineChars="0"/>
        <w:jc w:val="left"/>
        <w:rPr>
          <w:rFonts w:ascii="宋体" w:hAnsi="宋体"/>
          <w:color w:val="000000"/>
          <w:sz w:val="24"/>
          <w:szCs w:val="24"/>
        </w:rPr>
      </w:pPr>
      <w:r>
        <w:rPr>
          <w:rFonts w:hint="eastAsia" w:ascii="宋体" w:hAnsi="宋体"/>
          <w:color w:val="000000"/>
          <w:sz w:val="24"/>
          <w:szCs w:val="24"/>
        </w:rPr>
        <w:t>参评科室打分=（分值1*调查系数+分值2*调查系数…分值6*调查系数）</w:t>
      </w:r>
    </w:p>
    <w:p w14:paraId="67FA3860">
      <w:pPr>
        <w:pStyle w:val="57"/>
        <w:ind w:firstLine="0" w:firstLineChars="0"/>
        <w:jc w:val="left"/>
        <w:rPr>
          <w:rFonts w:ascii="宋体" w:hAnsi="宋体"/>
          <w:color w:val="000000"/>
          <w:sz w:val="24"/>
          <w:szCs w:val="24"/>
        </w:rPr>
      </w:pPr>
      <w:r>
        <w:rPr>
          <w:rFonts w:hint="eastAsia" w:ascii="宋体" w:hAnsi="宋体"/>
          <w:color w:val="000000"/>
          <w:sz w:val="24"/>
          <w:szCs w:val="24"/>
        </w:rPr>
        <w:t>季度平均得分=各参评科室打分总和/参评科室数量</w:t>
      </w:r>
    </w:p>
    <w:p w14:paraId="6D8D3C50">
      <w:pPr>
        <w:pStyle w:val="57"/>
        <w:ind w:firstLine="0" w:firstLineChars="0"/>
        <w:jc w:val="left"/>
        <w:rPr>
          <w:rFonts w:ascii="宋体" w:hAnsi="宋体"/>
          <w:color w:val="000000"/>
          <w:sz w:val="24"/>
          <w:szCs w:val="24"/>
        </w:rPr>
      </w:pPr>
      <w:r>
        <w:rPr>
          <w:rFonts w:hint="eastAsia" w:ascii="宋体" w:hAnsi="宋体"/>
          <w:color w:val="000000"/>
          <w:sz w:val="24"/>
          <w:szCs w:val="24"/>
        </w:rPr>
        <w:t>年度平均得分=季度平均得分总和/4</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ascii="宋体" w:hAnsi="宋体"/>
          <w:color w:val="000000"/>
          <w:sz w:val="24"/>
          <w:szCs w:val="24"/>
        </w:rPr>
        <w:t>6、违约金扣除标准：按年度平均得分，评分为80分或以上支付全额维保服务费；评分为80分以下每减一分降一个百分点，每降一个百分点扣除年度总服务费的百分之一。年度合同期内季度平均分累计三次评分不足 60 分，</w:t>
      </w:r>
      <w:r>
        <w:rPr>
          <w:rFonts w:hint="eastAsia" w:ascii="宋体" w:hAnsi="宋体"/>
          <w:color w:val="000000"/>
          <w:sz w:val="24"/>
          <w:szCs w:val="24"/>
          <w:lang w:val="en-US" w:eastAsia="zh-CN"/>
        </w:rPr>
        <w:t>甲方</w:t>
      </w:r>
      <w:r>
        <w:rPr>
          <w:rFonts w:hint="eastAsia" w:ascii="宋体" w:hAnsi="宋体"/>
          <w:color w:val="000000"/>
          <w:sz w:val="24"/>
          <w:szCs w:val="24"/>
        </w:rPr>
        <w:t>有权单方面无条件终止合同。</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5DA0CFEA">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中标方未按约定时间提供维保服务、维保返工，经采购方催告后无正当理由仍不履行义务的，自催告后每逾期一日，应每日按合同价款的百分之一向采购方支付违约金，且采购方有权自行委托第三方提供采购方所需要的维保费用，所发生的费用由中标方承担，因此造成采购方损失的，中标方应承担赔偿责任。逾期超过10日的，采购方有权单方解除合同。</w:t>
      </w:r>
    </w:p>
    <w:p w14:paraId="34CE2E69">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有以下情形之一的，采购方有权单方解除合同，并不再支付当期合同款项，中标方应按合同总金额的30%向采购方支付违约金，且应另行赔偿采购方因此遭受的全部损失：</w:t>
      </w:r>
    </w:p>
    <w:p w14:paraId="7C1BFBA3">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（1）中标方发生累计两次或以上违约行为；</w:t>
      </w:r>
    </w:p>
    <w:p w14:paraId="660763EE">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（2）中标方履行义务不符合约定，经采购方提出后合理期限内仍未整改的；</w:t>
      </w:r>
    </w:p>
    <w:p w14:paraId="43E24846">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（3）未经采购方书面同意，中标方将本项目下的权利或义务转让，或将本项目下服务转包或分包的；</w:t>
      </w:r>
    </w:p>
    <w:p w14:paraId="01EC8B90">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（4）中标方在本项目服务期内丧失履行本项目义务的能力、经营资质的；</w:t>
      </w:r>
    </w:p>
    <w:p w14:paraId="732E6888">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（5）年度合同期内季度平均分累计三次评分不足60分。</w:t>
      </w:r>
    </w:p>
    <w:p w14:paraId="584D4F75">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（6）本项目所称之损失包括直接经济损失和合同履行后可以获得的利益及合理的调查费、评估费、公证费、诉讼费、交通费、律师费等相关法律费用。</w:t>
      </w:r>
    </w:p>
    <w:p w14:paraId="20066533">
      <w:pPr>
        <w:ind w:firstLine="480" w:firstLineChars="200"/>
      </w:pPr>
      <w:r>
        <w:rPr>
          <w:rFonts w:hint="eastAsia" w:ascii="宋体" w:hAnsi="宋体" w:eastAsia="宋体" w:cs="宋体"/>
          <w:sz w:val="24"/>
          <w:szCs w:val="24"/>
        </w:rPr>
        <w:t>（7）维修设备时造成的故障扩大化及由此引起的直接损失和间接损失，采购方有权另行委托第三方进行维修处理，由此产生的费用及损失由中标方承担</w:t>
      </w:r>
    </w:p>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57128626"/>
      <w:bookmarkStart w:id="1" w:name="_Toc435115056"/>
      <w:bookmarkStart w:id="2" w:name="_Toc24338"/>
      <w:bookmarkStart w:id="3" w:name="_Toc435514851"/>
      <w:bookmarkStart w:id="4" w:name="_Toc8307306"/>
      <w:bookmarkStart w:id="5" w:name="_Toc9128_WPSOffice_Level1"/>
      <w:bookmarkStart w:id="6" w:name="_Toc2220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5292"/>
      <w:bookmarkStart w:id="8" w:name="_Toc8080"/>
      <w:bookmarkStart w:id="9" w:name="_Toc435514852"/>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0"/>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1"/>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1"/>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24650"/>
      <w:bookmarkStart w:id="17" w:name="_Toc435515295"/>
      <w:bookmarkStart w:id="18" w:name="_Toc275865606"/>
      <w:bookmarkStart w:id="19" w:name="_Toc57128632"/>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9971D98-5322-4BAB-8CB3-D93755D91FE4}"/>
  </w:font>
  <w:font w:name="黑体">
    <w:panose1 w:val="02010609060101010101"/>
    <w:charset w:val="86"/>
    <w:family w:val="auto"/>
    <w:pitch w:val="default"/>
    <w:sig w:usb0="800002BF" w:usb1="38CF7CFA" w:usb2="00000016" w:usb3="00000000" w:csb0="00040001" w:csb1="00000000"/>
    <w:embedRegular r:id="rId2" w:fontKey="{C614D3C0-D76C-441C-AB4F-691314DA8A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F138A445-B06E-47E6-A4EC-EF18F138BEFE}"/>
  </w:font>
  <w:font w:name="华文中宋">
    <w:panose1 w:val="02010600040101010101"/>
    <w:charset w:val="86"/>
    <w:family w:val="auto"/>
    <w:pitch w:val="default"/>
    <w:sig w:usb0="00000287" w:usb1="080F0000" w:usb2="00000000" w:usb3="00000000" w:csb0="0004009F" w:csb1="DFD70000"/>
    <w:embedRegular r:id="rId4" w:fontKey="{0F41FE8E-0788-43DA-A425-1806CF8E7D8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5" w:fontKey="{6BE53806-E8B5-44B0-8F65-9D08109C29ED}"/>
  </w:font>
  <w:font w:name="方正小标宋简体">
    <w:panose1 w:val="0201060103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embedRegular r:id="rId6" w:fontKey="{596D9C4D-13E2-44ED-A066-BF449FA29226}"/>
  </w:font>
  <w:font w:name="方正小标宋_GBK">
    <w:panose1 w:val="02000000000000000000"/>
    <w:charset w:val="86"/>
    <w:family w:val="script"/>
    <w:pitch w:val="default"/>
    <w:sig w:usb0="A00002BF" w:usb1="38CF7CFA" w:usb2="00082016" w:usb3="00000000" w:csb0="00040001" w:csb1="00000000"/>
    <w:embedRegular r:id="rId7" w:fontKey="{96B935E0-94BD-45F0-9C9D-41FF0296CF95}"/>
  </w:font>
  <w:font w:name="楷体_GB2312">
    <w:panose1 w:val="02010609030101010101"/>
    <w:charset w:val="86"/>
    <w:family w:val="modern"/>
    <w:pitch w:val="default"/>
    <w:sig w:usb0="00000001" w:usb1="080E0000" w:usb2="00000000" w:usb3="00000000" w:csb0="00040000" w:csb1="00000000"/>
    <w:embedRegular r:id="rId8" w:fontKey="{1CCCE1DA-CC00-4C86-8886-6E6C22A4C594}"/>
  </w:font>
  <w:font w:name="WPSEMBED1">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4002EFF" w:usb1="C000E47F" w:usb2="00000009" w:usb3="00000000" w:csb0="200001FF" w:csb1="00000000"/>
    <w:embedRegular r:id="rId9" w:fontKey="{598D8FD0-FBE5-41DB-83AD-91D55FD91B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37</Pages>
  <Words>4096</Words>
  <Characters>4342</Characters>
  <Lines>87</Lines>
  <Paragraphs>24</Paragraphs>
  <TotalTime>0</TotalTime>
  <ScaleCrop>false</ScaleCrop>
  <LinksUpToDate>false</LinksUpToDate>
  <CharactersWithSpaces>4417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2025-11-18T06:48:42Z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