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F98C9C">
      <w:pPr>
        <w:widowControl/>
        <w:wordWrap w:val="0"/>
        <w:spacing w:line="420" w:lineRule="exact"/>
        <w:ind w:right="420" w:firstLine="420" w:firstLineChars="200"/>
        <w:rPr>
          <w:rFonts w:eastAsia="宋体"/>
          <w:szCs w:val="21"/>
        </w:rPr>
      </w:pPr>
    </w:p>
    <w:p w14:paraId="7889AFEE">
      <w:pPr>
        <w:snapToGrid w:val="0"/>
        <w:spacing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5E93D12">
      <w:pPr>
        <w:pStyle w:val="28"/>
      </w:pPr>
    </w:p>
    <w:p w14:paraId="78FEC670">
      <w:pPr>
        <w:snapToGrid w:val="0"/>
        <w:spacing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078A6090">
      <w:pPr>
        <w:spacing w:line="360" w:lineRule="auto"/>
        <w:rPr>
          <w:rFonts w:ascii="宋体" w:hAnsi="宋体"/>
          <w:sz w:val="24"/>
        </w:rPr>
      </w:pPr>
    </w:p>
    <w:p w14:paraId="3EECEC95">
      <w:pPr>
        <w:spacing w:line="360" w:lineRule="auto"/>
        <w:rPr>
          <w:rFonts w:ascii="宋体" w:hAnsi="宋体"/>
          <w:sz w:val="24"/>
        </w:rPr>
      </w:pPr>
    </w:p>
    <w:p w14:paraId="4B2D9F97">
      <w:pPr>
        <w:spacing w:line="360" w:lineRule="auto"/>
        <w:rPr>
          <w:rFonts w:ascii="宋体" w:hAnsi="宋体"/>
          <w:sz w:val="24"/>
        </w:rPr>
      </w:pPr>
    </w:p>
    <w:p w14:paraId="168C78ED">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899"/>
        <w:gridCol w:w="2776"/>
        <w:gridCol w:w="3095"/>
        <w:gridCol w:w="2237"/>
      </w:tblGrid>
      <w:tr w14:paraId="22847845">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24AB874">
            <w:pPr>
              <w:jc w:val="center"/>
              <w:rPr>
                <w:rFonts w:eastAsia="宋体"/>
                <w:b/>
                <w:color w:val="000000"/>
                <w:sz w:val="30"/>
                <w:szCs w:val="30"/>
              </w:rPr>
            </w:pPr>
            <w:r>
              <w:rPr>
                <w:rFonts w:hint="eastAsia" w:eastAsia="宋体"/>
                <w:b/>
                <w:color w:val="000000"/>
                <w:sz w:val="30"/>
                <w:szCs w:val="30"/>
              </w:rPr>
              <w:t>2025年第</w:t>
            </w:r>
            <w:r>
              <w:rPr>
                <w:rFonts w:hint="eastAsia" w:eastAsia="宋体"/>
                <w:b/>
                <w:color w:val="000000"/>
                <w:sz w:val="30"/>
                <w:szCs w:val="30"/>
                <w:lang w:val="en-US" w:eastAsia="zh-CN"/>
              </w:rPr>
              <w:t>71</w:t>
            </w:r>
            <w:r>
              <w:rPr>
                <w:rFonts w:hint="eastAsia" w:eastAsia="宋体"/>
                <w:b/>
                <w:color w:val="000000"/>
                <w:sz w:val="30"/>
                <w:szCs w:val="30"/>
              </w:rPr>
              <w:t>期医用耗材</w:t>
            </w:r>
          </w:p>
        </w:tc>
      </w:tr>
      <w:tr w14:paraId="20184A02">
        <w:tblPrEx>
          <w:tblCellMar>
            <w:top w:w="0" w:type="dxa"/>
            <w:left w:w="108" w:type="dxa"/>
            <w:bottom w:w="0" w:type="dxa"/>
            <w:right w:w="108" w:type="dxa"/>
          </w:tblCellMar>
        </w:tblPrEx>
        <w:trPr>
          <w:trHeight w:val="353"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715A60A8">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541" w:type="pct"/>
            <w:tcBorders>
              <w:top w:val="single" w:color="auto" w:sz="4" w:space="0"/>
              <w:left w:val="nil"/>
              <w:bottom w:val="single" w:color="auto" w:sz="4" w:space="0"/>
              <w:right w:val="single" w:color="auto" w:sz="4" w:space="0"/>
            </w:tcBorders>
            <w:shd w:val="clear" w:color="auto" w:fill="auto"/>
            <w:vAlign w:val="center"/>
          </w:tcPr>
          <w:p w14:paraId="2497CE65">
            <w:pPr>
              <w:jc w:val="center"/>
              <w:rPr>
                <w:rFonts w:eastAsia="宋体"/>
                <w:color w:val="000000"/>
                <w:sz w:val="22"/>
              </w:rPr>
            </w:pPr>
            <w:r>
              <w:rPr>
                <w:rFonts w:hint="eastAsia" w:eastAsia="宋体"/>
                <w:color w:val="000000"/>
                <w:sz w:val="22"/>
              </w:rPr>
              <w:t>项目编号</w:t>
            </w:r>
          </w:p>
        </w:tc>
        <w:tc>
          <w:tcPr>
            <w:tcW w:w="1718" w:type="pct"/>
            <w:tcBorders>
              <w:top w:val="single" w:color="auto" w:sz="4" w:space="0"/>
              <w:left w:val="nil"/>
              <w:bottom w:val="single" w:color="auto" w:sz="4" w:space="0"/>
              <w:right w:val="single" w:color="auto" w:sz="4" w:space="0"/>
            </w:tcBorders>
            <w:shd w:val="clear" w:color="auto" w:fill="auto"/>
            <w:vAlign w:val="center"/>
          </w:tcPr>
          <w:p w14:paraId="1FEAE845">
            <w:pPr>
              <w:jc w:val="center"/>
              <w:rPr>
                <w:rFonts w:eastAsia="宋体"/>
                <w:color w:val="000000"/>
                <w:sz w:val="22"/>
              </w:rPr>
            </w:pPr>
            <w:r>
              <w:rPr>
                <w:rFonts w:hint="eastAsia" w:eastAsia="宋体"/>
                <w:color w:val="000000"/>
                <w:sz w:val="22"/>
              </w:rPr>
              <w:t>项目名称</w:t>
            </w:r>
          </w:p>
        </w:tc>
        <w:tc>
          <w:tcPr>
            <w:tcW w:w="1241" w:type="pct"/>
            <w:tcBorders>
              <w:top w:val="single" w:color="auto" w:sz="4" w:space="0"/>
              <w:left w:val="nil"/>
              <w:bottom w:val="single" w:color="auto" w:sz="4" w:space="0"/>
              <w:right w:val="single" w:color="auto" w:sz="4" w:space="0"/>
            </w:tcBorders>
            <w:shd w:val="clear" w:color="auto" w:fill="auto"/>
            <w:vAlign w:val="center"/>
          </w:tcPr>
          <w:p w14:paraId="421486F0">
            <w:pPr>
              <w:jc w:val="center"/>
              <w:rPr>
                <w:rFonts w:eastAsia="宋体"/>
                <w:color w:val="000000"/>
                <w:sz w:val="22"/>
              </w:rPr>
            </w:pPr>
            <w:r>
              <w:rPr>
                <w:rFonts w:hint="eastAsia" w:eastAsia="宋体"/>
                <w:color w:val="000000"/>
                <w:sz w:val="22"/>
              </w:rPr>
              <w:t>是否执行深圳市阳光平台线上采购</w:t>
            </w:r>
          </w:p>
        </w:tc>
      </w:tr>
      <w:tr w14:paraId="4966E7EF">
        <w:tblPrEx>
          <w:tblCellMar>
            <w:top w:w="0" w:type="dxa"/>
            <w:left w:w="108" w:type="dxa"/>
            <w:bottom w:w="0" w:type="dxa"/>
            <w:right w:w="108" w:type="dxa"/>
          </w:tblCellMar>
        </w:tblPrEx>
        <w:trPr>
          <w:trHeight w:val="288"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5BA763B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541" w:type="pct"/>
            <w:tcBorders>
              <w:top w:val="single" w:color="auto" w:sz="4" w:space="0"/>
              <w:left w:val="nil"/>
              <w:bottom w:val="single" w:color="auto" w:sz="4" w:space="0"/>
              <w:right w:val="single" w:color="auto" w:sz="4" w:space="0"/>
            </w:tcBorders>
            <w:shd w:val="clear" w:color="auto" w:fill="auto"/>
            <w:vAlign w:val="center"/>
          </w:tcPr>
          <w:p w14:paraId="24D9492F">
            <w:pPr>
              <w:widowControl/>
              <w:jc w:val="center"/>
              <w:textAlignment w:val="center"/>
              <w:rPr>
                <w:rFonts w:hint="default" w:eastAsia="宋体"/>
                <w:color w:val="000000"/>
                <w:sz w:val="22"/>
                <w:lang w:val="en-US" w:eastAsia="zh-CN"/>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 xml:space="preserve">71 </w:t>
            </w:r>
            <w:r>
              <w:rPr>
                <w:rFonts w:eastAsia="宋体"/>
                <w:color w:val="000000"/>
                <w:kern w:val="0"/>
                <w:sz w:val="22"/>
                <w:szCs w:val="22"/>
              </w:rPr>
              <w:t>-</w:t>
            </w:r>
            <w:r>
              <w:rPr>
                <w:rFonts w:hint="eastAsia" w:eastAsia="宋体"/>
                <w:color w:val="000000"/>
                <w:kern w:val="0"/>
                <w:sz w:val="22"/>
                <w:szCs w:val="22"/>
                <w:lang w:val="en-US" w:eastAsia="zh-CN"/>
              </w:rPr>
              <w:t>313</w:t>
            </w:r>
          </w:p>
        </w:tc>
        <w:tc>
          <w:tcPr>
            <w:tcW w:w="1718" w:type="pct"/>
            <w:tcBorders>
              <w:top w:val="single" w:color="auto" w:sz="4" w:space="0"/>
              <w:left w:val="nil"/>
              <w:bottom w:val="single" w:color="auto" w:sz="4" w:space="0"/>
              <w:right w:val="single" w:color="auto" w:sz="4" w:space="0"/>
            </w:tcBorders>
            <w:shd w:val="clear" w:color="auto" w:fill="auto"/>
            <w:vAlign w:val="center"/>
          </w:tcPr>
          <w:p w14:paraId="6610083A">
            <w:pPr>
              <w:widowControl/>
              <w:jc w:val="center"/>
              <w:textAlignment w:val="center"/>
              <w:rPr>
                <w:rFonts w:eastAsia="宋体"/>
                <w:color w:val="000000"/>
                <w:sz w:val="22"/>
              </w:rPr>
            </w:pPr>
            <w:r>
              <w:rPr>
                <w:rFonts w:hint="eastAsia" w:eastAsia="宋体"/>
                <w:color w:val="000000"/>
                <w:sz w:val="22"/>
              </w:rPr>
              <w:t>可吸收骨折内固定螺钉</w:t>
            </w:r>
          </w:p>
        </w:tc>
        <w:tc>
          <w:tcPr>
            <w:tcW w:w="1241" w:type="pct"/>
            <w:tcBorders>
              <w:top w:val="single" w:color="auto" w:sz="4" w:space="0"/>
              <w:left w:val="nil"/>
              <w:bottom w:val="single" w:color="auto" w:sz="4" w:space="0"/>
              <w:right w:val="single" w:color="auto" w:sz="4" w:space="0"/>
            </w:tcBorders>
            <w:shd w:val="clear" w:color="auto" w:fill="auto"/>
            <w:vAlign w:val="center"/>
          </w:tcPr>
          <w:p w14:paraId="259E41E4">
            <w:pPr>
              <w:widowControl/>
              <w:jc w:val="center"/>
              <w:textAlignment w:val="center"/>
              <w:rPr>
                <w:rFonts w:eastAsia="宋体"/>
                <w:color w:val="000000"/>
                <w:sz w:val="22"/>
              </w:rPr>
            </w:pPr>
            <w:r>
              <w:rPr>
                <w:rFonts w:hint="eastAsia" w:eastAsia="宋体"/>
                <w:color w:val="000000"/>
                <w:sz w:val="22"/>
              </w:rPr>
              <w:t>是</w:t>
            </w:r>
          </w:p>
        </w:tc>
      </w:tr>
      <w:tr w14:paraId="168791A0">
        <w:tblPrEx>
          <w:tblCellMar>
            <w:top w:w="0" w:type="dxa"/>
            <w:left w:w="108" w:type="dxa"/>
            <w:bottom w:w="0" w:type="dxa"/>
            <w:right w:w="108" w:type="dxa"/>
          </w:tblCellMar>
        </w:tblPrEx>
        <w:trPr>
          <w:trHeight w:val="415"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62060D66">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541" w:type="pct"/>
            <w:tcBorders>
              <w:top w:val="single" w:color="auto" w:sz="4" w:space="0"/>
              <w:left w:val="nil"/>
              <w:bottom w:val="single" w:color="auto" w:sz="4" w:space="0"/>
              <w:right w:val="single" w:color="auto" w:sz="4" w:space="0"/>
            </w:tcBorders>
            <w:shd w:val="clear" w:color="auto" w:fill="auto"/>
            <w:vAlign w:val="center"/>
          </w:tcPr>
          <w:p w14:paraId="173AF4FB">
            <w:pPr>
              <w:widowControl/>
              <w:jc w:val="center"/>
              <w:textAlignment w:val="center"/>
              <w:rPr>
                <w:rFonts w:hint="default" w:ascii="Times New Roman" w:hAnsi="Times New Roman" w:eastAsia="宋体" w:cs="Times New Roman"/>
                <w:color w:val="000000"/>
                <w:kern w:val="0"/>
                <w:sz w:val="22"/>
                <w:szCs w:val="22"/>
                <w:lang w:val="en-US" w:eastAsia="zh-CN"/>
              </w:rPr>
            </w:pPr>
            <w:r>
              <w:rPr>
                <w:rFonts w:hint="eastAsia" w:ascii="Times New Roman" w:hAnsi="Times New Roman" w:eastAsia="宋体" w:cs="Times New Roman"/>
                <w:color w:val="000000"/>
                <w:kern w:val="0"/>
                <w:sz w:val="22"/>
                <w:szCs w:val="22"/>
                <w:lang w:val="en-US" w:eastAsia="zh-CN"/>
              </w:rPr>
              <w:t>ZCB2025-HC71-314-A</w:t>
            </w:r>
          </w:p>
        </w:tc>
        <w:tc>
          <w:tcPr>
            <w:tcW w:w="1718" w:type="pct"/>
            <w:tcBorders>
              <w:top w:val="single" w:color="auto" w:sz="4" w:space="0"/>
              <w:left w:val="nil"/>
              <w:bottom w:val="single" w:color="auto" w:sz="4" w:space="0"/>
              <w:right w:val="single" w:color="auto" w:sz="4" w:space="0"/>
            </w:tcBorders>
            <w:shd w:val="clear" w:color="auto" w:fill="auto"/>
            <w:vAlign w:val="center"/>
          </w:tcPr>
          <w:p w14:paraId="457E0BDF">
            <w:p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医用高分子夹板</w:t>
            </w:r>
            <w:r>
              <w:rPr>
                <w:rFonts w:hint="eastAsia" w:eastAsia="宋体"/>
                <w:color w:val="000000"/>
                <w:kern w:val="0"/>
                <w:sz w:val="22"/>
                <w:szCs w:val="22"/>
                <w:lang w:val="en-US" w:eastAsia="zh-CN"/>
              </w:rPr>
              <w:t>（A包）</w:t>
            </w:r>
          </w:p>
        </w:tc>
        <w:tc>
          <w:tcPr>
            <w:tcW w:w="1241" w:type="pct"/>
            <w:tcBorders>
              <w:top w:val="single" w:color="auto" w:sz="4" w:space="0"/>
              <w:left w:val="nil"/>
              <w:bottom w:val="single" w:color="auto" w:sz="4" w:space="0"/>
              <w:right w:val="single" w:color="auto" w:sz="4" w:space="0"/>
            </w:tcBorders>
            <w:shd w:val="clear" w:color="auto" w:fill="auto"/>
            <w:vAlign w:val="center"/>
          </w:tcPr>
          <w:p w14:paraId="0B4121B1">
            <w:pPr>
              <w:widowControl/>
              <w:jc w:val="center"/>
              <w:textAlignment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是</w:t>
            </w:r>
          </w:p>
        </w:tc>
      </w:tr>
      <w:tr w14:paraId="6C4A5BC3">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762DC0B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541" w:type="pct"/>
            <w:tcBorders>
              <w:top w:val="single" w:color="auto" w:sz="4" w:space="0"/>
              <w:left w:val="nil"/>
              <w:bottom w:val="single" w:color="auto" w:sz="4" w:space="0"/>
              <w:right w:val="single" w:color="auto" w:sz="4" w:space="0"/>
            </w:tcBorders>
            <w:shd w:val="clear" w:color="auto" w:fill="auto"/>
            <w:vAlign w:val="center"/>
          </w:tcPr>
          <w:p w14:paraId="501BFDDA">
            <w:pPr>
              <w:widowControl/>
              <w:jc w:val="center"/>
              <w:textAlignment w:val="center"/>
              <w:rPr>
                <w:rFonts w:hint="default" w:ascii="Times New Roman" w:hAnsi="Times New Roman" w:eastAsia="宋体" w:cs="Times New Roman"/>
                <w:color w:val="000000"/>
                <w:kern w:val="0"/>
                <w:sz w:val="22"/>
                <w:szCs w:val="22"/>
                <w:lang w:val="en-US" w:eastAsia="zh-CN"/>
              </w:rPr>
            </w:pPr>
            <w:r>
              <w:rPr>
                <w:rFonts w:hint="eastAsia" w:ascii="Times New Roman" w:hAnsi="Times New Roman" w:eastAsia="宋体" w:cs="Times New Roman"/>
                <w:color w:val="000000"/>
                <w:kern w:val="0"/>
                <w:sz w:val="22"/>
                <w:szCs w:val="22"/>
                <w:lang w:val="en-US" w:eastAsia="zh-CN"/>
              </w:rPr>
              <w:t>ZCB2025-HC71-314-B</w:t>
            </w:r>
          </w:p>
        </w:tc>
        <w:tc>
          <w:tcPr>
            <w:tcW w:w="1718" w:type="pct"/>
            <w:tcBorders>
              <w:top w:val="single" w:color="auto" w:sz="4" w:space="0"/>
              <w:left w:val="nil"/>
              <w:bottom w:val="single" w:color="auto" w:sz="4" w:space="0"/>
              <w:right w:val="single" w:color="auto" w:sz="4" w:space="0"/>
            </w:tcBorders>
            <w:shd w:val="clear" w:color="auto" w:fill="auto"/>
            <w:vAlign w:val="center"/>
          </w:tcPr>
          <w:p w14:paraId="68B9563C">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医用高分子夹板</w:t>
            </w:r>
            <w:r>
              <w:rPr>
                <w:rFonts w:hint="eastAsia" w:asciiTheme="minorHAnsi" w:hAnsiTheme="minorHAnsi" w:cstheme="minorBidi"/>
                <w:color w:val="000000"/>
                <w:sz w:val="22"/>
                <w:szCs w:val="22"/>
                <w:lang w:eastAsia="zh-CN"/>
              </w:rPr>
              <w:t>（</w:t>
            </w:r>
            <w:r>
              <w:rPr>
                <w:rFonts w:hint="eastAsia" w:asciiTheme="minorHAnsi" w:hAnsiTheme="minorHAnsi" w:cstheme="minorBidi"/>
                <w:color w:val="000000"/>
                <w:sz w:val="22"/>
                <w:szCs w:val="22"/>
                <w:lang w:val="en-US" w:eastAsia="zh-CN"/>
              </w:rPr>
              <w:t>B包</w:t>
            </w:r>
            <w:r>
              <w:rPr>
                <w:rFonts w:hint="eastAsia" w:asciiTheme="minorHAnsi" w:hAnsiTheme="minorHAnsi" w:cstheme="minorBidi"/>
                <w:color w:val="000000"/>
                <w:sz w:val="22"/>
                <w:szCs w:val="22"/>
                <w:lang w:eastAsia="zh-CN"/>
              </w:rPr>
              <w:t>）</w:t>
            </w:r>
          </w:p>
        </w:tc>
        <w:tc>
          <w:tcPr>
            <w:tcW w:w="1241" w:type="pct"/>
            <w:tcBorders>
              <w:top w:val="single" w:color="auto" w:sz="4" w:space="0"/>
              <w:left w:val="nil"/>
              <w:bottom w:val="single" w:color="auto" w:sz="4" w:space="0"/>
              <w:right w:val="single" w:color="auto" w:sz="4" w:space="0"/>
            </w:tcBorders>
            <w:shd w:val="clear" w:color="auto" w:fill="auto"/>
            <w:vAlign w:val="center"/>
          </w:tcPr>
          <w:p w14:paraId="2CEFF25A">
            <w:pPr>
              <w:widowControl/>
              <w:jc w:val="center"/>
              <w:textAlignment w:val="center"/>
              <w:rPr>
                <w:rFonts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1A189F79">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443FB1B5">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1541" w:type="pct"/>
            <w:tcBorders>
              <w:top w:val="single" w:color="auto" w:sz="4" w:space="0"/>
              <w:left w:val="nil"/>
              <w:bottom w:val="single" w:color="auto" w:sz="4" w:space="0"/>
              <w:right w:val="single" w:color="auto" w:sz="4" w:space="0"/>
            </w:tcBorders>
            <w:shd w:val="clear" w:color="auto" w:fill="auto"/>
            <w:vAlign w:val="center"/>
          </w:tcPr>
          <w:p w14:paraId="2A3D816E">
            <w:pPr>
              <w:widowControl/>
              <w:jc w:val="center"/>
              <w:textAlignment w:val="center"/>
              <w:rPr>
                <w:rFonts w:hint="default" w:eastAsia="宋体" w:asciiTheme="minorHAnsi" w:hAnsiTheme="minorHAnsi" w:cstheme="minorBidi"/>
                <w:kern w:val="2"/>
                <w:sz w:val="21"/>
                <w:szCs w:val="22"/>
                <w:lang w:val="en-US" w:eastAsia="zh-CN" w:bidi="ar-SA"/>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71</w:t>
            </w:r>
            <w:r>
              <w:rPr>
                <w:rFonts w:eastAsia="宋体"/>
                <w:color w:val="000000"/>
                <w:kern w:val="0"/>
                <w:sz w:val="22"/>
                <w:szCs w:val="22"/>
              </w:rPr>
              <w:t>-</w:t>
            </w:r>
            <w:r>
              <w:rPr>
                <w:rFonts w:hint="eastAsia" w:eastAsia="宋体"/>
                <w:color w:val="000000"/>
                <w:kern w:val="0"/>
                <w:sz w:val="22"/>
                <w:szCs w:val="22"/>
                <w:lang w:val="en-US" w:eastAsia="zh-CN"/>
              </w:rPr>
              <w:t>315</w:t>
            </w:r>
          </w:p>
        </w:tc>
        <w:tc>
          <w:tcPr>
            <w:tcW w:w="1718" w:type="pct"/>
            <w:tcBorders>
              <w:top w:val="single" w:color="auto" w:sz="4" w:space="0"/>
              <w:left w:val="nil"/>
              <w:bottom w:val="single" w:color="auto" w:sz="4" w:space="0"/>
              <w:right w:val="single" w:color="auto" w:sz="4" w:space="0"/>
            </w:tcBorders>
            <w:shd w:val="clear" w:color="auto" w:fill="auto"/>
            <w:vAlign w:val="center"/>
          </w:tcPr>
          <w:p w14:paraId="109436BD">
            <w:pPr>
              <w:widowControl/>
              <w:jc w:val="center"/>
              <w:textAlignment w:val="center"/>
              <w:rPr>
                <w:rFonts w:asciiTheme="minorHAnsi" w:hAnsiTheme="minorHAnsi" w:eastAsiaTheme="minorEastAsia" w:cstheme="minorBidi"/>
                <w:color w:val="000000"/>
                <w:kern w:val="2"/>
                <w:sz w:val="22"/>
                <w:szCs w:val="22"/>
                <w:lang w:val="en-US" w:eastAsia="zh-CN" w:bidi="ar-SA"/>
              </w:rPr>
            </w:pPr>
            <w:r>
              <w:rPr>
                <w:rFonts w:hint="eastAsia" w:eastAsia="宋体"/>
                <w:color w:val="000000"/>
                <w:sz w:val="22"/>
              </w:rPr>
              <w:t>生物刺激反馈仪配套耗材</w:t>
            </w:r>
          </w:p>
        </w:tc>
        <w:tc>
          <w:tcPr>
            <w:tcW w:w="1241" w:type="pct"/>
            <w:tcBorders>
              <w:top w:val="single" w:color="auto" w:sz="4" w:space="0"/>
              <w:left w:val="nil"/>
              <w:bottom w:val="single" w:color="auto" w:sz="4" w:space="0"/>
              <w:right w:val="single" w:color="auto" w:sz="4" w:space="0"/>
            </w:tcBorders>
            <w:shd w:val="clear" w:color="auto" w:fill="auto"/>
            <w:vAlign w:val="center"/>
          </w:tcPr>
          <w:p w14:paraId="1BF86628">
            <w:pPr>
              <w:widowControl/>
              <w:jc w:val="center"/>
              <w:textAlignment w:val="center"/>
              <w:rPr>
                <w:rFonts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245F8019">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70B2BB4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w:t>
            </w:r>
          </w:p>
        </w:tc>
        <w:tc>
          <w:tcPr>
            <w:tcW w:w="1541" w:type="pct"/>
            <w:tcBorders>
              <w:top w:val="single" w:color="auto" w:sz="4" w:space="0"/>
              <w:left w:val="nil"/>
              <w:bottom w:val="single" w:color="auto" w:sz="4" w:space="0"/>
              <w:right w:val="single" w:color="auto" w:sz="4" w:space="0"/>
            </w:tcBorders>
            <w:shd w:val="clear" w:color="auto" w:fill="auto"/>
            <w:vAlign w:val="center"/>
          </w:tcPr>
          <w:p w14:paraId="6C776C82">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71</w:t>
            </w:r>
            <w:r>
              <w:rPr>
                <w:rFonts w:eastAsia="宋体"/>
                <w:color w:val="000000"/>
                <w:kern w:val="0"/>
                <w:sz w:val="22"/>
                <w:szCs w:val="22"/>
              </w:rPr>
              <w:t>-</w:t>
            </w:r>
            <w:r>
              <w:rPr>
                <w:rFonts w:hint="eastAsia" w:eastAsia="宋体"/>
                <w:color w:val="000000"/>
                <w:kern w:val="0"/>
                <w:sz w:val="22"/>
                <w:szCs w:val="22"/>
                <w:lang w:val="en-US" w:eastAsia="zh-CN"/>
              </w:rPr>
              <w:t>316</w:t>
            </w:r>
          </w:p>
        </w:tc>
        <w:tc>
          <w:tcPr>
            <w:tcW w:w="1718" w:type="pct"/>
            <w:tcBorders>
              <w:top w:val="single" w:color="auto" w:sz="4" w:space="0"/>
              <w:left w:val="nil"/>
              <w:bottom w:val="single" w:color="auto" w:sz="4" w:space="0"/>
              <w:right w:val="single" w:color="auto" w:sz="4" w:space="0"/>
            </w:tcBorders>
            <w:shd w:val="clear" w:color="auto" w:fill="auto"/>
            <w:vAlign w:val="center"/>
          </w:tcPr>
          <w:p w14:paraId="296A62CA">
            <w:pPr>
              <w:widowControl/>
              <w:jc w:val="center"/>
              <w:textAlignment w:val="center"/>
              <w:rPr>
                <w:rFonts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聚乳酸防粘连凝胶</w:t>
            </w:r>
          </w:p>
        </w:tc>
        <w:tc>
          <w:tcPr>
            <w:tcW w:w="1241" w:type="pct"/>
            <w:tcBorders>
              <w:top w:val="single" w:color="auto" w:sz="4" w:space="0"/>
              <w:left w:val="nil"/>
              <w:bottom w:val="single" w:color="auto" w:sz="4" w:space="0"/>
              <w:right w:val="single" w:color="auto" w:sz="4" w:space="0"/>
            </w:tcBorders>
            <w:shd w:val="clear" w:color="auto" w:fill="auto"/>
            <w:vAlign w:val="center"/>
          </w:tcPr>
          <w:p w14:paraId="673F8EE3">
            <w:pPr>
              <w:widowControl/>
              <w:jc w:val="center"/>
              <w:textAlignment w:val="center"/>
              <w:rPr>
                <w:rFonts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bl>
    <w:p w14:paraId="04943F8E">
      <w:pPr>
        <w:pStyle w:val="11"/>
        <w:spacing w:line="360" w:lineRule="auto"/>
        <w:ind w:firstLine="422" w:firstLineChars="132"/>
        <w:jc w:val="center"/>
        <w:rPr>
          <w:rFonts w:ascii="黑体" w:hAnsi="黑体" w:eastAsia="黑体" w:cs="黑体"/>
          <w:b/>
          <w:sz w:val="32"/>
        </w:rPr>
      </w:pPr>
    </w:p>
    <w:p w14:paraId="6ABF4684">
      <w:pPr>
        <w:pStyle w:val="11"/>
        <w:spacing w:line="360" w:lineRule="auto"/>
        <w:rPr>
          <w:rFonts w:ascii="黑体" w:hAnsi="黑体" w:eastAsia="黑体" w:cs="黑体"/>
          <w:b/>
          <w:sz w:val="32"/>
        </w:rPr>
      </w:pPr>
    </w:p>
    <w:p w14:paraId="76F0D77E">
      <w:pPr>
        <w:spacing w:line="360" w:lineRule="auto"/>
        <w:rPr>
          <w:rFonts w:ascii="黑体" w:hAnsi="黑体" w:eastAsia="黑体" w:cs="黑体"/>
          <w:sz w:val="30"/>
        </w:rPr>
      </w:pPr>
    </w:p>
    <w:p w14:paraId="1B79A7FD">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6B4788B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2025年</w:t>
      </w:r>
    </w:p>
    <w:p w14:paraId="5E888600">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245CFDC1">
          <w:pPr>
            <w:pStyle w:val="66"/>
            <w:rPr>
              <w:rFonts w:ascii="黑体" w:hAnsi="黑体" w:eastAsia="黑体" w:cs="黑体"/>
              <w:b w:val="0"/>
              <w:bCs w:val="0"/>
              <w:sz w:val="32"/>
              <w:szCs w:val="32"/>
            </w:rPr>
          </w:pPr>
        </w:p>
        <w:p w14:paraId="57EE6BDB">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0C8441B4">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54A4F500">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4040A20D">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059635F6">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0A812280">
          <w:pPr>
            <w:pStyle w:val="21"/>
            <w:rPr>
              <w:rFonts w:ascii="黑体" w:hAnsi="黑体" w:eastAsia="黑体" w:cs="黑体"/>
              <w:sz w:val="32"/>
              <w:szCs w:val="32"/>
            </w:rPr>
          </w:pPr>
          <w:r>
            <w:rPr>
              <w:rFonts w:hint="eastAsia" w:ascii="黑体" w:hAnsi="黑体" w:eastAsia="黑体" w:cs="黑体"/>
              <w:sz w:val="32"/>
              <w:szCs w:val="32"/>
            </w:rPr>
            <w:t>第四章 评审规则</w:t>
          </w:r>
        </w:p>
        <w:p w14:paraId="7455C162">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D646C4C">
          <w:pPr>
            <w:rPr>
              <w:rFonts w:ascii="黑体" w:hAnsi="黑体" w:eastAsia="黑体" w:cs="黑体"/>
              <w:sz w:val="32"/>
              <w:szCs w:val="32"/>
            </w:rPr>
          </w:pPr>
          <w:r>
            <w:rPr>
              <w:rFonts w:hint="eastAsia" w:ascii="黑体" w:hAnsi="黑体" w:eastAsia="黑体" w:cs="黑体"/>
              <w:sz w:val="32"/>
              <w:szCs w:val="32"/>
            </w:rPr>
            <w:t>第六章 合同的文本</w:t>
          </w:r>
        </w:p>
        <w:p w14:paraId="01BDBEA6">
          <w:pPr>
            <w:rPr>
              <w:rFonts w:ascii="黑体" w:hAnsi="黑体" w:eastAsia="黑体" w:cs="黑体"/>
              <w:sz w:val="32"/>
              <w:szCs w:val="32"/>
            </w:rPr>
          </w:pPr>
          <w:r>
            <w:rPr>
              <w:rFonts w:hint="eastAsia" w:ascii="黑体" w:hAnsi="黑体" w:eastAsia="黑体" w:cs="黑体"/>
              <w:sz w:val="32"/>
              <w:szCs w:val="32"/>
            </w:rPr>
            <w:t>第七章 投标文件格式</w:t>
          </w:r>
        </w:p>
        <w:p w14:paraId="578538CD">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189657A9">
      <w:pPr>
        <w:pStyle w:val="78"/>
      </w:pPr>
      <w:r>
        <w:rPr>
          <w:rFonts w:hint="eastAsia" w:ascii="方正小标宋简体" w:hAnsi="方正小标宋简体" w:eastAsia="方正小标宋简体" w:cs="方正小标宋简体"/>
          <w:bCs w:val="0"/>
          <w:sz w:val="44"/>
          <w:szCs w:val="44"/>
        </w:rPr>
        <w:t>第一章 2025年第</w:t>
      </w:r>
      <w:r>
        <w:rPr>
          <w:rFonts w:hint="eastAsia" w:ascii="方正小标宋简体" w:hAnsi="方正小标宋简体" w:eastAsia="方正小标宋简体" w:cs="方正小标宋简体"/>
          <w:bCs w:val="0"/>
          <w:color w:val="FF0000"/>
          <w:sz w:val="44"/>
          <w:szCs w:val="44"/>
          <w:lang w:val="en-US" w:eastAsia="zh-CN"/>
        </w:rPr>
        <w:t>71</w:t>
      </w:r>
      <w:r>
        <w:rPr>
          <w:rFonts w:hint="eastAsia" w:ascii="方正小标宋简体" w:hAnsi="方正小标宋简体" w:eastAsia="方正小标宋简体" w:cs="方正小标宋简体"/>
          <w:bCs w:val="0"/>
          <w:sz w:val="44"/>
          <w:szCs w:val="44"/>
        </w:rPr>
        <w:t>期医用耗材采购公告</w:t>
      </w:r>
    </w:p>
    <w:p w14:paraId="5660F85D">
      <w:pPr>
        <w:pStyle w:val="70"/>
        <w:jc w:val="center"/>
        <w:rPr>
          <w:rFonts w:cs="Tahoma"/>
          <w:sz w:val="24"/>
          <w:szCs w:val="24"/>
        </w:rPr>
      </w:pPr>
      <w:bookmarkStart w:id="1" w:name="_Toc992"/>
      <w:r>
        <w:rPr>
          <w:rFonts w:hint="eastAsia" w:cs="Tahoma"/>
          <w:b/>
          <w:bCs/>
          <w:sz w:val="24"/>
          <w:szCs w:val="24"/>
        </w:rPr>
        <w:t>第一部分采购邀请函</w:t>
      </w:r>
    </w:p>
    <w:p w14:paraId="6582B61A">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75D4F1F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7C27B3F3">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项目名称：2025年第</w:t>
      </w:r>
      <w:r>
        <w:rPr>
          <w:rFonts w:hint="eastAsia" w:ascii="Tahoma" w:hAnsi="Tahoma" w:cs="宋体"/>
          <w:kern w:val="0"/>
          <w:szCs w:val="21"/>
          <w:lang w:val="en-US" w:eastAsia="zh-CN"/>
        </w:rPr>
        <w:t>71</w:t>
      </w:r>
      <w:r>
        <w:rPr>
          <w:rFonts w:hint="eastAsia" w:ascii="Tahoma" w:hAnsi="Tahoma" w:cs="宋体"/>
          <w:kern w:val="0"/>
          <w:szCs w:val="21"/>
        </w:rPr>
        <w:t>期医用耗材</w:t>
      </w:r>
    </w:p>
    <w:p w14:paraId="1835957B">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41754507">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19B52F9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3C1998C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7288C66B">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74503D1">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56605967">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22157627">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7202EEA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581665A2">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22C6BDC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6A283C0D">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7B94DE3A">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10402BE7">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5574AB72">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4E449D3">
      <w:pPr>
        <w:adjustRightInd w:val="0"/>
        <w:snapToGrid w:val="0"/>
        <w:spacing w:line="440" w:lineRule="atLeast"/>
        <w:ind w:firstLine="420" w:firstLineChars="200"/>
        <w:rPr>
          <w:color w:val="000000"/>
          <w:szCs w:val="21"/>
          <w:highlight w:val="yellow"/>
        </w:rPr>
      </w:pPr>
      <w:r>
        <w:rPr>
          <w:rFonts w:hint="eastAsia"/>
          <w:color w:val="000000"/>
          <w:szCs w:val="21"/>
          <w:highlight w:val="yellow"/>
        </w:rPr>
        <w:t>报名时间：自公告之日起至2025年</w:t>
      </w:r>
      <w:r>
        <w:rPr>
          <w:rFonts w:hint="eastAsia"/>
          <w:color w:val="000000"/>
          <w:szCs w:val="21"/>
          <w:highlight w:val="yellow"/>
          <w:lang w:val="en-US" w:eastAsia="zh-CN"/>
        </w:rPr>
        <w:t>10</w:t>
      </w:r>
      <w:r>
        <w:rPr>
          <w:rFonts w:hint="eastAsia"/>
          <w:color w:val="000000"/>
          <w:szCs w:val="21"/>
          <w:highlight w:val="yellow"/>
        </w:rPr>
        <w:t>月</w:t>
      </w:r>
      <w:r>
        <w:rPr>
          <w:rFonts w:hint="eastAsia"/>
          <w:color w:val="000000"/>
          <w:szCs w:val="21"/>
          <w:highlight w:val="yellow"/>
          <w:lang w:val="en-US" w:eastAsia="zh-CN"/>
        </w:rPr>
        <w:t>30</w:t>
      </w:r>
      <w:bookmarkStart w:id="30" w:name="_GoBack"/>
      <w:bookmarkEnd w:id="30"/>
      <w:r>
        <w:rPr>
          <w:rFonts w:hint="eastAsia"/>
          <w:color w:val="000000"/>
          <w:szCs w:val="21"/>
          <w:highlight w:val="yellow"/>
        </w:rPr>
        <w:t>日下午5：00</w:t>
      </w:r>
    </w:p>
    <w:p w14:paraId="76CD0E06">
      <w:pPr>
        <w:adjustRightInd w:val="0"/>
        <w:snapToGrid w:val="0"/>
        <w:spacing w:line="440" w:lineRule="atLeast"/>
        <w:ind w:firstLine="422" w:firstLineChars="200"/>
        <w:rPr>
          <w:color w:val="000000"/>
        </w:rPr>
      </w:pPr>
      <w:r>
        <w:rPr>
          <w:rFonts w:hint="eastAsia" w:ascii="Tahoma" w:hAnsi="Tahoma" w:cs="宋体"/>
          <w:b/>
          <w:bCs/>
          <w:szCs w:val="21"/>
        </w:rPr>
        <w:t>投标人将以下资格审查资料</w:t>
      </w:r>
      <w:r>
        <w:rPr>
          <w:rFonts w:hint="eastAsia"/>
          <w:color w:val="000000"/>
          <w:szCs w:val="21"/>
        </w:rPr>
        <w:t>加盖公章扫描成电子版发送至电子邮箱：zdbycgb@163.com</w:t>
      </w:r>
      <w:r>
        <w:rPr>
          <w:rFonts w:hint="eastAsia" w:ascii="Tahoma" w:hAnsi="Tahoma" w:cs="宋体"/>
          <w:kern w:val="0"/>
          <w:szCs w:val="21"/>
        </w:rPr>
        <w:t>（资格审查资料属于采购档案的一部分）：</w:t>
      </w:r>
    </w:p>
    <w:p w14:paraId="3FE52E8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2025年第*期**项目医用耗材投标报名及资格审查文件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98C9FE">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2EE6656A">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4CDFD379">
      <w:pPr>
        <w:adjustRightInd w:val="0"/>
        <w:snapToGrid w:val="0"/>
        <w:spacing w:line="440" w:lineRule="atLeast"/>
        <w:ind w:firstLine="422" w:firstLineChars="200"/>
        <w:rPr>
          <w:rFonts w:ascii="宋体" w:hAnsi="宋体" w:cs="宋体"/>
          <w:b/>
          <w:color w:val="000000"/>
          <w:szCs w:val="21"/>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未收到通知无需先行递交纸质资料</w:t>
      </w:r>
      <w:r>
        <w:rPr>
          <w:rFonts w:hint="eastAsia"/>
          <w:b/>
          <w:bCs/>
          <w:color w:val="000000"/>
          <w:szCs w:val="21"/>
          <w:highlight w:val="yellow"/>
          <w:lang w:eastAsia="zh-CN"/>
        </w:rPr>
        <w:t>】【</w:t>
      </w:r>
      <w:r>
        <w:rPr>
          <w:rFonts w:hint="eastAsia"/>
          <w:b/>
          <w:bCs/>
          <w:color w:val="000000"/>
          <w:szCs w:val="21"/>
          <w:highlight w:val="yellow"/>
          <w:lang w:val="en-US" w:eastAsia="zh-CN"/>
        </w:rPr>
        <w:t>纸质资料的递交时间不受报名时间截止的限制</w:t>
      </w:r>
      <w:r>
        <w:rPr>
          <w:rFonts w:hint="eastAsia"/>
          <w:b/>
          <w:bCs/>
          <w:color w:val="000000"/>
          <w:szCs w:val="21"/>
          <w:highlight w:val="yellow"/>
          <w:lang w:eastAsia="zh-CN"/>
        </w:rPr>
        <w:t>】</w:t>
      </w:r>
    </w:p>
    <w:p w14:paraId="2B4FB5D9">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highlight w:val="yellow"/>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rPr>
        <w:t>请勿混合打包，以免遗漏项目</w:t>
      </w:r>
      <w:r>
        <w:rPr>
          <w:rFonts w:ascii="宋体" w:hAnsi="宋体" w:cs="宋体"/>
          <w:b/>
          <w:color w:val="000000"/>
          <w:szCs w:val="21"/>
        </w:rPr>
        <w:t>）。</w:t>
      </w:r>
    </w:p>
    <w:p w14:paraId="299D334F">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686877F3">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6586830D">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rPr>
        <w:t>2025</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11</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6</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下</w:t>
      </w:r>
      <w:r>
        <w:rPr>
          <w:rFonts w:hint="eastAsia" w:ascii="宋体" w:hAnsi="宋体" w:eastAsia="宋体" w:cs="宋体"/>
          <w:b/>
          <w:bCs/>
          <w:color w:val="000000"/>
          <w:sz w:val="20"/>
          <w:szCs w:val="20"/>
          <w:highlight w:val="yellow"/>
          <w:u w:val="single"/>
        </w:rPr>
        <w:t>午</w:t>
      </w:r>
      <w:r>
        <w:rPr>
          <w:rFonts w:hint="eastAsia" w:ascii="宋体" w:hAnsi="宋体" w:eastAsia="宋体" w:cs="宋体"/>
          <w:b/>
          <w:bCs/>
          <w:color w:val="000000"/>
          <w:sz w:val="20"/>
          <w:szCs w:val="20"/>
          <w:highlight w:val="yellow"/>
          <w:u w:val="single"/>
          <w:lang w:val="en-US" w:eastAsia="zh-CN"/>
        </w:rPr>
        <w:t>2</w:t>
      </w:r>
      <w:r>
        <w:rPr>
          <w:rFonts w:hint="eastAsia" w:ascii="宋体" w:hAnsi="宋体" w:eastAsia="宋体" w:cs="宋体"/>
          <w:b/>
          <w:bCs/>
          <w:color w:val="000000"/>
          <w:sz w:val="20"/>
          <w:szCs w:val="20"/>
          <w:highlight w:val="yellow"/>
          <w:u w:val="single"/>
        </w:rPr>
        <w:t>：30分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 xml:space="preserve">福田区福华路92号福星北小区中山大学附属第八医院(深圳福田)行政楼307会议室 </w:t>
      </w:r>
    </w:p>
    <w:p w14:paraId="21E9F995">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7EE85620">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1.纸质资料：投标文件（1正2副）</w:t>
      </w:r>
      <w:r>
        <w:rPr>
          <w:rFonts w:hint="eastAsia"/>
          <w:color w:val="FF0000"/>
          <w:szCs w:val="21"/>
        </w:rPr>
        <w:t>于开标当天带至开标现场</w:t>
      </w:r>
      <w:r>
        <w:rPr>
          <w:rFonts w:hint="eastAsia" w:ascii="Times New Roman" w:hAnsi="Times New Roman"/>
          <w:color w:val="FF0000"/>
          <w:szCs w:val="21"/>
        </w:rPr>
        <w:t>。</w:t>
      </w:r>
    </w:p>
    <w:p w14:paraId="489734BD">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2、</w:t>
      </w:r>
      <w:r>
        <w:rPr>
          <w:rFonts w:hint="eastAsia"/>
          <w:color w:val="FF0000"/>
          <w:szCs w:val="21"/>
        </w:rPr>
        <w:t>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4321BA85">
      <w:pPr>
        <w:adjustRightInd w:val="0"/>
        <w:snapToGrid w:val="0"/>
        <w:spacing w:line="420" w:lineRule="exact"/>
        <w:ind w:left="420"/>
        <w:jc w:val="left"/>
      </w:pPr>
    </w:p>
    <w:p w14:paraId="0174CAB4">
      <w:pPr>
        <w:adjustRightInd w:val="0"/>
        <w:snapToGrid w:val="0"/>
        <w:spacing w:line="420" w:lineRule="exact"/>
        <w:ind w:left="420"/>
        <w:jc w:val="left"/>
        <w:rPr>
          <w:b/>
        </w:rPr>
      </w:pPr>
      <w:r>
        <w:rPr>
          <w:rFonts w:hint="eastAsia"/>
          <w:b/>
        </w:rPr>
        <w:t>六、有关本次采购事宜，可按如下联系方式进行咨询</w:t>
      </w:r>
    </w:p>
    <w:p w14:paraId="0C982B33">
      <w:pPr>
        <w:adjustRightInd w:val="0"/>
        <w:snapToGrid w:val="0"/>
        <w:spacing w:line="420" w:lineRule="exact"/>
        <w:ind w:left="420"/>
        <w:jc w:val="left"/>
      </w:pPr>
      <w:r>
        <w:rPr>
          <w:rFonts w:hint="eastAsia"/>
        </w:rPr>
        <w:t>（一）联系单位：中山大学附属第八医院（深圳福田）招采办</w:t>
      </w:r>
    </w:p>
    <w:p w14:paraId="2F6D13C3">
      <w:pPr>
        <w:adjustRightInd w:val="0"/>
        <w:snapToGrid w:val="0"/>
        <w:spacing w:line="420" w:lineRule="exact"/>
        <w:ind w:left="420"/>
        <w:jc w:val="left"/>
      </w:pPr>
      <w:r>
        <w:rPr>
          <w:rFonts w:hint="eastAsia"/>
        </w:rPr>
        <w:t>（二）联系地址：深圳市福田区福华路92号福星北小区中山大学附属第八医院(深圳福田)行政楼302</w:t>
      </w:r>
    </w:p>
    <w:p w14:paraId="2B9E90DB">
      <w:pPr>
        <w:adjustRightInd w:val="0"/>
        <w:snapToGrid w:val="0"/>
        <w:spacing w:line="420" w:lineRule="exact"/>
        <w:ind w:left="420"/>
        <w:jc w:val="left"/>
        <w:rPr>
          <w:rFonts w:eastAsia="宋体"/>
        </w:rPr>
      </w:pPr>
      <w:r>
        <w:rPr>
          <w:rFonts w:hint="eastAsia"/>
        </w:rPr>
        <w:t>（三）联系人及联系电话：林老师82898683</w:t>
      </w:r>
    </w:p>
    <w:p w14:paraId="1C0F763A">
      <w:pPr>
        <w:adjustRightInd w:val="0"/>
        <w:snapToGrid w:val="0"/>
        <w:spacing w:line="420" w:lineRule="exact"/>
        <w:ind w:left="420"/>
        <w:jc w:val="left"/>
        <w:rPr>
          <w:rFonts w:eastAsia="宋体"/>
        </w:rPr>
      </w:pPr>
    </w:p>
    <w:p w14:paraId="243BC981">
      <w:pPr>
        <w:pStyle w:val="70"/>
        <w:ind w:firstLine="4216" w:firstLineChars="1400"/>
        <w:jc w:val="both"/>
        <w:rPr>
          <w:rFonts w:cs="Tahoma"/>
          <w:b/>
          <w:bCs/>
          <w:sz w:val="30"/>
          <w:szCs w:val="30"/>
        </w:rPr>
      </w:pPr>
      <w:r>
        <w:rPr>
          <w:rFonts w:hint="eastAsia" w:cs="Tahoma"/>
          <w:b/>
          <w:bCs/>
          <w:sz w:val="30"/>
          <w:szCs w:val="30"/>
        </w:rPr>
        <w:t>第二部分采购项目</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688"/>
        <w:gridCol w:w="1437"/>
        <w:gridCol w:w="840"/>
        <w:gridCol w:w="663"/>
        <w:gridCol w:w="1185"/>
        <w:gridCol w:w="818"/>
      </w:tblGrid>
      <w:tr w14:paraId="727D5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68FA8FDE">
            <w:pPr>
              <w:snapToGrid w:val="0"/>
              <w:jc w:val="center"/>
              <w:rPr>
                <w:rFonts w:ascii="宋体" w:eastAsia="宋体"/>
                <w:b/>
                <w:sz w:val="22"/>
              </w:rPr>
            </w:pPr>
            <w:r>
              <w:rPr>
                <w:rFonts w:hint="eastAsia" w:ascii="宋体" w:eastAsia="宋体"/>
                <w:b/>
                <w:sz w:val="22"/>
              </w:rPr>
              <w:t>序号</w:t>
            </w:r>
          </w:p>
        </w:tc>
        <w:tc>
          <w:tcPr>
            <w:tcW w:w="1281" w:type="dxa"/>
            <w:vAlign w:val="center"/>
          </w:tcPr>
          <w:p w14:paraId="5A4FE5E6">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7E5B8E42">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688" w:type="dxa"/>
            <w:vAlign w:val="center"/>
          </w:tcPr>
          <w:p w14:paraId="393405A4">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437" w:type="dxa"/>
            <w:vAlign w:val="center"/>
          </w:tcPr>
          <w:p w14:paraId="450D4D1E">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0EF484F9">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840" w:type="dxa"/>
            <w:vAlign w:val="center"/>
          </w:tcPr>
          <w:p w14:paraId="131682A0">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663" w:type="dxa"/>
            <w:vAlign w:val="center"/>
          </w:tcPr>
          <w:p w14:paraId="1657463F">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185" w:type="dxa"/>
            <w:vAlign w:val="center"/>
          </w:tcPr>
          <w:p w14:paraId="1767DECC">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63588578">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0AFA7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3913FEAB">
            <w:pPr>
              <w:snapToGrid w:val="0"/>
              <w:jc w:val="center"/>
              <w:rPr>
                <w:rFonts w:eastAsia="宋体" w:hAnsiTheme="minorEastAsia" w:cstheme="minorEastAsia"/>
                <w:szCs w:val="20"/>
              </w:rPr>
            </w:pPr>
            <w:r>
              <w:rPr>
                <w:rFonts w:hint="eastAsia" w:eastAsia="宋体" w:hAnsiTheme="minorEastAsia" w:cstheme="minorEastAsia"/>
                <w:szCs w:val="20"/>
              </w:rPr>
              <w:t>1</w:t>
            </w:r>
          </w:p>
        </w:tc>
        <w:tc>
          <w:tcPr>
            <w:tcW w:w="1281" w:type="dxa"/>
            <w:shd w:val="clear" w:color="000000" w:fill="FFFFFF"/>
            <w:noWrap/>
            <w:vAlign w:val="center"/>
          </w:tcPr>
          <w:p w14:paraId="14FB7B59">
            <w:pPr>
              <w:widowControl/>
              <w:jc w:val="center"/>
              <w:textAlignment w:val="center"/>
              <w:rPr>
                <w:rFonts w:eastAsia="宋体" w:hAnsiTheme="minorEastAsia" w:cstheme="minorEastAsia"/>
                <w:szCs w:val="20"/>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 xml:space="preserve">71 </w:t>
            </w:r>
            <w:r>
              <w:rPr>
                <w:rFonts w:eastAsia="宋体"/>
                <w:color w:val="000000"/>
                <w:kern w:val="0"/>
                <w:sz w:val="22"/>
                <w:szCs w:val="22"/>
              </w:rPr>
              <w:t>-</w:t>
            </w:r>
            <w:r>
              <w:rPr>
                <w:rFonts w:hint="eastAsia" w:eastAsia="宋体"/>
                <w:color w:val="000000"/>
                <w:kern w:val="0"/>
                <w:sz w:val="22"/>
                <w:szCs w:val="22"/>
                <w:lang w:val="en-US" w:eastAsia="zh-CN"/>
              </w:rPr>
              <w:t>313</w:t>
            </w:r>
          </w:p>
        </w:tc>
        <w:tc>
          <w:tcPr>
            <w:tcW w:w="1620" w:type="dxa"/>
            <w:vAlign w:val="center"/>
          </w:tcPr>
          <w:p w14:paraId="66D9383B">
            <w:pPr>
              <w:widowControl/>
              <w:jc w:val="center"/>
              <w:textAlignment w:val="center"/>
              <w:rPr>
                <w:rFonts w:eastAsia="宋体"/>
                <w:color w:val="000000"/>
                <w:sz w:val="22"/>
              </w:rPr>
            </w:pPr>
            <w:r>
              <w:rPr>
                <w:rFonts w:hint="eastAsia" w:eastAsia="宋体"/>
                <w:color w:val="000000"/>
                <w:sz w:val="22"/>
              </w:rPr>
              <w:t>可吸收骨折内固定螺钉</w:t>
            </w:r>
          </w:p>
        </w:tc>
        <w:tc>
          <w:tcPr>
            <w:tcW w:w="2688" w:type="dxa"/>
            <w:vAlign w:val="center"/>
          </w:tcPr>
          <w:p w14:paraId="228AEB95">
            <w:pPr>
              <w:snapToGrid w:val="0"/>
              <w:jc w:val="left"/>
              <w:rPr>
                <w:rFonts w:eastAsia="宋体"/>
              </w:rPr>
            </w:pPr>
            <w:r>
              <w:rPr>
                <w:rFonts w:hint="eastAsia" w:eastAsia="宋体"/>
              </w:rPr>
              <w:t>用于非承重部位的骨折内固定术、截骨术、关节融合术等。</w:t>
            </w:r>
          </w:p>
        </w:tc>
        <w:tc>
          <w:tcPr>
            <w:tcW w:w="1437" w:type="dxa"/>
            <w:vAlign w:val="center"/>
          </w:tcPr>
          <w:p w14:paraId="5AA73CEE">
            <w:pPr>
              <w:snapToGrid w:val="0"/>
              <w:jc w:val="right"/>
              <w:rPr>
                <w:rFonts w:hint="eastAsia" w:eastAsia="宋体"/>
                <w:lang w:eastAsia="zh-CN"/>
              </w:rPr>
            </w:pPr>
            <w:r>
              <w:rPr>
                <w:rFonts w:hint="eastAsia" w:eastAsia="宋体"/>
              </w:rPr>
              <w:t>1944-2780</w:t>
            </w:r>
            <w:r>
              <w:rPr>
                <w:rFonts w:hint="eastAsia" w:eastAsia="宋体"/>
                <w:lang w:val="en-US" w:eastAsia="zh-CN"/>
              </w:rPr>
              <w:t>0</w:t>
            </w:r>
            <w:r>
              <w:rPr>
                <w:rFonts w:hint="eastAsia" w:eastAsia="宋体"/>
              </w:rPr>
              <w:t>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vAlign w:val="center"/>
          </w:tcPr>
          <w:p w14:paraId="0F2983A4">
            <w:pPr>
              <w:widowControl/>
              <w:snapToGrid w:val="0"/>
              <w:jc w:val="center"/>
              <w:textAlignment w:val="center"/>
              <w:rPr>
                <w:rFonts w:eastAsia="宋体" w:hAnsiTheme="minorEastAsia" w:cstheme="minorEastAsia"/>
                <w:szCs w:val="20"/>
              </w:rPr>
            </w:pPr>
            <w:r>
              <w:rPr>
                <w:rFonts w:hint="eastAsia" w:eastAsia="宋体" w:hAnsiTheme="minorEastAsia" w:cstheme="minorEastAsia"/>
                <w:szCs w:val="20"/>
              </w:rPr>
              <w:t>国产</w:t>
            </w:r>
          </w:p>
        </w:tc>
        <w:tc>
          <w:tcPr>
            <w:tcW w:w="663" w:type="dxa"/>
            <w:vAlign w:val="center"/>
          </w:tcPr>
          <w:p w14:paraId="6C456412">
            <w:pPr>
              <w:widowControl/>
              <w:snapToGrid w:val="0"/>
              <w:jc w:val="center"/>
              <w:textAlignment w:val="center"/>
              <w:rPr>
                <w:rFonts w:eastAsia="宋体" w:hAnsiTheme="minorEastAsia" w:cstheme="minorEastAsia"/>
                <w:szCs w:val="20"/>
              </w:rPr>
            </w:pPr>
            <w:r>
              <w:rPr>
                <w:rFonts w:hint="eastAsia" w:hAnsi="宋体" w:eastAsia="宋体" w:cs="宋体"/>
                <w:color w:val="000000"/>
                <w:szCs w:val="20"/>
              </w:rPr>
              <w:t>骨科</w:t>
            </w:r>
          </w:p>
        </w:tc>
        <w:tc>
          <w:tcPr>
            <w:tcW w:w="1185" w:type="dxa"/>
            <w:vAlign w:val="center"/>
          </w:tcPr>
          <w:p w14:paraId="4DEA29CF">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7D97F6F7">
            <w:pPr>
              <w:widowControl/>
              <w:snapToGrid w:val="0"/>
              <w:jc w:val="center"/>
              <w:textAlignment w:val="center"/>
              <w:rPr>
                <w:rFonts w:eastAsia="宋体"/>
                <w:color w:val="000000"/>
              </w:rPr>
            </w:pPr>
            <w:r>
              <w:rPr>
                <w:rFonts w:hint="eastAsia" w:eastAsia="宋体"/>
                <w:color w:val="000000"/>
              </w:rPr>
              <w:t>是</w:t>
            </w:r>
          </w:p>
        </w:tc>
      </w:tr>
      <w:tr w14:paraId="7C599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0C458C23">
            <w:pPr>
              <w:snapToGrid w:val="0"/>
              <w:jc w:val="center"/>
              <w:rPr>
                <w:rFonts w:eastAsia="宋体" w:hAnsiTheme="minorEastAsia" w:cstheme="minorEastAsia"/>
                <w:szCs w:val="20"/>
              </w:rPr>
            </w:pPr>
            <w:r>
              <w:rPr>
                <w:rFonts w:hint="eastAsia" w:eastAsia="宋体" w:hAnsiTheme="minorEastAsia" w:cstheme="minorEastAsia"/>
                <w:szCs w:val="20"/>
              </w:rPr>
              <w:t>2</w:t>
            </w:r>
          </w:p>
        </w:tc>
        <w:tc>
          <w:tcPr>
            <w:tcW w:w="1281" w:type="dxa"/>
            <w:shd w:val="clear" w:color="000000" w:fill="FFFFFF"/>
            <w:noWrap/>
            <w:vAlign w:val="center"/>
          </w:tcPr>
          <w:p w14:paraId="256AB5E7">
            <w:pPr>
              <w:widowControl/>
              <w:jc w:val="center"/>
              <w:textAlignment w:val="center"/>
              <w:rPr>
                <w:rFonts w:eastAsia="宋体" w:hAnsiTheme="minorEastAsia" w:cstheme="minorEastAsia"/>
                <w:szCs w:val="20"/>
              </w:rPr>
            </w:pPr>
            <w:r>
              <w:rPr>
                <w:rFonts w:hint="eastAsia" w:ascii="Times New Roman" w:hAnsi="Times New Roman" w:eastAsia="宋体" w:cs="Times New Roman"/>
                <w:color w:val="000000"/>
                <w:kern w:val="0"/>
                <w:sz w:val="22"/>
                <w:szCs w:val="22"/>
                <w:lang w:val="en-US" w:eastAsia="zh-CN"/>
              </w:rPr>
              <w:t>ZCB2025-HC71-314-A</w:t>
            </w:r>
          </w:p>
        </w:tc>
        <w:tc>
          <w:tcPr>
            <w:tcW w:w="1620" w:type="dxa"/>
            <w:vAlign w:val="center"/>
          </w:tcPr>
          <w:p w14:paraId="14BC5845">
            <w:p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医用高分子夹板</w:t>
            </w:r>
            <w:r>
              <w:rPr>
                <w:rFonts w:hint="eastAsia" w:eastAsia="宋体"/>
                <w:color w:val="000000"/>
                <w:kern w:val="0"/>
                <w:sz w:val="22"/>
                <w:szCs w:val="22"/>
                <w:lang w:val="en-US" w:eastAsia="zh-CN"/>
              </w:rPr>
              <w:t>（A包）</w:t>
            </w:r>
          </w:p>
        </w:tc>
        <w:tc>
          <w:tcPr>
            <w:tcW w:w="2688" w:type="dxa"/>
            <w:vAlign w:val="center"/>
          </w:tcPr>
          <w:p w14:paraId="62A75D49">
            <w:pPr>
              <w:snapToGrid w:val="0"/>
              <w:jc w:val="left"/>
              <w:rPr>
                <w:rFonts w:eastAsia="宋体"/>
              </w:rPr>
            </w:pPr>
            <w:r>
              <w:rPr>
                <w:rFonts w:hint="eastAsia" w:eastAsia="宋体" w:hAnsiTheme="minorEastAsia" w:cstheme="minorEastAsia"/>
                <w:szCs w:val="20"/>
              </w:rPr>
              <w:t>用于骨折或软组织等损伤的外固定。</w:t>
            </w:r>
          </w:p>
        </w:tc>
        <w:tc>
          <w:tcPr>
            <w:tcW w:w="1437" w:type="dxa"/>
            <w:vAlign w:val="center"/>
          </w:tcPr>
          <w:p w14:paraId="2E635D8E">
            <w:pPr>
              <w:snapToGrid w:val="0"/>
              <w:jc w:val="right"/>
              <w:rPr>
                <w:rFonts w:eastAsia="宋体"/>
              </w:rPr>
            </w:pPr>
            <w:r>
              <w:rPr>
                <w:rFonts w:hint="eastAsia" w:eastAsia="宋体"/>
              </w:rPr>
              <w:t>166.6-277.2元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vAlign w:val="center"/>
          </w:tcPr>
          <w:p w14:paraId="09194C9D">
            <w:pPr>
              <w:snapToGrid w:val="0"/>
              <w:jc w:val="center"/>
              <w:rPr>
                <w:rFonts w:eastAsia="宋体" w:hAnsiTheme="minorEastAsia" w:cstheme="minorEastAsia"/>
                <w:szCs w:val="20"/>
              </w:rPr>
            </w:pPr>
            <w:r>
              <w:rPr>
                <w:rFonts w:hint="eastAsia" w:eastAsia="宋体" w:hAnsiTheme="minorEastAsia" w:cstheme="minorEastAsia"/>
                <w:szCs w:val="20"/>
              </w:rPr>
              <w:t>国产</w:t>
            </w:r>
          </w:p>
        </w:tc>
        <w:tc>
          <w:tcPr>
            <w:tcW w:w="663" w:type="dxa"/>
            <w:vAlign w:val="center"/>
          </w:tcPr>
          <w:p w14:paraId="2BDCD813">
            <w:r>
              <w:rPr>
                <w:rFonts w:hint="eastAsia"/>
              </w:rPr>
              <w:t>骨科</w:t>
            </w:r>
          </w:p>
        </w:tc>
        <w:tc>
          <w:tcPr>
            <w:tcW w:w="1185" w:type="dxa"/>
            <w:vAlign w:val="center"/>
          </w:tcPr>
          <w:p w14:paraId="27E3F05A">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630D15FF">
            <w:pPr>
              <w:widowControl/>
              <w:snapToGrid w:val="0"/>
              <w:jc w:val="center"/>
              <w:textAlignment w:val="center"/>
              <w:rPr>
                <w:rFonts w:eastAsia="宋体" w:hAnsiTheme="minorHAnsi" w:cstheme="minorBidi"/>
                <w:color w:val="000000"/>
                <w:szCs w:val="22"/>
              </w:rPr>
            </w:pPr>
            <w:r>
              <w:rPr>
                <w:rFonts w:hint="eastAsia" w:eastAsia="宋体"/>
                <w:color w:val="000000"/>
              </w:rPr>
              <w:t>是</w:t>
            </w:r>
          </w:p>
        </w:tc>
      </w:tr>
      <w:tr w14:paraId="15699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25C00745">
            <w:pPr>
              <w:snapToGrid w:val="0"/>
              <w:jc w:val="center"/>
              <w:rPr>
                <w:rFonts w:hint="eastAsia" w:eastAsia="宋体" w:hAnsiTheme="minorEastAsia" w:cstheme="minorEastAsia"/>
                <w:szCs w:val="20"/>
                <w:lang w:eastAsia="zh-CN"/>
              </w:rPr>
            </w:pPr>
            <w:r>
              <w:rPr>
                <w:rFonts w:hint="eastAsia" w:eastAsia="宋体" w:hAnsiTheme="minorEastAsia" w:cstheme="minorEastAsia"/>
                <w:szCs w:val="20"/>
                <w:lang w:val="en-US" w:eastAsia="zh-CN"/>
              </w:rPr>
              <w:t>3</w:t>
            </w:r>
          </w:p>
        </w:tc>
        <w:tc>
          <w:tcPr>
            <w:tcW w:w="1281" w:type="dxa"/>
            <w:shd w:val="clear" w:color="000000" w:fill="FFFFFF"/>
            <w:noWrap/>
            <w:vAlign w:val="center"/>
          </w:tcPr>
          <w:p w14:paraId="748D2C86">
            <w:pPr>
              <w:widowControl/>
              <w:jc w:val="center"/>
              <w:textAlignment w:val="center"/>
              <w:rPr>
                <w:rFonts w:eastAsia="宋体"/>
                <w:color w:val="000000"/>
                <w:kern w:val="0"/>
                <w:szCs w:val="22"/>
              </w:rPr>
            </w:pPr>
            <w:r>
              <w:rPr>
                <w:rFonts w:hint="eastAsia" w:ascii="Times New Roman" w:hAnsi="Times New Roman" w:eastAsia="宋体" w:cs="Times New Roman"/>
                <w:color w:val="000000"/>
                <w:kern w:val="0"/>
                <w:sz w:val="22"/>
                <w:szCs w:val="22"/>
                <w:lang w:val="en-US" w:eastAsia="zh-CN"/>
              </w:rPr>
              <w:t>ZCB2025-HC71-314-B</w:t>
            </w:r>
          </w:p>
        </w:tc>
        <w:tc>
          <w:tcPr>
            <w:tcW w:w="1620" w:type="dxa"/>
            <w:shd w:val="clear" w:color="auto" w:fill="auto"/>
            <w:vAlign w:val="center"/>
          </w:tcPr>
          <w:p w14:paraId="24C4CDB5">
            <w:p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医用高分子夹板</w:t>
            </w:r>
            <w:r>
              <w:rPr>
                <w:rFonts w:hint="eastAsia" w:asciiTheme="minorHAnsi" w:hAnsiTheme="minorHAnsi" w:cstheme="minorBidi"/>
                <w:color w:val="000000"/>
                <w:sz w:val="22"/>
                <w:szCs w:val="22"/>
                <w:lang w:eastAsia="zh-CN"/>
              </w:rPr>
              <w:t>（</w:t>
            </w:r>
            <w:r>
              <w:rPr>
                <w:rFonts w:hint="eastAsia" w:asciiTheme="minorHAnsi" w:hAnsiTheme="minorHAnsi" w:cstheme="minorBidi"/>
                <w:color w:val="000000"/>
                <w:sz w:val="22"/>
                <w:szCs w:val="22"/>
                <w:lang w:val="en-US" w:eastAsia="zh-CN"/>
              </w:rPr>
              <w:t>B包</w:t>
            </w:r>
            <w:r>
              <w:rPr>
                <w:rFonts w:hint="eastAsia" w:asciiTheme="minorHAnsi" w:hAnsiTheme="minorHAnsi" w:cstheme="minorBidi"/>
                <w:color w:val="000000"/>
                <w:sz w:val="22"/>
                <w:szCs w:val="22"/>
                <w:lang w:eastAsia="zh-CN"/>
              </w:rPr>
              <w:t>）</w:t>
            </w:r>
          </w:p>
        </w:tc>
        <w:tc>
          <w:tcPr>
            <w:tcW w:w="2688" w:type="dxa"/>
            <w:shd w:val="clear" w:color="auto" w:fill="auto"/>
            <w:vAlign w:val="center"/>
          </w:tcPr>
          <w:p w14:paraId="6F1BF608">
            <w:pPr>
              <w:numPr>
                <w:ilvl w:val="0"/>
                <w:numId w:val="7"/>
              </w:numPr>
              <w:snapToGrid w:val="0"/>
              <w:jc w:val="left"/>
              <w:rPr>
                <w:rFonts w:hint="eastAsia" w:eastAsia="宋体"/>
                <w:lang w:val="en-US" w:eastAsia="zh-CN"/>
              </w:rPr>
            </w:pPr>
            <w:r>
              <w:rPr>
                <w:rFonts w:hint="eastAsia" w:eastAsia="宋体"/>
                <w:lang w:val="en-US" w:eastAsia="zh-CN"/>
              </w:rPr>
              <w:t>主要用以四肢骨折外固定、能透X线、透气、防水、可视性好；</w:t>
            </w:r>
          </w:p>
          <w:p w14:paraId="0577335C">
            <w:pPr>
              <w:numPr>
                <w:ilvl w:val="0"/>
                <w:numId w:val="7"/>
              </w:numPr>
              <w:snapToGrid w:val="0"/>
              <w:jc w:val="left"/>
              <w:rPr>
                <w:rFonts w:hint="default" w:eastAsia="宋体"/>
                <w:lang w:val="en-US" w:eastAsia="zh-CN"/>
              </w:rPr>
            </w:pPr>
            <w:r>
              <w:rPr>
                <w:rFonts w:hint="default" w:eastAsia="宋体"/>
                <w:lang w:val="en-US" w:eastAsia="zh-CN"/>
              </w:rPr>
              <w:t>安全，对人体皮肤无害、无致敏风险，需提供</w:t>
            </w:r>
            <w:r>
              <w:rPr>
                <w:rFonts w:hint="eastAsia" w:eastAsia="宋体"/>
                <w:lang w:val="en-US" w:eastAsia="zh-CN"/>
              </w:rPr>
              <w:t>使用说明书；</w:t>
            </w:r>
          </w:p>
          <w:p w14:paraId="359598DE">
            <w:pPr>
              <w:numPr>
                <w:ilvl w:val="0"/>
                <w:numId w:val="7"/>
              </w:numPr>
              <w:snapToGrid w:val="0"/>
              <w:jc w:val="left"/>
              <w:rPr>
                <w:rFonts w:hint="default" w:eastAsia="宋体"/>
                <w:lang w:val="en-US" w:eastAsia="zh-CN"/>
              </w:rPr>
            </w:pPr>
            <w:r>
              <w:rPr>
                <w:rFonts w:hint="default" w:eastAsia="宋体"/>
                <w:lang w:val="en-US" w:eastAsia="zh-CN"/>
              </w:rPr>
              <w:t>定型强度，不低于50D（邵氏硬度）</w:t>
            </w:r>
            <w:r>
              <w:rPr>
                <w:rFonts w:hint="eastAsia" w:eastAsia="宋体"/>
                <w:lang w:val="en-US" w:eastAsia="zh-CN"/>
              </w:rPr>
              <w:t>；</w:t>
            </w:r>
          </w:p>
          <w:p w14:paraId="3AA3FD2D">
            <w:pPr>
              <w:numPr>
                <w:ilvl w:val="0"/>
                <w:numId w:val="7"/>
              </w:numPr>
              <w:snapToGrid w:val="0"/>
              <w:jc w:val="left"/>
              <w:rPr>
                <w:rFonts w:hint="default" w:eastAsia="宋体"/>
                <w:lang w:val="en-US" w:eastAsia="zh-CN"/>
              </w:rPr>
            </w:pPr>
            <w:r>
              <w:rPr>
                <w:rFonts w:hint="default" w:eastAsia="宋体"/>
                <w:lang w:val="en-US" w:eastAsia="zh-CN"/>
              </w:rPr>
              <w:t>夹板的弯曲强度，不低于35MPa</w:t>
            </w:r>
            <w:r>
              <w:rPr>
                <w:rFonts w:hint="eastAsia" w:eastAsia="宋体"/>
                <w:lang w:val="en-US" w:eastAsia="zh-CN"/>
              </w:rPr>
              <w:t>；</w:t>
            </w:r>
          </w:p>
          <w:p w14:paraId="7DA3F66D">
            <w:pPr>
              <w:numPr>
                <w:ilvl w:val="0"/>
                <w:numId w:val="7"/>
              </w:numPr>
              <w:snapToGrid w:val="0"/>
              <w:jc w:val="left"/>
              <w:rPr>
                <w:rFonts w:hint="default" w:eastAsia="宋体"/>
                <w:lang w:val="en-US" w:eastAsia="zh-CN"/>
              </w:rPr>
            </w:pPr>
            <w:r>
              <w:rPr>
                <w:rFonts w:hint="default" w:eastAsia="宋体"/>
                <w:lang w:val="en-US" w:eastAsia="zh-CN"/>
              </w:rPr>
              <w:t>可重复塑形固定</w:t>
            </w:r>
            <w:r>
              <w:rPr>
                <w:rFonts w:hint="eastAsia" w:eastAsia="宋体"/>
                <w:lang w:val="en-US" w:eastAsia="zh-CN"/>
              </w:rPr>
              <w:t>；</w:t>
            </w:r>
          </w:p>
          <w:p w14:paraId="661F2A10">
            <w:pPr>
              <w:numPr>
                <w:ilvl w:val="0"/>
                <w:numId w:val="7"/>
              </w:numPr>
              <w:snapToGrid w:val="0"/>
              <w:jc w:val="left"/>
              <w:rPr>
                <w:rFonts w:hint="default" w:eastAsia="宋体"/>
                <w:lang w:val="en-US" w:eastAsia="zh-CN"/>
              </w:rPr>
            </w:pPr>
            <w:r>
              <w:rPr>
                <w:rFonts w:hint="default" w:eastAsia="宋体"/>
                <w:lang w:val="en-US" w:eastAsia="zh-CN"/>
              </w:rPr>
              <w:t>使用时，不需要额外的设备设施（减少额外的医疗支出成本）</w:t>
            </w:r>
          </w:p>
        </w:tc>
        <w:tc>
          <w:tcPr>
            <w:tcW w:w="1437" w:type="dxa"/>
            <w:shd w:val="clear" w:color="auto" w:fill="auto"/>
            <w:vAlign w:val="center"/>
          </w:tcPr>
          <w:p w14:paraId="0A7651D1">
            <w:pPr>
              <w:snapToGrid w:val="0"/>
              <w:jc w:val="right"/>
              <w:rPr>
                <w:rFonts w:eastAsia="宋体"/>
              </w:rPr>
            </w:pPr>
            <w:r>
              <w:rPr>
                <w:rFonts w:hint="eastAsia" w:eastAsia="宋体"/>
                <w:lang w:eastAsia="zh-CN"/>
              </w:rPr>
              <w:t>104-420</w:t>
            </w:r>
            <w:r>
              <w:rPr>
                <w:rFonts w:hint="eastAsia" w:eastAsia="宋体"/>
                <w:lang w:val="en-US" w:eastAsia="zh-CN"/>
              </w:rPr>
              <w:t>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shd w:val="clear" w:color="auto" w:fill="auto"/>
            <w:vAlign w:val="center"/>
          </w:tcPr>
          <w:p w14:paraId="338BDFC3">
            <w:pPr>
              <w:widowControl/>
              <w:snapToGrid w:val="0"/>
              <w:jc w:val="center"/>
              <w:textAlignment w:val="center"/>
              <w:rPr>
                <w:rFonts w:eastAsia="宋体" w:hAnsiTheme="minorEastAsia" w:cstheme="minorEastAsia"/>
                <w:szCs w:val="20"/>
              </w:rPr>
            </w:pPr>
            <w:r>
              <w:rPr>
                <w:rFonts w:hint="eastAsia" w:eastAsia="宋体" w:hAnsiTheme="minorEastAsia" w:cstheme="minorEastAsia"/>
                <w:szCs w:val="20"/>
              </w:rPr>
              <w:t>国产</w:t>
            </w:r>
          </w:p>
        </w:tc>
        <w:tc>
          <w:tcPr>
            <w:tcW w:w="663" w:type="dxa"/>
            <w:shd w:val="clear" w:color="auto" w:fill="auto"/>
            <w:vAlign w:val="center"/>
          </w:tcPr>
          <w:p w14:paraId="13C69418">
            <w:pPr>
              <w:widowControl/>
              <w:snapToGrid w:val="0"/>
              <w:jc w:val="center"/>
              <w:textAlignment w:val="center"/>
            </w:pPr>
            <w:r>
              <w:rPr>
                <w:rFonts w:hint="eastAsia"/>
              </w:rPr>
              <w:t>骨科</w:t>
            </w:r>
          </w:p>
        </w:tc>
        <w:tc>
          <w:tcPr>
            <w:tcW w:w="1185" w:type="dxa"/>
            <w:shd w:val="clear" w:color="auto" w:fill="auto"/>
            <w:vAlign w:val="center"/>
          </w:tcPr>
          <w:p w14:paraId="4994A131">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6B4037D2">
            <w:pPr>
              <w:widowControl/>
              <w:snapToGrid w:val="0"/>
              <w:jc w:val="center"/>
              <w:textAlignment w:val="center"/>
              <w:rPr>
                <w:rFonts w:hint="eastAsia" w:ascii="Times New Roman" w:hAnsi="Times New Roman" w:eastAsia="宋体" w:cs="Times New Roman"/>
                <w:kern w:val="2"/>
                <w:sz w:val="21"/>
                <w:szCs w:val="24"/>
                <w:lang w:val="en-US" w:eastAsia="zh-CN" w:bidi="ar-SA"/>
              </w:rPr>
            </w:pPr>
            <w:r>
              <w:rPr>
                <w:rFonts w:hint="eastAsia" w:eastAsia="宋体"/>
                <w:color w:val="000000"/>
              </w:rPr>
              <w:t>是</w:t>
            </w:r>
          </w:p>
        </w:tc>
      </w:tr>
      <w:tr w14:paraId="1851F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7520FAEA">
            <w:pPr>
              <w:snapToGrid w:val="0"/>
              <w:jc w:val="center"/>
              <w:rPr>
                <w:rFonts w:hint="eastAsia" w:eastAsia="宋体" w:hAnsiTheme="minorEastAsia" w:cstheme="minorEastAsia"/>
                <w:szCs w:val="20"/>
                <w:lang w:val="en-US" w:eastAsia="zh-CN"/>
              </w:rPr>
            </w:pPr>
            <w:r>
              <w:rPr>
                <w:rFonts w:hint="eastAsia" w:eastAsia="宋体" w:hAnsiTheme="minorEastAsia" w:cstheme="minorEastAsia"/>
                <w:szCs w:val="20"/>
                <w:lang w:val="en-US" w:eastAsia="zh-CN"/>
              </w:rPr>
              <w:t>4</w:t>
            </w:r>
          </w:p>
        </w:tc>
        <w:tc>
          <w:tcPr>
            <w:tcW w:w="1281" w:type="dxa"/>
            <w:shd w:val="clear" w:color="000000" w:fill="FFFFFF"/>
            <w:noWrap/>
            <w:vAlign w:val="center"/>
          </w:tcPr>
          <w:p w14:paraId="71A6AF80">
            <w:pPr>
              <w:widowControl/>
              <w:jc w:val="center"/>
              <w:textAlignment w:val="center"/>
              <w:rPr>
                <w:rFonts w:ascii="Times New Roman" w:hAnsi="Times New Roman" w:eastAsia="宋体" w:cs="Times New Roman"/>
                <w:color w:val="000000"/>
                <w:kern w:val="0"/>
                <w:sz w:val="21"/>
                <w:szCs w:val="22"/>
                <w:lang w:val="en-US" w:eastAsia="zh-CN" w:bidi="ar-SA"/>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71</w:t>
            </w:r>
            <w:r>
              <w:rPr>
                <w:rFonts w:eastAsia="宋体"/>
                <w:color w:val="000000"/>
                <w:kern w:val="0"/>
                <w:sz w:val="22"/>
                <w:szCs w:val="22"/>
              </w:rPr>
              <w:t>-</w:t>
            </w:r>
            <w:r>
              <w:rPr>
                <w:rFonts w:hint="eastAsia" w:eastAsia="宋体"/>
                <w:color w:val="000000"/>
                <w:kern w:val="0"/>
                <w:sz w:val="22"/>
                <w:szCs w:val="22"/>
                <w:lang w:val="en-US" w:eastAsia="zh-CN"/>
              </w:rPr>
              <w:t>315</w:t>
            </w:r>
          </w:p>
        </w:tc>
        <w:tc>
          <w:tcPr>
            <w:tcW w:w="1620" w:type="dxa"/>
            <w:shd w:val="clear" w:color="auto" w:fill="auto"/>
            <w:vAlign w:val="center"/>
          </w:tcPr>
          <w:p w14:paraId="13E77F4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eastAsia="宋体"/>
                <w:color w:val="000000"/>
                <w:sz w:val="22"/>
              </w:rPr>
              <w:t>生物刺激反馈仪配套耗材</w:t>
            </w:r>
          </w:p>
        </w:tc>
        <w:tc>
          <w:tcPr>
            <w:tcW w:w="2688" w:type="dxa"/>
            <w:shd w:val="clear" w:color="auto" w:fill="auto"/>
            <w:vAlign w:val="center"/>
          </w:tcPr>
          <w:p w14:paraId="30748DDF">
            <w:pPr>
              <w:numPr>
                <w:ilvl w:val="0"/>
                <w:numId w:val="8"/>
              </w:numPr>
              <w:snapToGrid w:val="0"/>
              <w:jc w:val="left"/>
              <w:rPr>
                <w:rFonts w:hint="eastAsia" w:eastAsia="宋体"/>
              </w:rPr>
            </w:pPr>
            <w:r>
              <w:rPr>
                <w:rFonts w:hint="eastAsia" w:eastAsia="宋体"/>
              </w:rPr>
              <w:t>与麦澜德生物刺激反馈仪配套使用，含一次性使用阴道电极、阴道电极、盆底肌肉康复器，用于传导电脉冲信号及提高盆底肌肉收缩能力。</w:t>
            </w:r>
          </w:p>
          <w:p w14:paraId="07CD5EC5">
            <w:pPr>
              <w:numPr>
                <w:ilvl w:val="0"/>
                <w:numId w:val="8"/>
              </w:numPr>
              <w:snapToGrid w:val="0"/>
              <w:jc w:val="left"/>
              <w:rPr>
                <w:rFonts w:hint="eastAsia" w:eastAsia="宋体"/>
                <w:lang w:val="en-US" w:eastAsia="zh-CN"/>
              </w:rPr>
            </w:pPr>
            <w:r>
              <w:rPr>
                <w:rFonts w:hint="eastAsia" w:eastAsia="宋体"/>
                <w:lang w:val="en-US" w:eastAsia="zh-CN"/>
              </w:rPr>
              <w:t>与麦澜德生物刺激反馈仪配套使用，含理疗电极片（适用于中低频理疗仪），用于传导电脉冲信号。</w:t>
            </w:r>
          </w:p>
        </w:tc>
        <w:tc>
          <w:tcPr>
            <w:tcW w:w="1437" w:type="dxa"/>
            <w:shd w:val="clear" w:color="auto" w:fill="auto"/>
            <w:vAlign w:val="center"/>
          </w:tcPr>
          <w:p w14:paraId="5ACC9009">
            <w:pPr>
              <w:snapToGrid w:val="0"/>
              <w:jc w:val="right"/>
              <w:rPr>
                <w:rFonts w:hint="eastAsia" w:ascii="Times New Roman" w:hAnsi="Times New Roman" w:eastAsia="宋体" w:cs="Times New Roman"/>
                <w:kern w:val="2"/>
                <w:sz w:val="21"/>
                <w:szCs w:val="24"/>
                <w:lang w:val="en-US" w:eastAsia="zh-CN" w:bidi="ar-SA"/>
              </w:rPr>
            </w:pPr>
            <w:r>
              <w:rPr>
                <w:rFonts w:hint="eastAsia" w:eastAsia="宋体"/>
                <w:lang w:val="en-US" w:eastAsia="zh-CN"/>
              </w:rPr>
              <w:t>4-</w:t>
            </w:r>
            <w:r>
              <w:rPr>
                <w:rFonts w:hint="eastAsia" w:eastAsia="宋体"/>
              </w:rPr>
              <w:t>270元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shd w:val="clear" w:color="auto" w:fill="auto"/>
            <w:vAlign w:val="center"/>
          </w:tcPr>
          <w:p w14:paraId="2F341008">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国产</w:t>
            </w:r>
          </w:p>
        </w:tc>
        <w:tc>
          <w:tcPr>
            <w:tcW w:w="663" w:type="dxa"/>
            <w:shd w:val="clear" w:color="auto" w:fill="auto"/>
            <w:vAlign w:val="center"/>
          </w:tcPr>
          <w:p w14:paraId="1CC86F96">
            <w:pPr>
              <w:widowControl/>
              <w:snapToGrid w:val="0"/>
              <w:jc w:val="center"/>
              <w:textAlignment w:val="center"/>
              <w:rPr>
                <w:rFonts w:hint="eastAsia" w:ascii="Times New Roman" w:hAnsi="Times New Roman" w:cs="Times New Roman" w:eastAsiaTheme="minorEastAsia"/>
                <w:kern w:val="2"/>
                <w:sz w:val="21"/>
                <w:szCs w:val="24"/>
                <w:lang w:val="en-US" w:eastAsia="zh-CN" w:bidi="ar-SA"/>
              </w:rPr>
            </w:pPr>
            <w:r>
              <w:rPr>
                <w:rFonts w:hint="eastAsia" w:eastAsia="宋体" w:hAnsiTheme="minorEastAsia" w:cstheme="minorEastAsia"/>
                <w:szCs w:val="20"/>
              </w:rPr>
              <w:t>产科</w:t>
            </w:r>
          </w:p>
        </w:tc>
        <w:tc>
          <w:tcPr>
            <w:tcW w:w="1185" w:type="dxa"/>
            <w:shd w:val="clear" w:color="auto" w:fill="auto"/>
            <w:vAlign w:val="center"/>
          </w:tcPr>
          <w:p w14:paraId="1138E616">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0F1B74A6">
            <w:pPr>
              <w:widowControl/>
              <w:snapToGrid w:val="0"/>
              <w:jc w:val="center"/>
              <w:textAlignment w:val="center"/>
              <w:rPr>
                <w:rFonts w:hint="eastAsia" w:ascii="Times New Roman" w:hAnsi="Times New Roman" w:eastAsia="宋体" w:cs="Times New Roman"/>
                <w:kern w:val="2"/>
                <w:sz w:val="21"/>
                <w:szCs w:val="24"/>
                <w:lang w:val="en-US" w:eastAsia="zh-CN" w:bidi="ar-SA"/>
              </w:rPr>
            </w:pPr>
            <w:r>
              <w:rPr>
                <w:rFonts w:hint="eastAsia" w:eastAsia="宋体"/>
                <w:color w:val="000000"/>
              </w:rPr>
              <w:t>是</w:t>
            </w:r>
          </w:p>
        </w:tc>
      </w:tr>
      <w:tr w14:paraId="0DD65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7A06303E">
            <w:pPr>
              <w:snapToGrid w:val="0"/>
              <w:jc w:val="center"/>
              <w:rPr>
                <w:rFonts w:hint="default" w:eastAsia="宋体" w:hAnsiTheme="minorEastAsia" w:cstheme="minorEastAsia"/>
                <w:szCs w:val="20"/>
                <w:lang w:val="en-US" w:eastAsia="zh-CN"/>
              </w:rPr>
            </w:pPr>
            <w:r>
              <w:rPr>
                <w:rFonts w:hint="eastAsia" w:eastAsia="宋体" w:hAnsiTheme="minorEastAsia" w:cstheme="minorEastAsia"/>
                <w:szCs w:val="20"/>
                <w:lang w:val="en-US" w:eastAsia="zh-CN"/>
              </w:rPr>
              <w:t>5</w:t>
            </w:r>
          </w:p>
        </w:tc>
        <w:tc>
          <w:tcPr>
            <w:tcW w:w="1281" w:type="dxa"/>
            <w:shd w:val="clear" w:color="000000" w:fill="FFFFFF"/>
            <w:noWrap/>
            <w:vAlign w:val="center"/>
          </w:tcPr>
          <w:p w14:paraId="423D4871">
            <w:pPr>
              <w:widowControl/>
              <w:jc w:val="center"/>
              <w:textAlignment w:val="center"/>
              <w:rPr>
                <w:rFonts w:ascii="Times New Roman" w:hAnsi="Times New Roman" w:eastAsia="宋体" w:cs="Times New Roman"/>
                <w:color w:val="000000"/>
                <w:kern w:val="0"/>
                <w:sz w:val="22"/>
                <w:szCs w:val="22"/>
                <w:lang w:val="en-US" w:eastAsia="zh-CN" w:bidi="ar-SA"/>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71</w:t>
            </w:r>
            <w:r>
              <w:rPr>
                <w:rFonts w:eastAsia="宋体"/>
                <w:color w:val="000000"/>
                <w:kern w:val="0"/>
                <w:sz w:val="22"/>
                <w:szCs w:val="22"/>
              </w:rPr>
              <w:t>-</w:t>
            </w:r>
            <w:r>
              <w:rPr>
                <w:rFonts w:hint="eastAsia" w:eastAsia="宋体"/>
                <w:color w:val="000000"/>
                <w:kern w:val="0"/>
                <w:sz w:val="22"/>
                <w:szCs w:val="22"/>
                <w:lang w:val="en-US" w:eastAsia="zh-CN"/>
              </w:rPr>
              <w:t>316</w:t>
            </w:r>
          </w:p>
        </w:tc>
        <w:tc>
          <w:tcPr>
            <w:tcW w:w="1620" w:type="dxa"/>
            <w:shd w:val="clear" w:color="auto" w:fill="auto"/>
            <w:vAlign w:val="center"/>
          </w:tcPr>
          <w:p w14:paraId="71C1D768">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asciiTheme="minorHAnsi" w:hAnsiTheme="minorHAnsi" w:cstheme="minorBidi"/>
                <w:color w:val="000000"/>
                <w:sz w:val="22"/>
                <w:szCs w:val="22"/>
              </w:rPr>
              <w:t>聚乳酸防粘连凝胶</w:t>
            </w:r>
          </w:p>
        </w:tc>
        <w:tc>
          <w:tcPr>
            <w:tcW w:w="2688" w:type="dxa"/>
            <w:shd w:val="clear" w:color="auto" w:fill="auto"/>
            <w:vAlign w:val="center"/>
          </w:tcPr>
          <w:p w14:paraId="799BABC4">
            <w:pPr>
              <w:snapToGrid w:val="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用于辅助预防或减少腹（盆）腔手术后的术后粘连。</w:t>
            </w:r>
          </w:p>
        </w:tc>
        <w:tc>
          <w:tcPr>
            <w:tcW w:w="1437" w:type="dxa"/>
            <w:shd w:val="clear" w:color="auto" w:fill="auto"/>
            <w:vAlign w:val="center"/>
          </w:tcPr>
          <w:p w14:paraId="77E072AE">
            <w:pPr>
              <w:snapToGrid w:val="0"/>
              <w:jc w:val="righ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382.5-690元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shd w:val="clear" w:color="auto" w:fill="auto"/>
            <w:vAlign w:val="center"/>
          </w:tcPr>
          <w:p w14:paraId="669A7953">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国产</w:t>
            </w:r>
          </w:p>
        </w:tc>
        <w:tc>
          <w:tcPr>
            <w:tcW w:w="663" w:type="dxa"/>
            <w:shd w:val="clear" w:color="auto" w:fill="auto"/>
            <w:vAlign w:val="center"/>
          </w:tcPr>
          <w:p w14:paraId="39F24C95">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Times New Roman" w:eastAsia="宋体" w:hAnsiTheme="minorEastAsia" w:cstheme="minorEastAsia"/>
                <w:kern w:val="2"/>
                <w:sz w:val="21"/>
                <w:szCs w:val="20"/>
                <w:lang w:val="en-US" w:eastAsia="zh-CN" w:bidi="ar-SA"/>
              </w:rPr>
              <w:t>妇科</w:t>
            </w:r>
          </w:p>
        </w:tc>
        <w:tc>
          <w:tcPr>
            <w:tcW w:w="1185" w:type="dxa"/>
            <w:shd w:val="clear" w:color="auto" w:fill="auto"/>
            <w:vAlign w:val="center"/>
          </w:tcPr>
          <w:p w14:paraId="7FE5F66D">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7792CE14">
            <w:pPr>
              <w:widowControl/>
              <w:snapToGrid w:val="0"/>
              <w:jc w:val="center"/>
              <w:textAlignment w:val="center"/>
              <w:rPr>
                <w:rFonts w:hint="eastAsia" w:ascii="Times New Roman" w:hAnsi="Times New Roman" w:eastAsia="宋体" w:cs="Times New Roman"/>
                <w:kern w:val="2"/>
                <w:sz w:val="21"/>
                <w:szCs w:val="24"/>
                <w:lang w:val="en-US" w:eastAsia="zh-CN" w:bidi="ar-SA"/>
              </w:rPr>
            </w:pPr>
            <w:r>
              <w:rPr>
                <w:rFonts w:hint="eastAsia" w:eastAsia="宋体"/>
                <w:color w:val="000000"/>
              </w:rPr>
              <w:t>是</w:t>
            </w:r>
          </w:p>
        </w:tc>
      </w:tr>
    </w:tbl>
    <w:p w14:paraId="42F5C740">
      <w:pPr>
        <w:widowControl/>
        <w:wordWrap w:val="0"/>
        <w:spacing w:line="420" w:lineRule="exact"/>
        <w:ind w:right="420" w:firstLine="420" w:firstLineChars="200"/>
        <w:rPr>
          <w:szCs w:val="21"/>
          <w:highlight w:val="yellow"/>
        </w:rPr>
      </w:pPr>
    </w:p>
    <w:p w14:paraId="2480BB76">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szCs w:val="21"/>
        </w:rPr>
        <w:t>项目编号+项目名称+供应商名称</w:t>
      </w:r>
      <w:r>
        <w:rPr>
          <w:rFonts w:hint="eastAsia"/>
          <w:szCs w:val="21"/>
          <w:highlight w:val="yellow"/>
        </w:rPr>
        <w:t>《2025年第</w:t>
      </w:r>
      <w:r>
        <w:rPr>
          <w:rFonts w:hint="eastAsia"/>
          <w:szCs w:val="21"/>
        </w:rPr>
        <w:t>**</w:t>
      </w:r>
      <w:r>
        <w:rPr>
          <w:rFonts w:hint="eastAsia"/>
          <w:szCs w:val="21"/>
          <w:highlight w:val="yellow"/>
        </w:rPr>
        <w:t>期医用耗材投标报名及资格审查文件》（报名时提交）</w:t>
      </w:r>
    </w:p>
    <w:p w14:paraId="18AE1388">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65524781">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9C19FB4">
      <w:pPr>
        <w:widowControl/>
        <w:wordWrap w:val="0"/>
        <w:spacing w:line="420" w:lineRule="exact"/>
        <w:ind w:left="420" w:leftChars="200" w:right="420"/>
        <w:rPr>
          <w:szCs w:val="21"/>
        </w:rPr>
      </w:pPr>
      <w:r>
        <w:rPr>
          <w:rFonts w:hint="eastAsia"/>
          <w:szCs w:val="21"/>
        </w:rPr>
        <w:t>备注：</w:t>
      </w:r>
    </w:p>
    <w:p w14:paraId="6EAE47D1">
      <w:pPr>
        <w:pStyle w:val="36"/>
        <w:ind w:firstLine="420"/>
        <w:rPr>
          <w:szCs w:val="21"/>
        </w:rPr>
      </w:pPr>
      <w:r>
        <w:rPr>
          <w:rFonts w:hint="eastAsia"/>
          <w:szCs w:val="21"/>
        </w:rPr>
        <w:t>1.《2025年第**期**项目医用耗材投标产品明细表》用</w:t>
      </w:r>
      <w:r>
        <w:rPr>
          <w:rFonts w:hint="eastAsia"/>
          <w:b/>
          <w:color w:val="000000"/>
          <w:szCs w:val="21"/>
        </w:rPr>
        <w:t>Excel</w:t>
      </w:r>
      <w:r>
        <w:rPr>
          <w:rFonts w:hint="eastAsia"/>
          <w:szCs w:val="21"/>
        </w:rPr>
        <w:t>表格形式单独发送一份</w:t>
      </w:r>
    </w:p>
    <w:p w14:paraId="1DC86B5A">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14025960">
      <w:pPr>
        <w:widowControl/>
        <w:wordWrap w:val="0"/>
        <w:spacing w:line="420" w:lineRule="exact"/>
        <w:ind w:right="420" w:firstLine="5460" w:firstLineChars="2600"/>
        <w:jc w:val="right"/>
        <w:rPr>
          <w:rFonts w:ascii="Tahoma" w:hAnsi="Tahoma" w:cs="Tahoma"/>
          <w:kern w:val="0"/>
          <w:szCs w:val="21"/>
        </w:rPr>
      </w:pPr>
      <w:r>
        <w:rPr>
          <w:rFonts w:hint="eastAsia"/>
          <w:szCs w:val="21"/>
        </w:rPr>
        <w:t>中山大学附属第八医院（深圳福田）</w:t>
      </w:r>
    </w:p>
    <w:p w14:paraId="16A4DDD6">
      <w:pPr>
        <w:widowControl/>
        <w:wordWrap w:val="0"/>
        <w:spacing w:before="100" w:beforeAutospacing="1" w:after="100" w:afterAutospacing="1" w:line="0" w:lineRule="atLeast"/>
        <w:ind w:right="420" w:firstLine="329"/>
        <w:jc w:val="right"/>
        <w:rPr>
          <w:rFonts w:ascii="Arial Unicode MS" w:hAnsi="Arial Unicode MS" w:eastAsia="Arial Unicode MS" w:cs="Arial Unicode MS"/>
          <w:b/>
          <w:bCs/>
          <w:sz w:val="32"/>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rPr>
        <w:t>2025年10月</w:t>
      </w:r>
    </w:p>
    <w:p w14:paraId="1A9CEBB9">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63EECAF5">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61249E17">
      <w:pPr>
        <w:numPr>
          <w:ilvl w:val="0"/>
          <w:numId w:val="9"/>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45D68895">
      <w:pPr>
        <w:pStyle w:val="43"/>
        <w:widowControl/>
        <w:adjustRightInd w:val="0"/>
        <w:snapToGrid w:val="0"/>
        <w:spacing w:line="360" w:lineRule="auto"/>
        <w:ind w:left="426" w:firstLine="480"/>
        <w:rPr>
          <w:rFonts w:ascii="宋体" w:hAnsi="宋体" w:eastAsia="宋体" w:cs="宋体"/>
          <w:color w:val="000000" w:themeColor="text1"/>
          <w:kern w:val="0"/>
          <w:sz w:val="24"/>
        </w:rPr>
      </w:pPr>
      <w:bookmarkStart w:id="3" w:name="_Toc61271840"/>
      <w:r>
        <w:rPr>
          <w:rFonts w:hint="eastAsia" w:ascii="宋体" w:hAnsi="宋体" w:eastAsia="宋体" w:cs="宋体"/>
          <w:color w:val="000000" w:themeColor="text1"/>
          <w:kern w:val="0"/>
          <w:sz w:val="24"/>
        </w:rPr>
        <w:t>根据2025年党办通265号（2025年第一次医院耗材管理委员会审议结果）的决议，对协议到期医用耗材项目进行招采。</w:t>
      </w:r>
    </w:p>
    <w:p w14:paraId="654711B2">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688"/>
        <w:gridCol w:w="1437"/>
        <w:gridCol w:w="840"/>
        <w:gridCol w:w="663"/>
        <w:gridCol w:w="1185"/>
        <w:gridCol w:w="818"/>
      </w:tblGrid>
      <w:tr w14:paraId="0E7C6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5907B65C">
            <w:pPr>
              <w:snapToGrid w:val="0"/>
              <w:jc w:val="center"/>
              <w:rPr>
                <w:rFonts w:ascii="宋体" w:eastAsia="宋体"/>
                <w:b/>
                <w:sz w:val="22"/>
              </w:rPr>
            </w:pPr>
            <w:r>
              <w:rPr>
                <w:rFonts w:hint="eastAsia" w:ascii="宋体" w:eastAsia="宋体"/>
                <w:b/>
                <w:sz w:val="22"/>
              </w:rPr>
              <w:t>序号</w:t>
            </w:r>
          </w:p>
        </w:tc>
        <w:tc>
          <w:tcPr>
            <w:tcW w:w="1281" w:type="dxa"/>
            <w:vAlign w:val="center"/>
          </w:tcPr>
          <w:p w14:paraId="1EEB5C40">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2E0F921D">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688" w:type="dxa"/>
            <w:vAlign w:val="center"/>
          </w:tcPr>
          <w:p w14:paraId="7C57AC62">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437" w:type="dxa"/>
            <w:vAlign w:val="center"/>
          </w:tcPr>
          <w:p w14:paraId="5A677FB7">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17E3E1DA">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840" w:type="dxa"/>
            <w:vAlign w:val="center"/>
          </w:tcPr>
          <w:p w14:paraId="5D74B56A">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663" w:type="dxa"/>
            <w:vAlign w:val="center"/>
          </w:tcPr>
          <w:p w14:paraId="7029B5C5">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185" w:type="dxa"/>
            <w:vAlign w:val="center"/>
          </w:tcPr>
          <w:p w14:paraId="2A40A2D5">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6AAFA642">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6A612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48748581">
            <w:pPr>
              <w:snapToGrid w:val="0"/>
              <w:jc w:val="center"/>
              <w:rPr>
                <w:rFonts w:eastAsia="宋体" w:hAnsiTheme="minorEastAsia" w:cstheme="minorEastAsia"/>
                <w:szCs w:val="20"/>
              </w:rPr>
            </w:pPr>
            <w:r>
              <w:rPr>
                <w:rFonts w:hint="eastAsia" w:eastAsia="宋体" w:hAnsiTheme="minorEastAsia" w:cstheme="minorEastAsia"/>
                <w:szCs w:val="20"/>
              </w:rPr>
              <w:t>1</w:t>
            </w:r>
          </w:p>
        </w:tc>
        <w:tc>
          <w:tcPr>
            <w:tcW w:w="1281" w:type="dxa"/>
            <w:shd w:val="clear" w:color="000000" w:fill="FFFFFF"/>
            <w:noWrap/>
            <w:vAlign w:val="center"/>
          </w:tcPr>
          <w:p w14:paraId="2322A4F0">
            <w:pPr>
              <w:widowControl/>
              <w:jc w:val="center"/>
              <w:textAlignment w:val="center"/>
              <w:rPr>
                <w:rFonts w:eastAsia="宋体" w:hAnsiTheme="minorEastAsia" w:cstheme="minorEastAsia"/>
                <w:szCs w:val="20"/>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 xml:space="preserve">71 </w:t>
            </w:r>
            <w:r>
              <w:rPr>
                <w:rFonts w:eastAsia="宋体"/>
                <w:color w:val="000000"/>
                <w:kern w:val="0"/>
                <w:sz w:val="22"/>
                <w:szCs w:val="22"/>
              </w:rPr>
              <w:t>-</w:t>
            </w:r>
            <w:r>
              <w:rPr>
                <w:rFonts w:hint="eastAsia" w:eastAsia="宋体"/>
                <w:color w:val="000000"/>
                <w:kern w:val="0"/>
                <w:sz w:val="22"/>
                <w:szCs w:val="22"/>
                <w:lang w:val="en-US" w:eastAsia="zh-CN"/>
              </w:rPr>
              <w:t>313</w:t>
            </w:r>
          </w:p>
        </w:tc>
        <w:tc>
          <w:tcPr>
            <w:tcW w:w="1620" w:type="dxa"/>
            <w:vAlign w:val="center"/>
          </w:tcPr>
          <w:p w14:paraId="1907ECD5">
            <w:pPr>
              <w:widowControl/>
              <w:jc w:val="center"/>
              <w:textAlignment w:val="center"/>
              <w:rPr>
                <w:rFonts w:eastAsia="宋体"/>
                <w:color w:val="000000"/>
                <w:sz w:val="22"/>
              </w:rPr>
            </w:pPr>
            <w:r>
              <w:rPr>
                <w:rFonts w:hint="eastAsia" w:eastAsia="宋体"/>
                <w:color w:val="000000"/>
                <w:sz w:val="22"/>
              </w:rPr>
              <w:t>可吸收骨折内固定螺钉</w:t>
            </w:r>
          </w:p>
        </w:tc>
        <w:tc>
          <w:tcPr>
            <w:tcW w:w="2688" w:type="dxa"/>
            <w:vAlign w:val="center"/>
          </w:tcPr>
          <w:p w14:paraId="3A446E7C">
            <w:pPr>
              <w:snapToGrid w:val="0"/>
              <w:jc w:val="left"/>
              <w:rPr>
                <w:rFonts w:eastAsia="宋体"/>
              </w:rPr>
            </w:pPr>
            <w:r>
              <w:rPr>
                <w:rFonts w:hint="eastAsia" w:eastAsia="宋体"/>
              </w:rPr>
              <w:t>用于非承重部位的骨折内固定术、截骨术、关节融合术等。</w:t>
            </w:r>
          </w:p>
        </w:tc>
        <w:tc>
          <w:tcPr>
            <w:tcW w:w="1437" w:type="dxa"/>
            <w:vAlign w:val="center"/>
          </w:tcPr>
          <w:p w14:paraId="3B4B8685">
            <w:pPr>
              <w:snapToGrid w:val="0"/>
              <w:jc w:val="right"/>
              <w:rPr>
                <w:rFonts w:hint="eastAsia" w:eastAsia="宋体"/>
                <w:lang w:eastAsia="zh-CN"/>
              </w:rPr>
            </w:pPr>
            <w:r>
              <w:rPr>
                <w:rFonts w:hint="eastAsia" w:eastAsia="宋体"/>
              </w:rPr>
              <w:t>1944-2780</w:t>
            </w:r>
            <w:r>
              <w:rPr>
                <w:rFonts w:hint="eastAsia" w:eastAsia="宋体"/>
                <w:lang w:val="en-US" w:eastAsia="zh-CN"/>
              </w:rPr>
              <w:t>0</w:t>
            </w:r>
            <w:r>
              <w:rPr>
                <w:rFonts w:hint="eastAsia" w:eastAsia="宋体"/>
              </w:rPr>
              <w:t>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vAlign w:val="center"/>
          </w:tcPr>
          <w:p w14:paraId="0B44C9C4">
            <w:pPr>
              <w:widowControl/>
              <w:snapToGrid w:val="0"/>
              <w:jc w:val="center"/>
              <w:textAlignment w:val="center"/>
              <w:rPr>
                <w:rFonts w:eastAsia="宋体" w:hAnsiTheme="minorEastAsia" w:cstheme="minorEastAsia"/>
                <w:szCs w:val="20"/>
              </w:rPr>
            </w:pPr>
            <w:r>
              <w:rPr>
                <w:rFonts w:hint="eastAsia" w:eastAsia="宋体" w:hAnsiTheme="minorEastAsia" w:cstheme="minorEastAsia"/>
                <w:szCs w:val="20"/>
              </w:rPr>
              <w:t>国产</w:t>
            </w:r>
          </w:p>
        </w:tc>
        <w:tc>
          <w:tcPr>
            <w:tcW w:w="663" w:type="dxa"/>
            <w:vAlign w:val="center"/>
          </w:tcPr>
          <w:p w14:paraId="40671D50">
            <w:pPr>
              <w:widowControl/>
              <w:snapToGrid w:val="0"/>
              <w:jc w:val="center"/>
              <w:textAlignment w:val="center"/>
              <w:rPr>
                <w:rFonts w:eastAsia="宋体" w:hAnsiTheme="minorEastAsia" w:cstheme="minorEastAsia"/>
                <w:szCs w:val="20"/>
              </w:rPr>
            </w:pPr>
            <w:r>
              <w:rPr>
                <w:rFonts w:hint="eastAsia" w:hAnsi="宋体" w:eastAsia="宋体" w:cs="宋体"/>
                <w:color w:val="000000"/>
                <w:szCs w:val="20"/>
              </w:rPr>
              <w:t>骨科</w:t>
            </w:r>
          </w:p>
        </w:tc>
        <w:tc>
          <w:tcPr>
            <w:tcW w:w="1185" w:type="dxa"/>
            <w:vAlign w:val="center"/>
          </w:tcPr>
          <w:p w14:paraId="5316EFF4">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4775DBC6">
            <w:pPr>
              <w:widowControl/>
              <w:snapToGrid w:val="0"/>
              <w:jc w:val="center"/>
              <w:textAlignment w:val="center"/>
              <w:rPr>
                <w:rFonts w:eastAsia="宋体"/>
                <w:color w:val="000000"/>
              </w:rPr>
            </w:pPr>
            <w:r>
              <w:rPr>
                <w:rFonts w:hint="eastAsia" w:eastAsia="宋体"/>
                <w:color w:val="000000"/>
              </w:rPr>
              <w:t>是</w:t>
            </w:r>
          </w:p>
        </w:tc>
      </w:tr>
      <w:tr w14:paraId="24263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44A048F0">
            <w:pPr>
              <w:snapToGrid w:val="0"/>
              <w:jc w:val="center"/>
              <w:rPr>
                <w:rFonts w:eastAsia="宋体" w:hAnsiTheme="minorEastAsia" w:cstheme="minorEastAsia"/>
                <w:szCs w:val="20"/>
              </w:rPr>
            </w:pPr>
            <w:r>
              <w:rPr>
                <w:rFonts w:hint="eastAsia" w:eastAsia="宋体" w:hAnsiTheme="minorEastAsia" w:cstheme="minorEastAsia"/>
                <w:szCs w:val="20"/>
              </w:rPr>
              <w:t>2</w:t>
            </w:r>
          </w:p>
        </w:tc>
        <w:tc>
          <w:tcPr>
            <w:tcW w:w="1281" w:type="dxa"/>
            <w:shd w:val="clear" w:color="000000" w:fill="FFFFFF"/>
            <w:noWrap/>
            <w:vAlign w:val="center"/>
          </w:tcPr>
          <w:p w14:paraId="050869E7">
            <w:pPr>
              <w:widowControl/>
              <w:jc w:val="center"/>
              <w:textAlignment w:val="center"/>
              <w:rPr>
                <w:rFonts w:eastAsia="宋体" w:hAnsiTheme="minorEastAsia" w:cstheme="minorEastAsia"/>
                <w:szCs w:val="20"/>
              </w:rPr>
            </w:pPr>
            <w:r>
              <w:rPr>
                <w:rFonts w:hint="eastAsia" w:ascii="Times New Roman" w:hAnsi="Times New Roman" w:eastAsia="宋体" w:cs="Times New Roman"/>
                <w:color w:val="000000"/>
                <w:kern w:val="0"/>
                <w:sz w:val="22"/>
                <w:szCs w:val="22"/>
                <w:lang w:val="en-US" w:eastAsia="zh-CN"/>
              </w:rPr>
              <w:t>ZCB2025-HC71-314-A</w:t>
            </w:r>
          </w:p>
        </w:tc>
        <w:tc>
          <w:tcPr>
            <w:tcW w:w="1620" w:type="dxa"/>
            <w:vAlign w:val="center"/>
          </w:tcPr>
          <w:p w14:paraId="5F2BB052">
            <w:p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医用高分子夹板</w:t>
            </w:r>
            <w:r>
              <w:rPr>
                <w:rFonts w:hint="eastAsia" w:eastAsia="宋体"/>
                <w:color w:val="000000"/>
                <w:kern w:val="0"/>
                <w:sz w:val="22"/>
                <w:szCs w:val="22"/>
                <w:lang w:val="en-US" w:eastAsia="zh-CN"/>
              </w:rPr>
              <w:t>（A包）</w:t>
            </w:r>
          </w:p>
        </w:tc>
        <w:tc>
          <w:tcPr>
            <w:tcW w:w="2688" w:type="dxa"/>
            <w:vAlign w:val="center"/>
          </w:tcPr>
          <w:p w14:paraId="27EFB6BA">
            <w:pPr>
              <w:snapToGrid w:val="0"/>
              <w:jc w:val="left"/>
              <w:rPr>
                <w:rFonts w:eastAsia="宋体"/>
              </w:rPr>
            </w:pPr>
            <w:r>
              <w:rPr>
                <w:rFonts w:hint="eastAsia" w:eastAsia="宋体" w:hAnsiTheme="minorEastAsia" w:cstheme="minorEastAsia"/>
                <w:szCs w:val="20"/>
              </w:rPr>
              <w:t>用于骨折或软组织等损伤的外固定。</w:t>
            </w:r>
          </w:p>
        </w:tc>
        <w:tc>
          <w:tcPr>
            <w:tcW w:w="1437" w:type="dxa"/>
            <w:vAlign w:val="center"/>
          </w:tcPr>
          <w:p w14:paraId="08A5B788">
            <w:pPr>
              <w:snapToGrid w:val="0"/>
              <w:jc w:val="right"/>
              <w:rPr>
                <w:rFonts w:eastAsia="宋体"/>
              </w:rPr>
            </w:pPr>
            <w:r>
              <w:rPr>
                <w:rFonts w:hint="eastAsia" w:eastAsia="宋体"/>
              </w:rPr>
              <w:t>166.6-277.2元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vAlign w:val="center"/>
          </w:tcPr>
          <w:p w14:paraId="7E921A4E">
            <w:pPr>
              <w:snapToGrid w:val="0"/>
              <w:jc w:val="center"/>
              <w:rPr>
                <w:rFonts w:eastAsia="宋体" w:hAnsiTheme="minorEastAsia" w:cstheme="minorEastAsia"/>
                <w:szCs w:val="20"/>
              </w:rPr>
            </w:pPr>
            <w:r>
              <w:rPr>
                <w:rFonts w:hint="eastAsia" w:eastAsia="宋体" w:hAnsiTheme="minorEastAsia" w:cstheme="minorEastAsia"/>
                <w:szCs w:val="20"/>
              </w:rPr>
              <w:t>国产</w:t>
            </w:r>
          </w:p>
        </w:tc>
        <w:tc>
          <w:tcPr>
            <w:tcW w:w="663" w:type="dxa"/>
            <w:vAlign w:val="center"/>
          </w:tcPr>
          <w:p w14:paraId="053371E1">
            <w:r>
              <w:rPr>
                <w:rFonts w:hint="eastAsia"/>
              </w:rPr>
              <w:t>骨科</w:t>
            </w:r>
          </w:p>
        </w:tc>
        <w:tc>
          <w:tcPr>
            <w:tcW w:w="1185" w:type="dxa"/>
            <w:vAlign w:val="center"/>
          </w:tcPr>
          <w:p w14:paraId="662A3041">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88F2D6E">
            <w:pPr>
              <w:widowControl/>
              <w:snapToGrid w:val="0"/>
              <w:jc w:val="center"/>
              <w:textAlignment w:val="center"/>
              <w:rPr>
                <w:rFonts w:eastAsia="宋体" w:hAnsiTheme="minorHAnsi" w:cstheme="minorBidi"/>
                <w:color w:val="000000"/>
                <w:szCs w:val="22"/>
              </w:rPr>
            </w:pPr>
            <w:r>
              <w:rPr>
                <w:rFonts w:hint="eastAsia" w:eastAsia="宋体"/>
                <w:color w:val="000000"/>
              </w:rPr>
              <w:t>是</w:t>
            </w:r>
          </w:p>
        </w:tc>
      </w:tr>
      <w:tr w14:paraId="59A0B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429164EF">
            <w:pPr>
              <w:snapToGrid w:val="0"/>
              <w:jc w:val="center"/>
              <w:rPr>
                <w:rFonts w:hint="eastAsia" w:eastAsia="宋体" w:hAnsiTheme="minorEastAsia" w:cstheme="minorEastAsia"/>
                <w:szCs w:val="20"/>
                <w:lang w:eastAsia="zh-CN"/>
              </w:rPr>
            </w:pPr>
            <w:r>
              <w:rPr>
                <w:rFonts w:hint="eastAsia" w:eastAsia="宋体" w:hAnsiTheme="minorEastAsia" w:cstheme="minorEastAsia"/>
                <w:szCs w:val="20"/>
                <w:lang w:val="en-US" w:eastAsia="zh-CN"/>
              </w:rPr>
              <w:t>3</w:t>
            </w:r>
          </w:p>
        </w:tc>
        <w:tc>
          <w:tcPr>
            <w:tcW w:w="1281" w:type="dxa"/>
            <w:shd w:val="clear" w:color="000000" w:fill="FFFFFF"/>
            <w:noWrap/>
            <w:vAlign w:val="center"/>
          </w:tcPr>
          <w:p w14:paraId="1E799E4B">
            <w:pPr>
              <w:widowControl/>
              <w:jc w:val="center"/>
              <w:textAlignment w:val="center"/>
              <w:rPr>
                <w:rFonts w:eastAsia="宋体"/>
                <w:color w:val="000000"/>
                <w:kern w:val="0"/>
                <w:szCs w:val="22"/>
              </w:rPr>
            </w:pPr>
            <w:r>
              <w:rPr>
                <w:rFonts w:hint="eastAsia" w:ascii="Times New Roman" w:hAnsi="Times New Roman" w:eastAsia="宋体" w:cs="Times New Roman"/>
                <w:color w:val="000000"/>
                <w:kern w:val="0"/>
                <w:sz w:val="22"/>
                <w:szCs w:val="22"/>
                <w:lang w:val="en-US" w:eastAsia="zh-CN"/>
              </w:rPr>
              <w:t>ZCB2025-HC71-314-B</w:t>
            </w:r>
          </w:p>
        </w:tc>
        <w:tc>
          <w:tcPr>
            <w:tcW w:w="1620" w:type="dxa"/>
            <w:shd w:val="clear" w:color="auto" w:fill="auto"/>
            <w:vAlign w:val="center"/>
          </w:tcPr>
          <w:p w14:paraId="610CF1C5">
            <w:p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医用高分子夹板</w:t>
            </w:r>
            <w:r>
              <w:rPr>
                <w:rFonts w:hint="eastAsia" w:asciiTheme="minorHAnsi" w:hAnsiTheme="minorHAnsi" w:cstheme="minorBidi"/>
                <w:color w:val="000000"/>
                <w:sz w:val="22"/>
                <w:szCs w:val="22"/>
                <w:lang w:eastAsia="zh-CN"/>
              </w:rPr>
              <w:t>（</w:t>
            </w:r>
            <w:r>
              <w:rPr>
                <w:rFonts w:hint="eastAsia" w:asciiTheme="minorHAnsi" w:hAnsiTheme="minorHAnsi" w:cstheme="minorBidi"/>
                <w:color w:val="000000"/>
                <w:sz w:val="22"/>
                <w:szCs w:val="22"/>
                <w:lang w:val="en-US" w:eastAsia="zh-CN"/>
              </w:rPr>
              <w:t>B包</w:t>
            </w:r>
            <w:r>
              <w:rPr>
                <w:rFonts w:hint="eastAsia" w:asciiTheme="minorHAnsi" w:hAnsiTheme="minorHAnsi" w:cstheme="minorBidi"/>
                <w:color w:val="000000"/>
                <w:sz w:val="22"/>
                <w:szCs w:val="22"/>
                <w:lang w:eastAsia="zh-CN"/>
              </w:rPr>
              <w:t>）</w:t>
            </w:r>
          </w:p>
        </w:tc>
        <w:tc>
          <w:tcPr>
            <w:tcW w:w="2688" w:type="dxa"/>
            <w:shd w:val="clear" w:color="auto" w:fill="auto"/>
            <w:vAlign w:val="center"/>
          </w:tcPr>
          <w:p w14:paraId="11315405">
            <w:pPr>
              <w:numPr>
                <w:ilvl w:val="0"/>
                <w:numId w:val="10"/>
              </w:numPr>
              <w:snapToGrid w:val="0"/>
              <w:jc w:val="left"/>
              <w:rPr>
                <w:rFonts w:hint="eastAsia" w:eastAsia="宋体"/>
                <w:lang w:val="en-US" w:eastAsia="zh-CN"/>
              </w:rPr>
            </w:pPr>
            <w:r>
              <w:rPr>
                <w:rFonts w:hint="eastAsia" w:eastAsia="宋体"/>
                <w:lang w:val="en-US" w:eastAsia="zh-CN"/>
              </w:rPr>
              <w:t>主要用以四肢骨折外固定、能透X线、透气、防水、可视性好；</w:t>
            </w:r>
          </w:p>
          <w:p w14:paraId="60291122">
            <w:pPr>
              <w:numPr>
                <w:ilvl w:val="0"/>
                <w:numId w:val="10"/>
              </w:numPr>
              <w:snapToGrid w:val="0"/>
              <w:jc w:val="left"/>
              <w:rPr>
                <w:rFonts w:hint="default" w:eastAsia="宋体"/>
                <w:lang w:val="en-US" w:eastAsia="zh-CN"/>
              </w:rPr>
            </w:pPr>
            <w:r>
              <w:rPr>
                <w:rFonts w:hint="default" w:eastAsia="宋体"/>
                <w:lang w:val="en-US" w:eastAsia="zh-CN"/>
              </w:rPr>
              <w:t>安全，对人体皮肤无害、无致敏风险，需提供</w:t>
            </w:r>
            <w:r>
              <w:rPr>
                <w:rFonts w:hint="eastAsia" w:eastAsia="宋体"/>
                <w:lang w:val="en-US" w:eastAsia="zh-CN"/>
              </w:rPr>
              <w:t>使用说明书；</w:t>
            </w:r>
          </w:p>
          <w:p w14:paraId="4025A939">
            <w:pPr>
              <w:numPr>
                <w:ilvl w:val="0"/>
                <w:numId w:val="10"/>
              </w:numPr>
              <w:snapToGrid w:val="0"/>
              <w:jc w:val="left"/>
              <w:rPr>
                <w:rFonts w:hint="default" w:eastAsia="宋体"/>
                <w:lang w:val="en-US" w:eastAsia="zh-CN"/>
              </w:rPr>
            </w:pPr>
            <w:r>
              <w:rPr>
                <w:rFonts w:hint="default" w:eastAsia="宋体"/>
                <w:lang w:val="en-US" w:eastAsia="zh-CN"/>
              </w:rPr>
              <w:t>定型强度，不低于50D（邵氏硬度）</w:t>
            </w:r>
            <w:r>
              <w:rPr>
                <w:rFonts w:hint="eastAsia" w:eastAsia="宋体"/>
                <w:lang w:val="en-US" w:eastAsia="zh-CN"/>
              </w:rPr>
              <w:t>；</w:t>
            </w:r>
          </w:p>
          <w:p w14:paraId="46303E0F">
            <w:pPr>
              <w:numPr>
                <w:ilvl w:val="0"/>
                <w:numId w:val="10"/>
              </w:numPr>
              <w:snapToGrid w:val="0"/>
              <w:jc w:val="left"/>
              <w:rPr>
                <w:rFonts w:hint="default" w:eastAsia="宋体"/>
                <w:lang w:val="en-US" w:eastAsia="zh-CN"/>
              </w:rPr>
            </w:pPr>
            <w:r>
              <w:rPr>
                <w:rFonts w:hint="default" w:eastAsia="宋体"/>
                <w:lang w:val="en-US" w:eastAsia="zh-CN"/>
              </w:rPr>
              <w:t>夹板的弯曲强度，不低于35MPa</w:t>
            </w:r>
            <w:r>
              <w:rPr>
                <w:rFonts w:hint="eastAsia" w:eastAsia="宋体"/>
                <w:lang w:val="en-US" w:eastAsia="zh-CN"/>
              </w:rPr>
              <w:t>；</w:t>
            </w:r>
          </w:p>
          <w:p w14:paraId="0A973D8F">
            <w:pPr>
              <w:numPr>
                <w:ilvl w:val="0"/>
                <w:numId w:val="10"/>
              </w:numPr>
              <w:snapToGrid w:val="0"/>
              <w:jc w:val="left"/>
              <w:rPr>
                <w:rFonts w:hint="default" w:eastAsia="宋体"/>
                <w:lang w:val="en-US" w:eastAsia="zh-CN"/>
              </w:rPr>
            </w:pPr>
            <w:r>
              <w:rPr>
                <w:rFonts w:hint="default" w:eastAsia="宋体"/>
                <w:lang w:val="en-US" w:eastAsia="zh-CN"/>
              </w:rPr>
              <w:t>可重复塑形固定</w:t>
            </w:r>
            <w:r>
              <w:rPr>
                <w:rFonts w:hint="eastAsia" w:eastAsia="宋体"/>
                <w:lang w:val="en-US" w:eastAsia="zh-CN"/>
              </w:rPr>
              <w:t>；</w:t>
            </w:r>
          </w:p>
          <w:p w14:paraId="514BB5D3">
            <w:pPr>
              <w:numPr>
                <w:ilvl w:val="0"/>
                <w:numId w:val="10"/>
              </w:numPr>
              <w:snapToGrid w:val="0"/>
              <w:jc w:val="left"/>
              <w:rPr>
                <w:rFonts w:hint="default" w:eastAsia="宋体"/>
                <w:lang w:val="en-US" w:eastAsia="zh-CN"/>
              </w:rPr>
            </w:pPr>
            <w:r>
              <w:rPr>
                <w:rFonts w:hint="default" w:eastAsia="宋体"/>
                <w:lang w:val="en-US" w:eastAsia="zh-CN"/>
              </w:rPr>
              <w:t>使用时，不需要额外的设备设施（减少额外的医疗支出成本）</w:t>
            </w:r>
          </w:p>
        </w:tc>
        <w:tc>
          <w:tcPr>
            <w:tcW w:w="1437" w:type="dxa"/>
            <w:shd w:val="clear" w:color="auto" w:fill="auto"/>
            <w:vAlign w:val="center"/>
          </w:tcPr>
          <w:p w14:paraId="3C016E80">
            <w:pPr>
              <w:snapToGrid w:val="0"/>
              <w:jc w:val="right"/>
              <w:rPr>
                <w:rFonts w:eastAsia="宋体"/>
              </w:rPr>
            </w:pPr>
            <w:r>
              <w:rPr>
                <w:rFonts w:hint="eastAsia" w:eastAsia="宋体"/>
                <w:lang w:eastAsia="zh-CN"/>
              </w:rPr>
              <w:t>104-420</w:t>
            </w:r>
            <w:r>
              <w:rPr>
                <w:rFonts w:hint="eastAsia" w:eastAsia="宋体"/>
                <w:lang w:val="en-US" w:eastAsia="zh-CN"/>
              </w:rPr>
              <w:t>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shd w:val="clear" w:color="auto" w:fill="auto"/>
            <w:vAlign w:val="center"/>
          </w:tcPr>
          <w:p w14:paraId="66A3BA93">
            <w:pPr>
              <w:widowControl/>
              <w:snapToGrid w:val="0"/>
              <w:jc w:val="center"/>
              <w:textAlignment w:val="center"/>
              <w:rPr>
                <w:rFonts w:eastAsia="宋体" w:hAnsiTheme="minorEastAsia" w:cstheme="minorEastAsia"/>
                <w:szCs w:val="20"/>
              </w:rPr>
            </w:pPr>
            <w:r>
              <w:rPr>
                <w:rFonts w:hint="eastAsia" w:eastAsia="宋体" w:hAnsiTheme="minorEastAsia" w:cstheme="minorEastAsia"/>
                <w:szCs w:val="20"/>
              </w:rPr>
              <w:t>国产</w:t>
            </w:r>
          </w:p>
        </w:tc>
        <w:tc>
          <w:tcPr>
            <w:tcW w:w="663" w:type="dxa"/>
            <w:shd w:val="clear" w:color="auto" w:fill="auto"/>
            <w:vAlign w:val="center"/>
          </w:tcPr>
          <w:p w14:paraId="68C6CDBE">
            <w:pPr>
              <w:widowControl/>
              <w:snapToGrid w:val="0"/>
              <w:jc w:val="center"/>
              <w:textAlignment w:val="center"/>
            </w:pPr>
            <w:r>
              <w:rPr>
                <w:rFonts w:hint="eastAsia"/>
              </w:rPr>
              <w:t>骨科</w:t>
            </w:r>
          </w:p>
        </w:tc>
        <w:tc>
          <w:tcPr>
            <w:tcW w:w="1185" w:type="dxa"/>
            <w:shd w:val="clear" w:color="auto" w:fill="auto"/>
            <w:vAlign w:val="center"/>
          </w:tcPr>
          <w:p w14:paraId="7B0C1EAB">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17560ACB">
            <w:pPr>
              <w:widowControl/>
              <w:snapToGrid w:val="0"/>
              <w:jc w:val="center"/>
              <w:textAlignment w:val="center"/>
              <w:rPr>
                <w:rFonts w:hint="eastAsia" w:ascii="Times New Roman" w:hAnsi="Times New Roman" w:eastAsia="宋体" w:cs="Times New Roman"/>
                <w:kern w:val="2"/>
                <w:sz w:val="21"/>
                <w:szCs w:val="24"/>
                <w:lang w:val="en-US" w:eastAsia="zh-CN" w:bidi="ar-SA"/>
              </w:rPr>
            </w:pPr>
            <w:r>
              <w:rPr>
                <w:rFonts w:hint="eastAsia" w:eastAsia="宋体"/>
                <w:color w:val="000000"/>
              </w:rPr>
              <w:t>是</w:t>
            </w:r>
          </w:p>
        </w:tc>
      </w:tr>
      <w:tr w14:paraId="1121D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7F1534C6">
            <w:pPr>
              <w:snapToGrid w:val="0"/>
              <w:jc w:val="center"/>
              <w:rPr>
                <w:rFonts w:hint="eastAsia" w:eastAsia="宋体" w:hAnsiTheme="minorEastAsia" w:cstheme="minorEastAsia"/>
                <w:szCs w:val="20"/>
                <w:lang w:val="en-US" w:eastAsia="zh-CN"/>
              </w:rPr>
            </w:pPr>
            <w:r>
              <w:rPr>
                <w:rFonts w:hint="eastAsia" w:eastAsia="宋体" w:hAnsiTheme="minorEastAsia" w:cstheme="minorEastAsia"/>
                <w:szCs w:val="20"/>
                <w:lang w:val="en-US" w:eastAsia="zh-CN"/>
              </w:rPr>
              <w:t>4</w:t>
            </w:r>
          </w:p>
        </w:tc>
        <w:tc>
          <w:tcPr>
            <w:tcW w:w="1281" w:type="dxa"/>
            <w:shd w:val="clear" w:color="000000" w:fill="FFFFFF"/>
            <w:noWrap/>
            <w:vAlign w:val="center"/>
          </w:tcPr>
          <w:p w14:paraId="3F9B47B9">
            <w:pPr>
              <w:widowControl/>
              <w:jc w:val="center"/>
              <w:textAlignment w:val="center"/>
              <w:rPr>
                <w:rFonts w:ascii="Times New Roman" w:hAnsi="Times New Roman" w:eastAsia="宋体" w:cs="Times New Roman"/>
                <w:color w:val="000000"/>
                <w:kern w:val="0"/>
                <w:sz w:val="21"/>
                <w:szCs w:val="22"/>
                <w:lang w:val="en-US" w:eastAsia="zh-CN" w:bidi="ar-SA"/>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71</w:t>
            </w:r>
            <w:r>
              <w:rPr>
                <w:rFonts w:eastAsia="宋体"/>
                <w:color w:val="000000"/>
                <w:kern w:val="0"/>
                <w:sz w:val="22"/>
                <w:szCs w:val="22"/>
              </w:rPr>
              <w:t>-</w:t>
            </w:r>
            <w:r>
              <w:rPr>
                <w:rFonts w:hint="eastAsia" w:eastAsia="宋体"/>
                <w:color w:val="000000"/>
                <w:kern w:val="0"/>
                <w:sz w:val="22"/>
                <w:szCs w:val="22"/>
                <w:lang w:val="en-US" w:eastAsia="zh-CN"/>
              </w:rPr>
              <w:t>315</w:t>
            </w:r>
          </w:p>
        </w:tc>
        <w:tc>
          <w:tcPr>
            <w:tcW w:w="1620" w:type="dxa"/>
            <w:shd w:val="clear" w:color="auto" w:fill="auto"/>
            <w:vAlign w:val="center"/>
          </w:tcPr>
          <w:p w14:paraId="7DC150C8">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eastAsia="宋体"/>
                <w:color w:val="000000"/>
                <w:sz w:val="22"/>
              </w:rPr>
              <w:t>生物刺激反馈仪配套耗材</w:t>
            </w:r>
          </w:p>
        </w:tc>
        <w:tc>
          <w:tcPr>
            <w:tcW w:w="2688" w:type="dxa"/>
            <w:shd w:val="clear" w:color="auto" w:fill="auto"/>
            <w:vAlign w:val="center"/>
          </w:tcPr>
          <w:p w14:paraId="25299CC1">
            <w:pPr>
              <w:numPr>
                <w:ilvl w:val="0"/>
                <w:numId w:val="11"/>
              </w:numPr>
              <w:snapToGrid w:val="0"/>
              <w:jc w:val="left"/>
              <w:rPr>
                <w:rFonts w:hint="eastAsia" w:eastAsia="宋体"/>
              </w:rPr>
            </w:pPr>
            <w:r>
              <w:rPr>
                <w:rFonts w:hint="eastAsia" w:eastAsia="宋体"/>
              </w:rPr>
              <w:t>与麦澜德生物刺激反馈仪配套使用，含一次性使用阴道电极、阴道电极、盆底肌肉康复器，用于传导电脉冲信号及提高盆底肌肉收缩能力。</w:t>
            </w:r>
          </w:p>
          <w:p w14:paraId="5CAA1A7B">
            <w:pPr>
              <w:numPr>
                <w:ilvl w:val="0"/>
                <w:numId w:val="11"/>
              </w:numPr>
              <w:snapToGrid w:val="0"/>
              <w:jc w:val="left"/>
              <w:rPr>
                <w:rFonts w:hint="eastAsia" w:eastAsia="宋体"/>
                <w:lang w:val="en-US" w:eastAsia="zh-CN"/>
              </w:rPr>
            </w:pPr>
            <w:r>
              <w:rPr>
                <w:rFonts w:hint="eastAsia" w:eastAsia="宋体"/>
                <w:lang w:val="en-US" w:eastAsia="zh-CN"/>
              </w:rPr>
              <w:t>与麦澜德生物刺激反馈仪配套使用，含理疗电极片（适用于中低频理疗仪），用于传导电脉冲信号。</w:t>
            </w:r>
          </w:p>
        </w:tc>
        <w:tc>
          <w:tcPr>
            <w:tcW w:w="1437" w:type="dxa"/>
            <w:shd w:val="clear" w:color="auto" w:fill="auto"/>
            <w:vAlign w:val="center"/>
          </w:tcPr>
          <w:p w14:paraId="4A056D0B">
            <w:pPr>
              <w:snapToGrid w:val="0"/>
              <w:jc w:val="right"/>
              <w:rPr>
                <w:rFonts w:hint="eastAsia" w:ascii="Times New Roman" w:hAnsi="Times New Roman" w:eastAsia="宋体" w:cs="Times New Roman"/>
                <w:kern w:val="2"/>
                <w:sz w:val="21"/>
                <w:szCs w:val="24"/>
                <w:lang w:val="en-US" w:eastAsia="zh-CN" w:bidi="ar-SA"/>
              </w:rPr>
            </w:pPr>
            <w:r>
              <w:rPr>
                <w:rFonts w:hint="eastAsia" w:eastAsia="宋体"/>
                <w:lang w:val="en-US" w:eastAsia="zh-CN"/>
              </w:rPr>
              <w:t>4-</w:t>
            </w:r>
            <w:r>
              <w:rPr>
                <w:rFonts w:hint="eastAsia" w:eastAsia="宋体"/>
              </w:rPr>
              <w:t>270元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shd w:val="clear" w:color="auto" w:fill="auto"/>
            <w:vAlign w:val="center"/>
          </w:tcPr>
          <w:p w14:paraId="0E488756">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国产</w:t>
            </w:r>
          </w:p>
        </w:tc>
        <w:tc>
          <w:tcPr>
            <w:tcW w:w="663" w:type="dxa"/>
            <w:shd w:val="clear" w:color="auto" w:fill="auto"/>
            <w:vAlign w:val="center"/>
          </w:tcPr>
          <w:p w14:paraId="6524138D">
            <w:pPr>
              <w:widowControl/>
              <w:snapToGrid w:val="0"/>
              <w:jc w:val="center"/>
              <w:textAlignment w:val="center"/>
              <w:rPr>
                <w:rFonts w:hint="eastAsia" w:ascii="Times New Roman" w:hAnsi="Times New Roman" w:cs="Times New Roman" w:eastAsiaTheme="minorEastAsia"/>
                <w:kern w:val="2"/>
                <w:sz w:val="21"/>
                <w:szCs w:val="24"/>
                <w:lang w:val="en-US" w:eastAsia="zh-CN" w:bidi="ar-SA"/>
              </w:rPr>
            </w:pPr>
            <w:r>
              <w:rPr>
                <w:rFonts w:hint="eastAsia" w:eastAsia="宋体" w:hAnsiTheme="minorEastAsia" w:cstheme="minorEastAsia"/>
                <w:szCs w:val="20"/>
              </w:rPr>
              <w:t>产科</w:t>
            </w:r>
          </w:p>
        </w:tc>
        <w:tc>
          <w:tcPr>
            <w:tcW w:w="1185" w:type="dxa"/>
            <w:shd w:val="clear" w:color="auto" w:fill="auto"/>
            <w:vAlign w:val="center"/>
          </w:tcPr>
          <w:p w14:paraId="3EBD7F01">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00753190">
            <w:pPr>
              <w:widowControl/>
              <w:snapToGrid w:val="0"/>
              <w:jc w:val="center"/>
              <w:textAlignment w:val="center"/>
              <w:rPr>
                <w:rFonts w:hint="eastAsia" w:ascii="Times New Roman" w:hAnsi="Times New Roman" w:eastAsia="宋体" w:cs="Times New Roman"/>
                <w:kern w:val="2"/>
                <w:sz w:val="21"/>
                <w:szCs w:val="24"/>
                <w:lang w:val="en-US" w:eastAsia="zh-CN" w:bidi="ar-SA"/>
              </w:rPr>
            </w:pPr>
            <w:r>
              <w:rPr>
                <w:rFonts w:hint="eastAsia" w:eastAsia="宋体"/>
                <w:color w:val="000000"/>
              </w:rPr>
              <w:t>是</w:t>
            </w:r>
          </w:p>
        </w:tc>
      </w:tr>
      <w:tr w14:paraId="35A19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1F5D7E93">
            <w:pPr>
              <w:snapToGrid w:val="0"/>
              <w:jc w:val="center"/>
              <w:rPr>
                <w:rFonts w:hint="default" w:eastAsia="宋体" w:hAnsiTheme="minorEastAsia" w:cstheme="minorEastAsia"/>
                <w:szCs w:val="20"/>
                <w:lang w:val="en-US" w:eastAsia="zh-CN"/>
              </w:rPr>
            </w:pPr>
            <w:r>
              <w:rPr>
                <w:rFonts w:hint="eastAsia" w:eastAsia="宋体" w:hAnsiTheme="minorEastAsia" w:cstheme="minorEastAsia"/>
                <w:szCs w:val="20"/>
                <w:lang w:val="en-US" w:eastAsia="zh-CN"/>
              </w:rPr>
              <w:t>5</w:t>
            </w:r>
          </w:p>
        </w:tc>
        <w:tc>
          <w:tcPr>
            <w:tcW w:w="1281" w:type="dxa"/>
            <w:shd w:val="clear" w:color="000000" w:fill="FFFFFF"/>
            <w:noWrap/>
            <w:vAlign w:val="center"/>
          </w:tcPr>
          <w:p w14:paraId="2EED3E04">
            <w:pPr>
              <w:widowControl/>
              <w:jc w:val="center"/>
              <w:textAlignment w:val="center"/>
              <w:rPr>
                <w:rFonts w:ascii="Times New Roman" w:hAnsi="Times New Roman" w:eastAsia="宋体" w:cs="Times New Roman"/>
                <w:color w:val="000000"/>
                <w:kern w:val="0"/>
                <w:sz w:val="22"/>
                <w:szCs w:val="22"/>
                <w:lang w:val="en-US" w:eastAsia="zh-CN" w:bidi="ar-SA"/>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71</w:t>
            </w:r>
            <w:r>
              <w:rPr>
                <w:rFonts w:eastAsia="宋体"/>
                <w:color w:val="000000"/>
                <w:kern w:val="0"/>
                <w:sz w:val="22"/>
                <w:szCs w:val="22"/>
              </w:rPr>
              <w:t>-</w:t>
            </w:r>
            <w:r>
              <w:rPr>
                <w:rFonts w:hint="eastAsia" w:eastAsia="宋体"/>
                <w:color w:val="000000"/>
                <w:kern w:val="0"/>
                <w:sz w:val="22"/>
                <w:szCs w:val="22"/>
                <w:lang w:val="en-US" w:eastAsia="zh-CN"/>
              </w:rPr>
              <w:t>316</w:t>
            </w:r>
          </w:p>
        </w:tc>
        <w:tc>
          <w:tcPr>
            <w:tcW w:w="1620" w:type="dxa"/>
            <w:shd w:val="clear" w:color="auto" w:fill="auto"/>
            <w:vAlign w:val="center"/>
          </w:tcPr>
          <w:p w14:paraId="03F20EC6">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asciiTheme="minorHAnsi" w:hAnsiTheme="minorHAnsi" w:cstheme="minorBidi"/>
                <w:color w:val="000000"/>
                <w:sz w:val="22"/>
                <w:szCs w:val="22"/>
              </w:rPr>
              <w:t>聚乳酸防粘连凝胶</w:t>
            </w:r>
          </w:p>
        </w:tc>
        <w:tc>
          <w:tcPr>
            <w:tcW w:w="2688" w:type="dxa"/>
            <w:shd w:val="clear" w:color="auto" w:fill="auto"/>
            <w:vAlign w:val="center"/>
          </w:tcPr>
          <w:p w14:paraId="121F6953">
            <w:pPr>
              <w:snapToGrid w:val="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用于辅助预防或减少腹（盆）腔手术后的术后粘连。</w:t>
            </w:r>
          </w:p>
        </w:tc>
        <w:tc>
          <w:tcPr>
            <w:tcW w:w="1437" w:type="dxa"/>
            <w:shd w:val="clear" w:color="auto" w:fill="auto"/>
            <w:vAlign w:val="center"/>
          </w:tcPr>
          <w:p w14:paraId="2402F42B">
            <w:pPr>
              <w:snapToGrid w:val="0"/>
              <w:jc w:val="righ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382.5-690元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shd w:val="clear" w:color="auto" w:fill="auto"/>
            <w:vAlign w:val="center"/>
          </w:tcPr>
          <w:p w14:paraId="5ABF6B82">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国产</w:t>
            </w:r>
          </w:p>
        </w:tc>
        <w:tc>
          <w:tcPr>
            <w:tcW w:w="663" w:type="dxa"/>
            <w:shd w:val="clear" w:color="auto" w:fill="auto"/>
            <w:vAlign w:val="center"/>
          </w:tcPr>
          <w:p w14:paraId="0C94DD1C">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Times New Roman" w:eastAsia="宋体" w:hAnsiTheme="minorEastAsia" w:cstheme="minorEastAsia"/>
                <w:kern w:val="2"/>
                <w:sz w:val="21"/>
                <w:szCs w:val="20"/>
                <w:lang w:val="en-US" w:eastAsia="zh-CN" w:bidi="ar-SA"/>
              </w:rPr>
              <w:t>妇科</w:t>
            </w:r>
          </w:p>
        </w:tc>
        <w:tc>
          <w:tcPr>
            <w:tcW w:w="1185" w:type="dxa"/>
            <w:shd w:val="clear" w:color="auto" w:fill="auto"/>
            <w:vAlign w:val="center"/>
          </w:tcPr>
          <w:p w14:paraId="71F8FA06">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768C5203">
            <w:pPr>
              <w:widowControl/>
              <w:snapToGrid w:val="0"/>
              <w:jc w:val="center"/>
              <w:textAlignment w:val="center"/>
              <w:rPr>
                <w:rFonts w:hint="eastAsia" w:ascii="Times New Roman" w:hAnsi="Times New Roman" w:eastAsia="宋体" w:cs="Times New Roman"/>
                <w:kern w:val="2"/>
                <w:sz w:val="21"/>
                <w:szCs w:val="24"/>
                <w:lang w:val="en-US" w:eastAsia="zh-CN" w:bidi="ar-SA"/>
              </w:rPr>
            </w:pPr>
            <w:r>
              <w:rPr>
                <w:rFonts w:hint="eastAsia" w:eastAsia="宋体"/>
                <w:color w:val="000000"/>
              </w:rPr>
              <w:t>是</w:t>
            </w:r>
          </w:p>
        </w:tc>
      </w:tr>
    </w:tbl>
    <w:p w14:paraId="720544D0">
      <w:pPr>
        <w:pStyle w:val="43"/>
        <w:widowControl/>
        <w:adjustRightInd w:val="0"/>
        <w:snapToGrid w:val="0"/>
        <w:spacing w:line="360" w:lineRule="auto"/>
        <w:ind w:firstLine="241" w:firstLineChars="100"/>
        <w:rPr>
          <w:rFonts w:hint="eastAsia" w:ascii="宋体" w:hAnsi="宋体" w:eastAsia="宋体" w:cs="宋体"/>
          <w:b/>
          <w:sz w:val="24"/>
          <w:szCs w:val="24"/>
        </w:rPr>
      </w:pPr>
    </w:p>
    <w:p w14:paraId="1A8DAAA0">
      <w:pPr>
        <w:pStyle w:val="43"/>
        <w:widowControl/>
        <w:adjustRightInd w:val="0"/>
        <w:snapToGrid w:val="0"/>
        <w:spacing w:line="360" w:lineRule="auto"/>
        <w:ind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0911A43F">
      <w:pPr>
        <w:pStyle w:val="43"/>
        <w:widowControl/>
        <w:numPr>
          <w:ilvl w:val="0"/>
          <w:numId w:val="12"/>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248472B">
      <w:pPr>
        <w:pStyle w:val="43"/>
        <w:widowControl/>
        <w:numPr>
          <w:ilvl w:val="0"/>
          <w:numId w:val="12"/>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33DA715">
      <w:pPr>
        <w:pStyle w:val="43"/>
        <w:widowControl/>
        <w:numPr>
          <w:ilvl w:val="0"/>
          <w:numId w:val="12"/>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23F0E7F">
      <w:pPr>
        <w:pStyle w:val="43"/>
        <w:widowControl/>
        <w:numPr>
          <w:ilvl w:val="0"/>
          <w:numId w:val="12"/>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4E77CF92">
      <w:pPr>
        <w:pStyle w:val="43"/>
        <w:widowControl/>
        <w:numPr>
          <w:ilvl w:val="0"/>
          <w:numId w:val="12"/>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33B56660">
      <w:pPr>
        <w:pStyle w:val="43"/>
        <w:widowControl/>
        <w:numPr>
          <w:ilvl w:val="0"/>
          <w:numId w:val="12"/>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0C0D3FA8">
      <w:pPr>
        <w:pStyle w:val="43"/>
        <w:widowControl/>
        <w:numPr>
          <w:ilvl w:val="0"/>
          <w:numId w:val="12"/>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9F0A592">
      <w:pPr>
        <w:pStyle w:val="43"/>
        <w:widowControl/>
        <w:numPr>
          <w:ilvl w:val="0"/>
          <w:numId w:val="12"/>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A3DEEB5">
      <w:pPr>
        <w:pStyle w:val="43"/>
        <w:widowControl/>
        <w:numPr>
          <w:ilvl w:val="0"/>
          <w:numId w:val="12"/>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2D4AB12C">
      <w:pPr>
        <w:pStyle w:val="43"/>
        <w:widowControl/>
        <w:adjustRightInd w:val="0"/>
        <w:snapToGrid w:val="0"/>
        <w:spacing w:line="360" w:lineRule="auto"/>
        <w:ind w:left="480" w:firstLine="0" w:firstLineChars="0"/>
        <w:rPr>
          <w:rFonts w:ascii="宋体" w:hAnsi="宋体" w:eastAsia="宋体" w:cs="宋体"/>
          <w:color w:val="000000" w:themeColor="text1"/>
          <w:kern w:val="0"/>
          <w:sz w:val="24"/>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3983A12E">
      <w:pPr>
        <w:pStyle w:val="43"/>
        <w:numPr>
          <w:ilvl w:val="0"/>
          <w:numId w:val="13"/>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供货期：签订合同之日起24个月。</w:t>
      </w:r>
    </w:p>
    <w:p w14:paraId="28E11E8A">
      <w:pPr>
        <w:pStyle w:val="43"/>
        <w:numPr>
          <w:ilvl w:val="0"/>
          <w:numId w:val="13"/>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3ED45726">
      <w:pPr>
        <w:pStyle w:val="43"/>
        <w:numPr>
          <w:ilvl w:val="0"/>
          <w:numId w:val="13"/>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645A75A5">
      <w:pPr>
        <w:pStyle w:val="43"/>
        <w:numPr>
          <w:ilvl w:val="0"/>
          <w:numId w:val="13"/>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7C4E139D">
      <w:pPr>
        <w:pStyle w:val="43"/>
        <w:numPr>
          <w:ilvl w:val="0"/>
          <w:numId w:val="13"/>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rPr>
        <w:t>人不向落标方解释落标原因；不退还投标文件。</w:t>
      </w:r>
    </w:p>
    <w:p w14:paraId="7729BC4F">
      <w:pPr>
        <w:pStyle w:val="43"/>
        <w:widowControl/>
        <w:numPr>
          <w:ilvl w:val="0"/>
          <w:numId w:val="13"/>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p w14:paraId="15C44C5B">
      <w:pPr>
        <w:pStyle w:val="43"/>
        <w:numPr>
          <w:ilvl w:val="0"/>
          <w:numId w:val="13"/>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验收方式：由使用单位进行验收，中标供应商提供的医用产品必须符合国家承认的相应标准；</w:t>
      </w:r>
      <w:r>
        <w:rPr>
          <w:rFonts w:hint="eastAsia" w:ascii="宋体" w:hAnsi="宋体" w:eastAsia="宋体" w:cs="宋体"/>
          <w:b/>
          <w:bCs/>
          <w:color w:val="000000" w:themeColor="text1"/>
          <w:kern w:val="0"/>
          <w:sz w:val="24"/>
        </w:rPr>
        <w:t>产品合格证每批次1份，产品检测报告每批次1份</w:t>
      </w:r>
      <w:r>
        <w:rPr>
          <w:rFonts w:hint="eastAsia" w:ascii="宋体" w:hAnsi="宋体" w:eastAsia="宋体" w:cs="宋体"/>
          <w:color w:val="000000" w:themeColor="text1"/>
          <w:kern w:val="0"/>
          <w:sz w:val="24"/>
        </w:rPr>
        <w:t>。</w:t>
      </w:r>
    </w:p>
    <w:p w14:paraId="7C77A1DF">
      <w:pPr>
        <w:pStyle w:val="43"/>
        <w:numPr>
          <w:ilvl w:val="0"/>
          <w:numId w:val="13"/>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color w:val="000000" w:themeColor="text1"/>
          <w:kern w:val="0"/>
          <w:sz w:val="24"/>
          <w:szCs w:val="24"/>
        </w:rPr>
        <w:t>所提供产品的有效期不得少于产品整个有效期的三分之二</w:t>
      </w:r>
      <w:r>
        <w:rPr>
          <w:rFonts w:hint="eastAsia" w:ascii="宋体" w:hAnsi="宋体" w:eastAsia="宋体" w:cs="宋体"/>
          <w:b/>
          <w:bCs/>
          <w:color w:val="000000" w:themeColor="text1"/>
          <w:kern w:val="0"/>
          <w:sz w:val="24"/>
        </w:rPr>
        <w:t>。</w:t>
      </w:r>
    </w:p>
    <w:p w14:paraId="2E4B17F8">
      <w:pPr>
        <w:pStyle w:val="43"/>
        <w:numPr>
          <w:ilvl w:val="0"/>
          <w:numId w:val="13"/>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售后服务基本要求</w:t>
      </w:r>
    </w:p>
    <w:p w14:paraId="5DAB2CF0">
      <w:pPr>
        <w:pStyle w:val="43"/>
        <w:numPr>
          <w:ilvl w:val="0"/>
          <w:numId w:val="14"/>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rPr>
        <w:t>供应商须承诺无条件破损换和近效期退换服务。</w:t>
      </w:r>
    </w:p>
    <w:p w14:paraId="5433765B">
      <w:pPr>
        <w:pStyle w:val="43"/>
        <w:numPr>
          <w:ilvl w:val="0"/>
          <w:numId w:val="14"/>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5CDBBE61">
      <w:pPr>
        <w:adjustRightInd w:val="0"/>
        <w:snapToGrid w:val="0"/>
        <w:spacing w:line="360" w:lineRule="auto"/>
        <w:ind w:left="900" w:leftChars="200" w:hanging="480" w:hanging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4F003385">
      <w:pPr>
        <w:adjustRightInd w:val="0"/>
        <w:snapToGrid w:val="0"/>
        <w:spacing w:line="360" w:lineRule="auto"/>
        <w:ind w:left="902" w:leftChars="200" w:hanging="482" w:hangingChars="200"/>
        <w:rPr>
          <w:rFonts w:ascii="宋体" w:hAnsi="宋体" w:eastAsia="宋体" w:cs="宋体"/>
          <w:color w:val="000000" w:themeColor="text1"/>
          <w:kern w:val="0"/>
          <w:sz w:val="24"/>
        </w:rPr>
      </w:pPr>
      <w:r>
        <w:rPr>
          <w:rFonts w:hint="eastAsia" w:ascii="宋体" w:hAnsi="宋体" w:eastAsia="宋体" w:cs="宋体"/>
          <w:b/>
          <w:bCs/>
          <w:color w:val="000000" w:themeColor="text1"/>
          <w:kern w:val="0"/>
          <w:sz w:val="24"/>
        </w:rPr>
        <w:t>11.中标产品的采购、配送均须通过采购人</w:t>
      </w:r>
      <w:r>
        <w:rPr>
          <w:rFonts w:ascii="宋体" w:hAnsi="宋体" w:eastAsia="宋体" w:cs="宋体"/>
          <w:b/>
          <w:bCs/>
          <w:color w:val="000000" w:themeColor="text1"/>
          <w:kern w:val="0"/>
          <w:sz w:val="24"/>
        </w:rPr>
        <w:t>SPD</w:t>
      </w:r>
      <w:r>
        <w:rPr>
          <w:rFonts w:hint="eastAsia" w:ascii="宋体" w:hAnsi="宋体" w:eastAsia="宋体" w:cs="宋体"/>
          <w:b/>
          <w:bCs/>
          <w:color w:val="000000" w:themeColor="text1"/>
          <w:kern w:val="0"/>
          <w:sz w:val="24"/>
        </w:rPr>
        <w:t>医用耗材管理系统。</w:t>
      </w:r>
      <w:r>
        <w:rPr>
          <w:rFonts w:hint="eastAsia" w:ascii="宋体" w:hAnsi="宋体" w:eastAsia="宋体" w:cs="宋体"/>
          <w:color w:val="000000" w:themeColor="text1"/>
          <w:kern w:val="0"/>
          <w:sz w:val="24"/>
        </w:rPr>
        <w:t>根据中标结果，中标人必须与采购人</w:t>
      </w:r>
      <w:r>
        <w:rPr>
          <w:rFonts w:ascii="宋体" w:hAnsi="宋体" w:eastAsia="宋体" w:cs="宋体"/>
          <w:color w:val="000000" w:themeColor="text1"/>
          <w:kern w:val="0"/>
          <w:sz w:val="24"/>
        </w:rPr>
        <w:t>SPD</w:t>
      </w:r>
      <w:r>
        <w:rPr>
          <w:rFonts w:hint="eastAsia" w:ascii="宋体" w:hAnsi="宋体" w:eastAsia="宋体" w:cs="宋体"/>
          <w:color w:val="000000" w:themeColor="text1"/>
          <w:kern w:val="0"/>
          <w:sz w:val="24"/>
        </w:rPr>
        <w:t>供应链延伸服务商签订供应链延伸服务协议，并支付交易金额</w:t>
      </w:r>
      <w:r>
        <w:rPr>
          <w:rFonts w:ascii="宋体" w:hAnsi="宋体" w:eastAsia="宋体" w:cs="宋体"/>
          <w:color w:val="000000" w:themeColor="text1"/>
          <w:kern w:val="0"/>
          <w:sz w:val="24"/>
        </w:rPr>
        <w:t>2%</w:t>
      </w:r>
      <w:r>
        <w:rPr>
          <w:rFonts w:hint="eastAsia" w:ascii="宋体" w:hAnsi="宋体" w:eastAsia="宋体" w:cs="宋体"/>
          <w:color w:val="000000" w:themeColor="text1"/>
          <w:kern w:val="0"/>
          <w:sz w:val="24"/>
        </w:rPr>
        <w:t>的服务费用，否则采购人有权单方解除本协议，并重新组织招投标。</w:t>
      </w:r>
    </w:p>
    <w:p w14:paraId="13ECDDC4">
      <w:pPr>
        <w:adjustRightInd w:val="0"/>
        <w:snapToGrid w:val="0"/>
        <w:spacing w:line="360" w:lineRule="auto"/>
        <w:ind w:firstLine="480" w:firstLine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12.报价要求：</w:t>
      </w:r>
    </w:p>
    <w:p w14:paraId="7F174A1D">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（1）投标人所报价格的产品必须为全新的、经检验合格的并在各医院正常运行的产品。</w:t>
      </w:r>
    </w:p>
    <w:p w14:paraId="5E370B39">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0E00CBA4">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（3）报价币种为人民币</w:t>
      </w:r>
    </w:p>
    <w:p w14:paraId="12352E19">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13.因政府重大事项变革，导致无法继续履约合同的情况，将无条件终止合同。若深圳市启动耗材集采工作，我院将中标供应商作为备选供应商。</w:t>
      </w:r>
    </w:p>
    <w:p w14:paraId="29A16AB9">
      <w:pPr>
        <w:pStyle w:val="43"/>
        <w:adjustRightInd w:val="0"/>
        <w:snapToGrid w:val="0"/>
        <w:spacing w:line="360" w:lineRule="auto"/>
        <w:ind w:firstLine="482"/>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上述条款为采购中的实质性条款，任何投标承诺如果对上述条款不满足、不清晰或有所保留，均被视为非实质性响应。</w:t>
      </w:r>
    </w:p>
    <w:p w14:paraId="1693D97A">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3A025566">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7C9C9788">
      <w:pPr>
        <w:keepNext/>
        <w:keepLines/>
        <w:widowControl/>
        <w:numPr>
          <w:ilvl w:val="0"/>
          <w:numId w:val="15"/>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t>
            </w:r>
            <w:r>
              <w:rPr>
                <w:rFonts w:hint="eastAsia"/>
                <w:color w:val="000000"/>
                <w:lang w:eastAsia="zh-CN"/>
              </w:rPr>
              <w:t>：</w:t>
            </w:r>
            <w:r>
              <w:rPr>
                <w:rFonts w:hint="eastAsia"/>
                <w:color w:val="000000"/>
              </w:rPr>
              <w:t>//www.nmpa.gov.cn；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t>
            </w:r>
            <w:r>
              <w:rPr>
                <w:rFonts w:hint="eastAsia"/>
                <w:lang w:eastAsia="zh-CN"/>
              </w:rPr>
              <w:t>：</w:t>
            </w:r>
            <w:r>
              <w:rPr>
                <w:rFonts w:hint="eastAsia"/>
              </w:rPr>
              <w:t>//www.ccgp.gov.cn/search/cr/）、深圳市政府采购监管网（http</w:t>
            </w:r>
            <w:r>
              <w:rPr>
                <w:rFonts w:hint="eastAsia"/>
                <w:lang w:eastAsia="zh-CN"/>
              </w:rPr>
              <w:t>：</w:t>
            </w:r>
            <w:r>
              <w:rPr>
                <w:rFonts w:hint="eastAsia"/>
              </w:rPr>
              <w:t>//zfcg.sz.gov.cn/cgjg/cxda/index.html））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686F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24358DB">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64E6B7B6">
            <w:pPr>
              <w:autoSpaceDE w:val="0"/>
              <w:autoSpaceDN w:val="0"/>
              <w:adjustRightInd w:val="0"/>
              <w:snapToGrid w:val="0"/>
              <w:jc w:val="left"/>
              <w:rPr>
                <w:rFonts w:hint="eastAsia" w:eastAsia="宋体"/>
                <w:szCs w:val="21"/>
                <w:highlight w:val="yellow"/>
                <w:lang w:val="en-US" w:eastAsia="zh-CN"/>
              </w:rPr>
            </w:pPr>
            <w:r>
              <w:rPr>
                <w:rFonts w:hint="eastAsia"/>
                <w:color w:val="000000"/>
                <w:highlight w:val="yellow"/>
                <w:lang w:val="en-US" w:eastAsia="zh-CN"/>
              </w:rPr>
              <w:t>投标人未被列入中大八院失信黑名单供应商</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t>
            </w:r>
            <w:r>
              <w:rPr>
                <w:rFonts w:hint="eastAsia" w:eastAsia="宋体"/>
                <w:szCs w:val="21"/>
                <w:highlight w:val="yellow"/>
                <w:lang w:eastAsia="zh-CN"/>
              </w:rPr>
              <w:t>：</w:t>
            </w:r>
            <w:r>
              <w:rPr>
                <w:rFonts w:hint="eastAsia" w:eastAsia="宋体"/>
                <w:szCs w:val="21"/>
                <w:highlight w:val="yellow"/>
              </w:rPr>
              <w:t>//www.gsxt.gov.cn/index.html）、全国社会组织信用信息公示平台（https</w:t>
            </w:r>
            <w:r>
              <w:rPr>
                <w:rFonts w:hint="eastAsia" w:eastAsia="宋体"/>
                <w:szCs w:val="21"/>
                <w:highlight w:val="yellow"/>
                <w:lang w:eastAsia="zh-CN"/>
              </w:rPr>
              <w:t>：</w:t>
            </w:r>
            <w:r>
              <w:rPr>
                <w:rFonts w:hint="eastAsia" w:eastAsia="宋体"/>
                <w:szCs w:val="21"/>
                <w:highlight w:val="yellow"/>
              </w:rPr>
              <w:t>//xxgs.chinanpo.mca.gov.cn/gsxt/newList）等网站（投标人出具承诺函）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lang w:eastAsia="zh-CN"/>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9</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6C808A68">
      <w:pPr>
        <w:spacing w:line="400" w:lineRule="exact"/>
        <w:rPr>
          <w:rFonts w:hint="eastAsia" w:ascii="方正小标宋简体" w:hAnsi="方正小标宋简体" w:eastAsia="方正小标宋简体" w:cs="方正小标宋简体"/>
          <w:bCs/>
          <w:szCs w:val="21"/>
        </w:rPr>
      </w:pPr>
    </w:p>
    <w:p w14:paraId="181F1330">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53ACA30">
      <w:pPr>
        <w:spacing w:line="400" w:lineRule="exact"/>
        <w:jc w:val="center"/>
        <w:rPr>
          <w:rFonts w:ascii="Arial Unicode MS" w:hAnsi="Arial Unicode MS" w:eastAsia="Arial Unicode MS" w:cs="Arial Unicode MS"/>
          <w:bCs/>
          <w:sz w:val="32"/>
          <w:szCs w:val="32"/>
        </w:rPr>
      </w:pPr>
    </w:p>
    <w:p w14:paraId="43D7B943">
      <w:pPr>
        <w:numPr>
          <w:ilvl w:val="0"/>
          <w:numId w:val="9"/>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4A967B4C">
      <w:pPr>
        <w:spacing w:line="400" w:lineRule="exact"/>
        <w:rPr>
          <w:rFonts w:hint="eastAsia" w:ascii="Arial Unicode MS" w:hAnsi="Arial Unicode MS" w:eastAsia="Arial Unicode MS" w:cs="Arial Unicode MS"/>
          <w:bCs/>
          <w:szCs w:val="21"/>
        </w:rPr>
      </w:pPr>
    </w:p>
    <w:p w14:paraId="1D917080">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400C5DF6">
      <w:pPr>
        <w:pStyle w:val="36"/>
        <w:ind w:firstLine="420"/>
      </w:pPr>
    </w:p>
    <w:p w14:paraId="0FE2A500">
      <w:pPr>
        <w:spacing w:line="400" w:lineRule="exact"/>
        <w:jc w:val="center"/>
        <w:rPr>
          <w:rFonts w:eastAsia="宋体"/>
          <w:b/>
          <w:bCs/>
          <w:color w:val="FF0000"/>
          <w:kern w:val="0"/>
          <w:sz w:val="32"/>
          <w:szCs w:val="32"/>
        </w:rPr>
      </w:pPr>
    </w:p>
    <w:p w14:paraId="4CC66E3F">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03E3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14BC0C9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1F56E52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BB12A80">
            <w:pPr>
              <w:spacing w:line="240" w:lineRule="exact"/>
              <w:jc w:val="center"/>
              <w:rPr>
                <w:rFonts w:ascii="黑体" w:hAnsi="黑体" w:eastAsia="黑体"/>
                <w:sz w:val="24"/>
              </w:rPr>
            </w:pPr>
            <w:r>
              <w:rPr>
                <w:rFonts w:hint="eastAsia" w:ascii="黑体" w:hAnsi="黑体" w:eastAsia="黑体"/>
                <w:sz w:val="24"/>
              </w:rPr>
              <w:t>55</w:t>
            </w:r>
          </w:p>
        </w:tc>
      </w:tr>
      <w:tr w14:paraId="53E7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75246C29">
            <w:pPr>
              <w:spacing w:line="240" w:lineRule="exact"/>
              <w:jc w:val="center"/>
              <w:rPr>
                <w:rFonts w:ascii="宋体"/>
                <w:sz w:val="24"/>
              </w:rPr>
            </w:pPr>
          </w:p>
        </w:tc>
        <w:tc>
          <w:tcPr>
            <w:tcW w:w="784" w:type="dxa"/>
            <w:vAlign w:val="center"/>
          </w:tcPr>
          <w:p w14:paraId="014924CC">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6690434E">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7F28639">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76647786">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CD54B38">
            <w:pPr>
              <w:spacing w:line="240" w:lineRule="exact"/>
              <w:jc w:val="center"/>
              <w:rPr>
                <w:rFonts w:ascii="黑体" w:hAnsi="黑体" w:eastAsia="黑体"/>
                <w:sz w:val="24"/>
              </w:rPr>
            </w:pPr>
            <w:r>
              <w:rPr>
                <w:rFonts w:hint="eastAsia" w:ascii="黑体" w:hAnsi="黑体" w:eastAsia="黑体"/>
                <w:sz w:val="24"/>
              </w:rPr>
              <w:t>评分准则</w:t>
            </w:r>
          </w:p>
        </w:tc>
      </w:tr>
      <w:tr w14:paraId="251E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47A1D82E">
            <w:pPr>
              <w:spacing w:line="240" w:lineRule="exact"/>
              <w:jc w:val="center"/>
              <w:rPr>
                <w:rFonts w:ascii="宋体"/>
                <w:sz w:val="24"/>
              </w:rPr>
            </w:pPr>
          </w:p>
        </w:tc>
        <w:tc>
          <w:tcPr>
            <w:tcW w:w="784" w:type="dxa"/>
            <w:vAlign w:val="center"/>
          </w:tcPr>
          <w:p w14:paraId="3433FFFD">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5DEF82DA">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59A1C15">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2F0E33C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0088A385">
            <w:pPr>
              <w:rPr>
                <w:rFonts w:ascii="宋体" w:hAnsi="宋体" w:eastAsia="宋体" w:cs="宋体"/>
                <w:sz w:val="24"/>
              </w:rPr>
            </w:pPr>
          </w:p>
          <w:p w14:paraId="0C880AD6">
            <w:pPr>
              <w:rPr>
                <w:b/>
                <w:bCs/>
              </w:rPr>
            </w:pPr>
            <w:r>
              <w:rPr>
                <w:rFonts w:hint="eastAsia"/>
                <w:b/>
                <w:bCs/>
              </w:rPr>
              <w:t>（一）评分内容:</w:t>
            </w:r>
          </w:p>
          <w:p w14:paraId="76F547F5">
            <w:r>
              <w:rPr>
                <w:rFonts w:hint="eastAsia"/>
              </w:rPr>
              <w:t>评审专家通过对样品、产品系列完整性、产品质量安全性、产品稳定性等方面综合评价:</w:t>
            </w:r>
          </w:p>
          <w:p w14:paraId="3AFC375A">
            <w:r>
              <w:rPr>
                <w:rFonts w:hint="eastAsia"/>
              </w:rPr>
              <w:t>1.产品种类和产品系列完整，产品规格多样;且能满足临床实际需求；</w:t>
            </w:r>
          </w:p>
          <w:p w14:paraId="78BE6C36">
            <w:r>
              <w:rPr>
                <w:rFonts w:hint="eastAsia"/>
              </w:rPr>
              <w:t>2.产品先进，符合临床实际需求；</w:t>
            </w:r>
          </w:p>
          <w:p w14:paraId="415D33C9">
            <w:r>
              <w:rPr>
                <w:rFonts w:hint="eastAsia"/>
              </w:rPr>
              <w:t>3.产品稳定、可靠.；</w:t>
            </w:r>
          </w:p>
          <w:p w14:paraId="28C9DAF3">
            <w:r>
              <w:rPr>
                <w:rFonts w:hint="eastAsia"/>
              </w:rPr>
              <w:t>4、产品的材质或材料生物相容性高；设计合理，符合临床使用需求；</w:t>
            </w:r>
          </w:p>
          <w:p w14:paraId="728417A7">
            <w:r>
              <w:rPr>
                <w:rFonts w:hint="eastAsia"/>
              </w:rPr>
              <w:t>5、产品的包装安全、便捷。</w:t>
            </w:r>
          </w:p>
          <w:p w14:paraId="1FA6C491">
            <w:r>
              <w:rPr>
                <w:rFonts w:hint="eastAsia"/>
              </w:rPr>
              <w:t>6.评标专家根据现场提供样品符合采购文件技术要求，并与所投规格相符；（未按要求提供样品此项则判定为不满足）</w:t>
            </w:r>
          </w:p>
          <w:p w14:paraId="3C6C46A4">
            <w:pPr>
              <w:rPr>
                <w:b/>
                <w:bCs/>
              </w:rPr>
            </w:pPr>
            <w:r>
              <w:rPr>
                <w:rFonts w:hint="eastAsia"/>
                <w:b/>
                <w:bCs/>
              </w:rPr>
              <w:t>(二) 评分依据:</w:t>
            </w:r>
          </w:p>
          <w:p w14:paraId="68B9236E">
            <w:r>
              <w:rPr>
                <w:rFonts w:hint="eastAsia"/>
              </w:rPr>
              <w:t>1.满足以上6项，且专家评审为优得 55 分;</w:t>
            </w:r>
          </w:p>
          <w:p w14:paraId="34AB7DB6">
            <w:r>
              <w:rPr>
                <w:rFonts w:hint="eastAsia"/>
              </w:rPr>
              <w:t>2.满足以上5项，且专家评审为良得 45分;</w:t>
            </w:r>
          </w:p>
          <w:p w14:paraId="10DD5885">
            <w:r>
              <w:rPr>
                <w:rFonts w:hint="eastAsia"/>
              </w:rPr>
              <w:t>3.满足以上4项，且专家评审为中得 35分;</w:t>
            </w:r>
          </w:p>
          <w:p w14:paraId="35DBCD3C">
            <w:pPr>
              <w:spacing w:line="280" w:lineRule="exact"/>
              <w:jc w:val="left"/>
            </w:pPr>
            <w:r>
              <w:rPr>
                <w:rFonts w:hint="eastAsia"/>
              </w:rPr>
              <w:t>4.满足以上3项，且专家评审为一般得15分</w:t>
            </w:r>
            <w:r>
              <w:t>;</w:t>
            </w:r>
          </w:p>
          <w:p w14:paraId="177C9A9C">
            <w:pPr>
              <w:spacing w:line="280" w:lineRule="exact"/>
              <w:jc w:val="left"/>
            </w:pPr>
            <w:r>
              <w:rPr>
                <w:rFonts w:hint="eastAsia"/>
              </w:rPr>
              <w:t>5.满足以上2 项，且专家评审为差得5分</w:t>
            </w:r>
            <w:r>
              <w:t>;</w:t>
            </w:r>
          </w:p>
          <w:p w14:paraId="6C5146E0">
            <w:pPr>
              <w:pStyle w:val="28"/>
              <w:spacing w:line="280" w:lineRule="exact"/>
              <w:ind w:left="0" w:firstLine="0" w:firstLineChars="0"/>
              <w:jc w:val="left"/>
            </w:pPr>
            <w:r>
              <w:rPr>
                <w:rFonts w:hint="eastAsia"/>
              </w:rPr>
              <w:t>其他情况不得分。</w:t>
            </w:r>
          </w:p>
          <w:p w14:paraId="6A8C79A3">
            <w:pPr>
              <w:spacing w:line="280" w:lineRule="exact"/>
              <w:jc w:val="left"/>
              <w:rPr>
                <w:rFonts w:eastAsia="宋体"/>
              </w:rPr>
            </w:pPr>
          </w:p>
        </w:tc>
      </w:tr>
      <w:tr w14:paraId="4C45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6E1D0FA2">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45601928">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6F03ADEF">
            <w:pPr>
              <w:spacing w:line="240" w:lineRule="exact"/>
              <w:jc w:val="center"/>
              <w:rPr>
                <w:rFonts w:ascii="宋体" w:hAnsi="宋体" w:eastAsia="宋体" w:cs="宋体"/>
                <w:b/>
                <w:sz w:val="24"/>
              </w:rPr>
            </w:pPr>
            <w:r>
              <w:rPr>
                <w:rFonts w:hint="eastAsia" w:ascii="宋体" w:hAnsi="宋体" w:eastAsia="宋体" w:cs="宋体"/>
                <w:b/>
                <w:sz w:val="24"/>
              </w:rPr>
              <w:t>10</w:t>
            </w:r>
          </w:p>
        </w:tc>
      </w:tr>
      <w:tr w14:paraId="619A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16573318">
            <w:pPr>
              <w:spacing w:line="240" w:lineRule="exact"/>
              <w:jc w:val="center"/>
              <w:rPr>
                <w:rFonts w:ascii="宋体"/>
                <w:sz w:val="24"/>
              </w:rPr>
            </w:pPr>
          </w:p>
        </w:tc>
        <w:tc>
          <w:tcPr>
            <w:tcW w:w="2900" w:type="dxa"/>
            <w:gridSpan w:val="2"/>
            <w:vAlign w:val="center"/>
          </w:tcPr>
          <w:p w14:paraId="230E32CD">
            <w:pPr>
              <w:spacing w:line="240" w:lineRule="exact"/>
              <w:jc w:val="center"/>
              <w:rPr>
                <w:rFonts w:ascii="宋体" w:hAnsi="宋体" w:eastAsia="宋体" w:cs="宋体"/>
                <w:b/>
                <w:bCs/>
                <w:sz w:val="24"/>
              </w:rPr>
            </w:pPr>
          </w:p>
          <w:p w14:paraId="303472CC">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7D4BB00">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1472E58C">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5DB40304">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6792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51288F0C">
            <w:pPr>
              <w:spacing w:line="240" w:lineRule="exact"/>
              <w:jc w:val="center"/>
              <w:rPr>
                <w:rFonts w:ascii="宋体"/>
                <w:sz w:val="24"/>
              </w:rPr>
            </w:pPr>
          </w:p>
        </w:tc>
        <w:tc>
          <w:tcPr>
            <w:tcW w:w="2900" w:type="dxa"/>
            <w:gridSpan w:val="2"/>
            <w:vAlign w:val="center"/>
          </w:tcPr>
          <w:p w14:paraId="3B920A8F">
            <w:pPr>
              <w:spacing w:line="240" w:lineRule="exact"/>
              <w:jc w:val="left"/>
              <w:rPr>
                <w:rFonts w:ascii="宋体" w:hAnsi="宋体" w:eastAsia="宋体" w:cs="宋体"/>
                <w:sz w:val="24"/>
              </w:rPr>
            </w:pPr>
          </w:p>
          <w:p w14:paraId="5FE3076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09220B68">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7D8CB6E2">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30A6A7B6">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68DDFCEC">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246D246A">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6A1A4AE3">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8E72F35">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6F6C5">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0CD58BB">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15CC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4A7F0511">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6FF42E96">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2A341F0B">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57D3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D670500">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699FFC44">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14844E02">
            <w:pPr>
              <w:pStyle w:val="36"/>
              <w:ind w:firstLine="480"/>
              <w:rPr>
                <w:color w:val="000000" w:themeColor="text1"/>
              </w:rPr>
            </w:pPr>
            <w:r>
              <w:rPr>
                <w:rFonts w:hint="eastAsia" w:ascii="宋体" w:hAnsi="宋体" w:eastAsia="宋体" w:cs="宋体"/>
                <w:color w:val="000000" w:themeColor="text1"/>
                <w:kern w:val="2"/>
                <w:sz w:val="24"/>
                <w:szCs w:val="24"/>
              </w:rPr>
              <w:t xml:space="preserve"> 当</w:t>
            </w:r>
            <w:r>
              <w:rPr>
                <w:rFonts w:hint="eastAsia" w:ascii="宋体" w:hAnsi="宋体" w:eastAsia="宋体" w:cs="宋体"/>
                <w:color w:val="000000" w:themeColor="text1"/>
                <w:kern w:val="2"/>
                <w:sz w:val="24"/>
                <w:szCs w:val="24"/>
                <w:highlight w:val="yellow"/>
                <w:lang w:val="en-US" w:eastAsia="zh-CN"/>
              </w:rPr>
              <w:t>评审现场</w:t>
            </w:r>
            <w:r>
              <w:rPr>
                <w:rFonts w:hint="eastAsia" w:ascii="宋体" w:hAnsi="宋体" w:eastAsia="宋体" w:cs="宋体"/>
                <w:color w:val="000000" w:themeColor="text1"/>
                <w:kern w:val="2"/>
                <w:sz w:val="24"/>
                <w:szCs w:val="24"/>
              </w:rPr>
              <w:t>只有一家供应商通过资格性和符合性审查时，其价格得分为35分</w:t>
            </w:r>
          </w:p>
        </w:tc>
      </w:tr>
    </w:tbl>
    <w:p w14:paraId="39839521">
      <w:pPr>
        <w:pStyle w:val="28"/>
        <w:ind w:left="0" w:firstLine="0" w:firstLineChars="0"/>
      </w:pPr>
    </w:p>
    <w:p w14:paraId="5BC47370"/>
    <w:p w14:paraId="07B4949D">
      <w:pPr>
        <w:spacing w:line="400" w:lineRule="exact"/>
        <w:jc w:val="center"/>
        <w:rPr>
          <w:rFonts w:eastAsia="宋体"/>
          <w:b/>
          <w:bCs/>
          <w:kern w:val="0"/>
          <w:sz w:val="32"/>
          <w:szCs w:val="32"/>
        </w:rPr>
      </w:pPr>
    </w:p>
    <w:p w14:paraId="62BBDC1F">
      <w:pPr>
        <w:spacing w:line="400" w:lineRule="exact"/>
        <w:rPr>
          <w:rFonts w:eastAsia="宋体"/>
          <w:b/>
          <w:bCs/>
          <w:color w:val="FF0000"/>
          <w:kern w:val="0"/>
          <w:sz w:val="32"/>
          <w:szCs w:val="32"/>
        </w:rPr>
      </w:pPr>
    </w:p>
    <w:p w14:paraId="60984394">
      <w:pPr>
        <w:spacing w:line="400" w:lineRule="exact"/>
        <w:jc w:val="center"/>
        <w:rPr>
          <w:rFonts w:eastAsia="宋体"/>
          <w:b/>
          <w:bCs/>
          <w:color w:val="000000" w:themeColor="text1"/>
          <w:kern w:val="0"/>
          <w:sz w:val="32"/>
          <w:szCs w:val="32"/>
        </w:rPr>
      </w:pPr>
      <w:r>
        <w:rPr>
          <w:rFonts w:hint="eastAsia" w:eastAsia="宋体"/>
          <w:b/>
          <w:bCs/>
          <w:color w:val="000000" w:themeColor="text1"/>
          <w:kern w:val="0"/>
          <w:sz w:val="32"/>
          <w:szCs w:val="32"/>
        </w:rPr>
        <w:t>（四）</w:t>
      </w:r>
      <w:r>
        <w:rPr>
          <w:rFonts w:hint="eastAsia" w:ascii="Arial Unicode MS" w:hAnsi="Arial Unicode MS" w:eastAsia="Arial Unicode MS" w:cs="Arial Unicode MS"/>
          <w:bCs/>
          <w:color w:val="000000" w:themeColor="text1"/>
          <w:sz w:val="32"/>
          <w:szCs w:val="32"/>
        </w:rPr>
        <w:tab/>
      </w:r>
      <w:r>
        <w:rPr>
          <w:rFonts w:hint="eastAsia" w:eastAsia="宋体"/>
          <w:b/>
          <w:bCs/>
          <w:color w:val="000000" w:themeColor="text1"/>
          <w:kern w:val="0"/>
          <w:sz w:val="32"/>
          <w:szCs w:val="32"/>
        </w:rPr>
        <w:t>评审规则</w:t>
      </w:r>
    </w:p>
    <w:p w14:paraId="279754BD">
      <w:pPr>
        <w:pStyle w:val="43"/>
        <w:widowControl/>
        <w:numPr>
          <w:ilvl w:val="0"/>
          <w:numId w:val="16"/>
        </w:numPr>
        <w:spacing w:line="360" w:lineRule="auto"/>
        <w:ind w:firstLineChars="0"/>
        <w:jc w:val="left"/>
        <w:rPr>
          <w:b/>
          <w:color w:val="000000" w:themeColor="text1"/>
          <w:szCs w:val="21"/>
        </w:rPr>
      </w:pPr>
      <w:r>
        <w:rPr>
          <w:rFonts w:hint="eastAsia"/>
          <w:b/>
          <w:color w:val="000000" w:themeColor="text1"/>
          <w:szCs w:val="21"/>
        </w:rPr>
        <w:t>开标</w:t>
      </w:r>
    </w:p>
    <w:p w14:paraId="21F16B19">
      <w:pPr>
        <w:pStyle w:val="44"/>
        <w:widowControl/>
        <w:numPr>
          <w:ilvl w:val="0"/>
          <w:numId w:val="17"/>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14:paraId="329D29BA">
      <w:pPr>
        <w:pStyle w:val="44"/>
        <w:widowControl/>
        <w:numPr>
          <w:ilvl w:val="0"/>
          <w:numId w:val="17"/>
        </w:numPr>
        <w:spacing w:line="360" w:lineRule="auto"/>
        <w:ind w:firstLineChars="0"/>
        <w:jc w:val="left"/>
        <w:rPr>
          <w:color w:val="000000" w:themeColor="text1"/>
          <w:szCs w:val="21"/>
          <w:lang w:eastAsia="zh-TW"/>
        </w:rPr>
      </w:pPr>
      <w:r>
        <w:rPr>
          <w:color w:val="000000" w:themeColor="text1"/>
          <w:szCs w:val="21"/>
          <w:lang w:eastAsia="zh-TW"/>
        </w:rPr>
        <w:t>开标时，</w:t>
      </w:r>
      <w:r>
        <w:rPr>
          <w:rFonts w:hint="eastAsia"/>
          <w:color w:val="000000" w:themeColor="text1"/>
          <w:szCs w:val="21"/>
        </w:rPr>
        <w:t>我院将检查投标文件的密封情况，并由供应商确认无误后签字，再拆封。</w:t>
      </w:r>
    </w:p>
    <w:p w14:paraId="2C1FF808">
      <w:pPr>
        <w:pStyle w:val="44"/>
        <w:widowControl/>
        <w:numPr>
          <w:ilvl w:val="0"/>
          <w:numId w:val="17"/>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14:paraId="7DCAAE5D">
      <w:pPr>
        <w:pStyle w:val="44"/>
        <w:widowControl/>
        <w:numPr>
          <w:ilvl w:val="0"/>
          <w:numId w:val="17"/>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投标人代表对开标过程和开标记录有疑义，以及认为我院工作人员有需要回避的情形的，应当场提出询问或者回避申请。我院对投标人代表提出的询问或者回避申请应当及时处理。</w:t>
      </w:r>
    </w:p>
    <w:p w14:paraId="61FF75D1">
      <w:pPr>
        <w:pStyle w:val="44"/>
        <w:widowControl/>
        <w:numPr>
          <w:ilvl w:val="0"/>
          <w:numId w:val="16"/>
        </w:numPr>
        <w:spacing w:line="360" w:lineRule="auto"/>
        <w:ind w:firstLineChars="0"/>
        <w:jc w:val="left"/>
        <w:rPr>
          <w:color w:val="000000" w:themeColor="text1"/>
          <w:szCs w:val="21"/>
          <w:lang w:eastAsia="zh-TW"/>
        </w:rPr>
      </w:pPr>
      <w:r>
        <w:rPr>
          <w:rFonts w:hint="eastAsia"/>
          <w:b/>
          <w:color w:val="000000" w:themeColor="text1"/>
          <w:szCs w:val="21"/>
        </w:rPr>
        <w:t>评标委员会的组成。</w:t>
      </w:r>
      <w:r>
        <w:rPr>
          <w:color w:val="000000" w:themeColor="text1"/>
          <w:szCs w:val="21"/>
          <w:lang w:eastAsia="zh-TW"/>
        </w:rPr>
        <w:t>评标委员会依法组建，由5</w:t>
      </w:r>
      <w:r>
        <w:rPr>
          <w:color w:val="000000" w:themeColor="text1"/>
          <w:szCs w:val="21"/>
        </w:rPr>
        <w:t>人</w:t>
      </w:r>
      <w:r>
        <w:rPr>
          <w:color w:val="000000" w:themeColor="text1"/>
          <w:szCs w:val="21"/>
          <w:lang w:eastAsia="zh-TW"/>
        </w:rPr>
        <w:t>单数组成。评标委员会和有关工作人员不得透露对投标文件的评审和比较以及与评标有关的其他情况。</w:t>
      </w:r>
    </w:p>
    <w:p w14:paraId="37BAB3BC">
      <w:pPr>
        <w:pStyle w:val="44"/>
        <w:widowControl/>
        <w:numPr>
          <w:ilvl w:val="0"/>
          <w:numId w:val="16"/>
        </w:numPr>
        <w:spacing w:line="360" w:lineRule="auto"/>
        <w:ind w:firstLineChars="0"/>
        <w:jc w:val="left"/>
        <w:rPr>
          <w:color w:val="000000" w:themeColor="text1"/>
          <w:szCs w:val="21"/>
          <w:highlight w:val="green"/>
          <w:lang w:eastAsia="zh-TW"/>
        </w:rPr>
      </w:pPr>
      <w:r>
        <w:rPr>
          <w:color w:val="000000" w:themeColor="text1"/>
          <w:szCs w:val="21"/>
          <w:highlight w:val="green"/>
          <w:lang w:eastAsia="zh-TW"/>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rPr>
        <w:t>，大写与小写不一致的，以大写为准</w:t>
      </w:r>
      <w:r>
        <w:rPr>
          <w:color w:val="000000" w:themeColor="text1"/>
          <w:szCs w:val="21"/>
          <w:highlight w:val="green"/>
          <w:lang w:eastAsia="zh-TW"/>
        </w:rPr>
        <w:t>。</w:t>
      </w:r>
    </w:p>
    <w:p w14:paraId="2A18E429">
      <w:pPr>
        <w:pStyle w:val="44"/>
        <w:widowControl/>
        <w:numPr>
          <w:ilvl w:val="0"/>
          <w:numId w:val="16"/>
        </w:numPr>
        <w:spacing w:line="360" w:lineRule="auto"/>
        <w:ind w:firstLineChars="0"/>
        <w:jc w:val="left"/>
        <w:rPr>
          <w:b/>
          <w:color w:val="000000" w:themeColor="text1"/>
        </w:rPr>
      </w:pPr>
      <w:r>
        <w:rPr>
          <w:b/>
          <w:color w:val="000000" w:themeColor="text1"/>
        </w:rPr>
        <w:t>评标</w:t>
      </w:r>
      <w:r>
        <w:rPr>
          <w:rFonts w:hint="eastAsia"/>
          <w:b/>
          <w:color w:val="000000" w:themeColor="text1"/>
        </w:rPr>
        <w:t>方法</w:t>
      </w:r>
      <w:r>
        <w:rPr>
          <w:b/>
          <w:color w:val="000000" w:themeColor="text1"/>
        </w:rPr>
        <w:t>（适用综合评分法）：</w:t>
      </w:r>
    </w:p>
    <w:p w14:paraId="1B9BA393">
      <w:pPr>
        <w:pStyle w:val="44"/>
        <w:widowControl/>
        <w:numPr>
          <w:ilvl w:val="0"/>
          <w:numId w:val="18"/>
        </w:numPr>
        <w:spacing w:line="360" w:lineRule="auto"/>
        <w:ind w:firstLineChars="0"/>
        <w:jc w:val="left"/>
        <w:rPr>
          <w:b/>
          <w:bCs/>
          <w:color w:val="000000" w:themeColor="text1"/>
          <w:szCs w:val="21"/>
        </w:rPr>
      </w:pPr>
      <w:r>
        <w:rPr>
          <w:color w:val="000000" w:themeColor="text1"/>
        </w:rPr>
        <w:t>综合评分法</w:t>
      </w:r>
      <w:r>
        <w:rPr>
          <w:rFonts w:hint="eastAsia"/>
          <w:color w:val="000000" w:themeColor="text1"/>
          <w:lang w:eastAsia="zh-CN"/>
        </w:rPr>
        <w:t>：</w:t>
      </w:r>
      <w:r>
        <w:rPr>
          <w:color w:val="000000" w:themeColor="text1"/>
        </w:rPr>
        <w:t>是指投标文件满足</w:t>
      </w:r>
      <w:r>
        <w:rPr>
          <w:rFonts w:hint="eastAsia"/>
          <w:color w:val="000000" w:themeColor="text1"/>
        </w:rPr>
        <w:t>采购</w:t>
      </w:r>
      <w:r>
        <w:rPr>
          <w:color w:val="000000" w:themeColor="text1"/>
        </w:rPr>
        <w:t>文件全部实质性要求，且按照评审因素的量化指标评审得分最高的投标人为中标候选人的评标方法。</w:t>
      </w:r>
    </w:p>
    <w:p w14:paraId="76AD394A">
      <w:pPr>
        <w:pStyle w:val="44"/>
        <w:widowControl/>
        <w:numPr>
          <w:ilvl w:val="-1"/>
          <w:numId w:val="0"/>
        </w:numPr>
        <w:spacing w:line="360" w:lineRule="auto"/>
        <w:ind w:firstLine="422" w:firstLineChars="200"/>
        <w:jc w:val="left"/>
        <w:rPr>
          <w:b/>
          <w:color w:val="000000" w:themeColor="text1"/>
          <w:szCs w:val="21"/>
          <w:highlight w:val="yellow"/>
        </w:rPr>
      </w:pPr>
      <w:r>
        <w:rPr>
          <w:rFonts w:hint="eastAsia"/>
          <w:b/>
          <w:color w:val="000000" w:themeColor="text1"/>
          <w:szCs w:val="21"/>
          <w:highlight w:val="yellow"/>
          <w:lang w:val="en-US" w:eastAsia="zh-CN"/>
        </w:rPr>
        <w:t>择优评审法：</w:t>
      </w:r>
      <w:r>
        <w:rPr>
          <w:rFonts w:hint="eastAsia"/>
          <w:b/>
          <w:color w:val="000000" w:themeColor="text1"/>
          <w:szCs w:val="21"/>
          <w:highlight w:val="yellow"/>
        </w:rPr>
        <w:t>经</w:t>
      </w:r>
      <w:r>
        <w:rPr>
          <w:rFonts w:hint="eastAsia"/>
          <w:b/>
          <w:color w:val="000000" w:themeColor="text1"/>
          <w:szCs w:val="21"/>
          <w:highlight w:val="yellow"/>
          <w:lang w:val="en-US" w:eastAsia="zh-CN"/>
        </w:rPr>
        <w:t>延期后</w:t>
      </w:r>
      <w:r>
        <w:rPr>
          <w:rFonts w:hint="eastAsia"/>
          <w:b/>
          <w:color w:val="000000" w:themeColor="text1"/>
          <w:szCs w:val="21"/>
          <w:highlight w:val="yellow"/>
        </w:rPr>
        <w:t>不足3家有效投标供应商报名的，我院有权</w:t>
      </w:r>
      <w:r>
        <w:rPr>
          <w:rFonts w:hint="eastAsia"/>
          <w:b/>
          <w:color w:val="000000" w:themeColor="text1"/>
          <w:szCs w:val="21"/>
          <w:highlight w:val="yellow"/>
          <w:lang w:val="en-US" w:eastAsia="zh-CN"/>
        </w:rPr>
        <w:t>按照择优评审的方式与报名供应商进行议价谈判。</w:t>
      </w:r>
      <w:r>
        <w:rPr>
          <w:rFonts w:hint="eastAsia"/>
          <w:b/>
          <w:color w:val="000000" w:themeColor="text1"/>
          <w:szCs w:val="21"/>
          <w:highlight w:val="yellow"/>
        </w:rPr>
        <w:t>坚持质量优先、价格合理的原则，综合考虑价格、商务、技术要求、服务、业绩以及经营信誉等因素，避免纯技术或纯经济的倾向。最低报价不作为中标的唯一条件。</w:t>
      </w:r>
    </w:p>
    <w:p w14:paraId="1EDA1A65">
      <w:pPr>
        <w:pStyle w:val="44"/>
        <w:widowControl/>
        <w:numPr>
          <w:ilvl w:val="0"/>
          <w:numId w:val="18"/>
        </w:numPr>
        <w:spacing w:line="360" w:lineRule="auto"/>
        <w:ind w:firstLineChars="0"/>
        <w:jc w:val="left"/>
        <w:rPr>
          <w:bCs/>
          <w:color w:val="000000" w:themeColor="text1"/>
          <w:szCs w:val="21"/>
        </w:rPr>
      </w:pPr>
      <w:r>
        <w:rPr>
          <w:bCs/>
          <w:color w:val="000000" w:themeColor="text1"/>
          <w:szCs w:val="21"/>
        </w:rPr>
        <w:t>评标步骤：</w:t>
      </w:r>
    </w:p>
    <w:p w14:paraId="4F6510FD">
      <w:pPr>
        <w:pStyle w:val="44"/>
        <w:widowControl/>
        <w:numPr>
          <w:ilvl w:val="0"/>
          <w:numId w:val="19"/>
        </w:numPr>
        <w:spacing w:line="360" w:lineRule="auto"/>
        <w:ind w:firstLineChars="0"/>
        <w:jc w:val="left"/>
        <w:rPr>
          <w:color w:val="000000" w:themeColor="text1"/>
          <w:szCs w:val="21"/>
        </w:rPr>
      </w:pPr>
      <w:r>
        <w:rPr>
          <w:bCs/>
          <w:color w:val="000000" w:themeColor="text1"/>
          <w:szCs w:val="21"/>
        </w:rPr>
        <w:t>资格性审查：</w:t>
      </w:r>
      <w:r>
        <w:rPr>
          <w:color w:val="000000" w:themeColor="text1"/>
          <w:szCs w:val="21"/>
        </w:rPr>
        <w:t>我院应当依法对投标人的资格进行审查，详见《资格性审查表》。对初步被认定为资格性审查不合格的，</w:t>
      </w:r>
      <w:r>
        <w:rPr>
          <w:rFonts w:hint="eastAsia"/>
          <w:color w:val="000000" w:themeColor="text1"/>
          <w:szCs w:val="21"/>
        </w:rPr>
        <w:t>及时</w:t>
      </w:r>
      <w:r>
        <w:rPr>
          <w:color w:val="000000" w:themeColor="text1"/>
          <w:szCs w:val="21"/>
        </w:rPr>
        <w:t>告知投标当事人，以让其核证、澄清事实。未通过资格性审查的投标人，不进入符合性审查。</w:t>
      </w:r>
    </w:p>
    <w:p w14:paraId="5981BFDA">
      <w:pPr>
        <w:pStyle w:val="44"/>
        <w:widowControl/>
        <w:numPr>
          <w:ilvl w:val="0"/>
          <w:numId w:val="19"/>
        </w:numPr>
        <w:spacing w:line="360" w:lineRule="auto"/>
        <w:ind w:firstLineChars="0"/>
        <w:jc w:val="left"/>
        <w:rPr>
          <w:color w:val="000000" w:themeColor="text1"/>
          <w:szCs w:val="21"/>
        </w:rPr>
      </w:pPr>
      <w:r>
        <w:rPr>
          <w:color w:val="000000" w:themeColor="text1"/>
          <w:szCs w:val="21"/>
        </w:rPr>
        <w:t>符合性审查：评标委员会应当对符合资格的投标人的投标文件进行符合性审查，详见《符合性审查表》，以确定其是否满足</w:t>
      </w:r>
      <w:r>
        <w:rPr>
          <w:rFonts w:hint="eastAsia"/>
          <w:color w:val="000000" w:themeColor="text1"/>
          <w:szCs w:val="21"/>
        </w:rPr>
        <w:t>采购</w:t>
      </w:r>
      <w:r>
        <w:rPr>
          <w:color w:val="000000" w:themeColor="text1"/>
          <w:szCs w:val="21"/>
        </w:rPr>
        <w:t>文件的实质性要求。</w:t>
      </w:r>
      <w:r>
        <w:rPr>
          <w:color w:val="000000" w:themeColor="text1"/>
          <w:szCs w:val="21"/>
          <w:lang w:eastAsia="zh-TW"/>
        </w:rPr>
        <w:t>评标委员会对初步被认定为符合性审查不合格或无效投标者</w:t>
      </w:r>
      <w:r>
        <w:rPr>
          <w:color w:val="000000" w:themeColor="text1"/>
          <w:szCs w:val="21"/>
        </w:rPr>
        <w:t>可</w:t>
      </w:r>
      <w:r>
        <w:rPr>
          <w:color w:val="000000" w:themeColor="text1"/>
          <w:szCs w:val="21"/>
          <w:lang w:eastAsia="zh-TW"/>
        </w:rPr>
        <w:t>实行告知</w:t>
      </w:r>
      <w:r>
        <w:rPr>
          <w:color w:val="000000" w:themeColor="text1"/>
          <w:szCs w:val="21"/>
        </w:rPr>
        <w:t>投标当事人，</w:t>
      </w:r>
      <w:r>
        <w:rPr>
          <w:color w:val="000000" w:themeColor="text1"/>
          <w:szCs w:val="21"/>
          <w:lang w:eastAsia="zh-TW"/>
        </w:rPr>
        <w:t>由评标委员会主任或我院代表将集体意见现场及时告知投标当事人，以让其核证、澄清事实。</w:t>
      </w:r>
      <w:r>
        <w:rPr>
          <w:color w:val="000000" w:themeColor="text1"/>
          <w:szCs w:val="21"/>
        </w:rPr>
        <w:t>未通过符合性审查的投标人，不进入技术、商务和价格评审。</w:t>
      </w:r>
    </w:p>
    <w:p w14:paraId="49670793">
      <w:pPr>
        <w:pStyle w:val="44"/>
        <w:widowControl/>
        <w:numPr>
          <w:ilvl w:val="0"/>
          <w:numId w:val="19"/>
        </w:numPr>
        <w:spacing w:line="360" w:lineRule="auto"/>
        <w:ind w:firstLineChars="0"/>
        <w:rPr>
          <w:color w:val="000000" w:themeColor="text1"/>
          <w:szCs w:val="21"/>
        </w:rPr>
      </w:pPr>
      <w:r>
        <w:rPr>
          <w:rFonts w:hint="eastAsia"/>
          <w:color w:val="000000" w:themeColor="text1"/>
          <w:szCs w:val="21"/>
        </w:rPr>
        <w:t>评审现场通过资格性、符合性审查不足三家的可直接按公开遴选采购文件规定的评审标准进行评审。</w:t>
      </w:r>
    </w:p>
    <w:p w14:paraId="041A865B">
      <w:pPr>
        <w:pStyle w:val="44"/>
        <w:widowControl/>
        <w:numPr>
          <w:ilvl w:val="0"/>
          <w:numId w:val="19"/>
        </w:numPr>
        <w:spacing w:line="360" w:lineRule="auto"/>
        <w:ind w:firstLineChars="0"/>
        <w:rPr>
          <w:color w:val="000000" w:themeColor="text1"/>
          <w:szCs w:val="21"/>
        </w:rPr>
      </w:pPr>
      <w:r>
        <w:rPr>
          <w:color w:val="000000" w:themeColor="text1"/>
          <w:szCs w:val="21"/>
        </w:rPr>
        <w:t>详细评审及推荐中标候选人：采用综合评分法的，评标结果按评审后得分由高到低顺序排列。得分相同的，按投标报价由低到高顺序排列</w:t>
      </w:r>
      <w:r>
        <w:rPr>
          <w:rFonts w:hint="eastAsia"/>
          <w:color w:val="000000" w:themeColor="text1"/>
          <w:szCs w:val="21"/>
        </w:rPr>
        <w:t>，</w:t>
      </w:r>
      <w:r>
        <w:rPr>
          <w:color w:val="000000" w:themeColor="text1"/>
          <w:szCs w:val="21"/>
        </w:rPr>
        <w:t>得分且投标报价相同的并列。投标文件满足</w:t>
      </w:r>
      <w:r>
        <w:rPr>
          <w:rFonts w:hint="eastAsia"/>
          <w:color w:val="000000" w:themeColor="text1"/>
          <w:szCs w:val="21"/>
        </w:rPr>
        <w:t>采购</w:t>
      </w:r>
      <w:r>
        <w:rPr>
          <w:color w:val="000000" w:themeColor="text1"/>
          <w:szCs w:val="21"/>
        </w:rPr>
        <w:t>文件全部实质性要求，且按照评审因素的量化指标评审得分最高的投标人为排名第一的中标候选人</w:t>
      </w:r>
      <w:r>
        <w:rPr>
          <w:rFonts w:hint="eastAsia"/>
          <w:color w:val="000000" w:themeColor="text1"/>
          <w:szCs w:val="21"/>
        </w:rPr>
        <w:t xml:space="preserve">。原则上第一预中标人即为中标人，第二、第三预中标人（若有）则作为备选供应商。 </w:t>
      </w:r>
      <w:r>
        <w:rPr>
          <w:color w:val="000000" w:themeColor="text1"/>
          <w:szCs w:val="21"/>
        </w:rPr>
        <w:t>第一中标候选人并列的，由我院采取随机抽取的方式确定中标人。</w:t>
      </w:r>
    </w:p>
    <w:p w14:paraId="4823BBF2">
      <w:pPr>
        <w:pStyle w:val="43"/>
        <w:widowControl/>
        <w:numPr>
          <w:ilvl w:val="0"/>
          <w:numId w:val="16"/>
        </w:numPr>
        <w:spacing w:line="360" w:lineRule="auto"/>
        <w:ind w:firstLineChars="0"/>
        <w:rPr>
          <w:b/>
          <w:color w:val="000000" w:themeColor="text1"/>
          <w:szCs w:val="21"/>
        </w:rPr>
      </w:pPr>
      <w:r>
        <w:rPr>
          <w:rFonts w:hint="eastAsia"/>
          <w:b/>
          <w:color w:val="000000" w:themeColor="text1"/>
          <w:szCs w:val="21"/>
          <w:highlight w:val="yellow"/>
          <w:lang w:val="en-US" w:eastAsia="zh-CN"/>
        </w:rPr>
        <w:t>会签评审报告</w:t>
      </w:r>
    </w:p>
    <w:p w14:paraId="6DB8CBEF">
      <w:pPr>
        <w:pStyle w:val="43"/>
        <w:spacing w:line="360" w:lineRule="auto"/>
        <w:ind w:left="425" w:firstLine="0" w:firstLineChars="0"/>
        <w:rPr>
          <w:color w:val="000000" w:themeColor="text1"/>
          <w:szCs w:val="21"/>
        </w:rPr>
      </w:pPr>
      <w:r>
        <w:rPr>
          <w:rFonts w:hint="eastAsia"/>
          <w:color w:val="000000" w:themeColor="text1"/>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6"/>
        </w:numPr>
        <w:spacing w:line="360" w:lineRule="auto"/>
        <w:ind w:firstLineChars="0"/>
        <w:rPr>
          <w:color w:val="000000" w:themeColor="text1"/>
          <w:szCs w:val="21"/>
        </w:rPr>
      </w:pPr>
      <w:r>
        <w:rPr>
          <w:rFonts w:hint="eastAsia"/>
          <w:b/>
          <w:color w:val="000000" w:themeColor="text1"/>
          <w:szCs w:val="21"/>
        </w:rPr>
        <w:t>中标公示</w:t>
      </w:r>
    </w:p>
    <w:p w14:paraId="559A194B">
      <w:pPr>
        <w:pStyle w:val="43"/>
        <w:widowControl/>
        <w:numPr>
          <w:ilvl w:val="0"/>
          <w:numId w:val="16"/>
        </w:numPr>
        <w:spacing w:line="360" w:lineRule="auto"/>
        <w:ind w:firstLineChars="0"/>
        <w:rPr>
          <w:color w:val="000000" w:themeColor="text1"/>
          <w:szCs w:val="21"/>
        </w:rPr>
      </w:pPr>
      <w:r>
        <w:rPr>
          <w:rFonts w:hint="eastAsia" w:ascii="宋体" w:hAnsi="宋体"/>
          <w:color w:val="000000" w:themeColor="text1"/>
          <w:szCs w:val="21"/>
        </w:rPr>
        <w:t>为体现“公开、公平、公正”的原则，评审结束后</w:t>
      </w:r>
      <w:r>
        <w:rPr>
          <w:rFonts w:hint="eastAsia"/>
          <w:color w:val="000000" w:themeColor="text1"/>
          <w:szCs w:val="21"/>
        </w:rPr>
        <w:t>由招采办通过医院网站</w:t>
      </w:r>
      <w:r>
        <w:rPr>
          <w:color w:val="000000" w:themeColor="text1"/>
          <w:szCs w:val="21"/>
        </w:rPr>
        <w:t>发布中标</w:t>
      </w:r>
      <w:r>
        <w:rPr>
          <w:rFonts w:hint="eastAsia"/>
          <w:color w:val="000000" w:themeColor="text1"/>
          <w:szCs w:val="21"/>
        </w:rPr>
        <w:t>公</w:t>
      </w:r>
      <w:r>
        <w:rPr>
          <w:color w:val="000000" w:themeColor="text1"/>
          <w:szCs w:val="21"/>
        </w:rPr>
        <w:t>告</w:t>
      </w:r>
      <w:r>
        <w:rPr>
          <w:rFonts w:hint="eastAsia"/>
          <w:color w:val="000000" w:themeColor="text1"/>
          <w:szCs w:val="21"/>
        </w:rPr>
        <w:t>，公示期内，接受各方监督。质疑、投诉供应商应保证质疑、投诉内容的真实性和可靠性，并承担相应的法律责任。</w:t>
      </w:r>
    </w:p>
    <w:p w14:paraId="00D05CBB">
      <w:pPr>
        <w:pStyle w:val="43"/>
        <w:widowControl/>
        <w:numPr>
          <w:ilvl w:val="0"/>
          <w:numId w:val="16"/>
        </w:numPr>
        <w:spacing w:line="360" w:lineRule="auto"/>
        <w:ind w:firstLineChars="0"/>
        <w:rPr>
          <w:b/>
          <w:color w:val="000000" w:themeColor="text1"/>
          <w:szCs w:val="21"/>
        </w:rPr>
      </w:pPr>
      <w:r>
        <w:rPr>
          <w:rFonts w:hint="eastAsia"/>
          <w:b/>
          <w:color w:val="000000" w:themeColor="text1"/>
          <w:szCs w:val="21"/>
        </w:rPr>
        <w:t>中标通知书</w:t>
      </w:r>
    </w:p>
    <w:p w14:paraId="2F38E20C">
      <w:pPr>
        <w:pStyle w:val="43"/>
        <w:widowControl/>
        <w:spacing w:line="360" w:lineRule="auto"/>
        <w:ind w:left="425" w:firstLine="0" w:firstLineChars="0"/>
        <w:rPr>
          <w:color w:val="000000" w:themeColor="text1"/>
          <w:szCs w:val="21"/>
        </w:rPr>
      </w:pPr>
      <w:r>
        <w:rPr>
          <w:rFonts w:hint="eastAsia" w:ascii="宋体" w:hAnsi="宋体"/>
          <w:color w:val="000000" w:themeColor="text1"/>
          <w:szCs w:val="21"/>
        </w:rPr>
        <w:t>中标公告公布以后无质疑投诉异情况下</w:t>
      </w:r>
      <w:r>
        <w:rPr>
          <w:rFonts w:hint="eastAsia" w:ascii="宋体" w:hAnsi="宋体"/>
          <w:color w:val="000000" w:themeColor="text1"/>
          <w:szCs w:val="21"/>
          <w:lang w:eastAsia="zh-CN"/>
        </w:rPr>
        <w:t>，</w:t>
      </w:r>
      <w:r>
        <w:rPr>
          <w:rFonts w:hint="eastAsia" w:ascii="宋体" w:hAnsi="宋体"/>
          <w:color w:val="000000" w:themeColor="text1"/>
          <w:szCs w:val="21"/>
        </w:rPr>
        <w:t>发放中标通知书。</w:t>
      </w:r>
    </w:p>
    <w:p w14:paraId="317B16D5">
      <w:pPr>
        <w:pStyle w:val="44"/>
        <w:widowControl/>
        <w:numPr>
          <w:ilvl w:val="0"/>
          <w:numId w:val="16"/>
        </w:numPr>
        <w:spacing w:line="360" w:lineRule="auto"/>
        <w:ind w:firstLineChars="0"/>
        <w:rPr>
          <w:b/>
          <w:color w:val="000000" w:themeColor="text1"/>
          <w:szCs w:val="21"/>
        </w:rPr>
      </w:pPr>
      <w:r>
        <w:rPr>
          <w:rFonts w:hint="eastAsia"/>
          <w:b/>
          <w:color w:val="000000" w:themeColor="text1"/>
          <w:szCs w:val="21"/>
        </w:rPr>
        <w:t>特别说明</w:t>
      </w:r>
    </w:p>
    <w:p w14:paraId="12774B4A">
      <w:pPr>
        <w:pStyle w:val="44"/>
        <w:widowControl/>
        <w:spacing w:line="360" w:lineRule="auto"/>
        <w:jc w:val="left"/>
        <w:rPr>
          <w:color w:val="000000" w:themeColor="text1"/>
          <w:szCs w:val="21"/>
        </w:rPr>
      </w:pPr>
      <w:r>
        <w:rPr>
          <w:rFonts w:hint="eastAsia"/>
          <w:color w:val="000000" w:themeColor="text1"/>
          <w:szCs w:val="21"/>
        </w:rPr>
        <w:t>（</w:t>
      </w:r>
      <w:r>
        <w:rPr>
          <w:color w:val="000000" w:themeColor="text1"/>
          <w:szCs w:val="21"/>
        </w:rPr>
        <w:t>1</w:t>
      </w:r>
      <w:r>
        <w:rPr>
          <w:rFonts w:hint="eastAsia"/>
          <w:color w:val="000000" w:themeColor="text1"/>
          <w:szCs w:val="21"/>
        </w:rPr>
        <w:t>）有下列情形之一的，视为投标人串通投标，其投标无效：</w:t>
      </w:r>
    </w:p>
    <w:p w14:paraId="0B84386B">
      <w:pPr>
        <w:pStyle w:val="44"/>
        <w:widowControl/>
        <w:numPr>
          <w:ilvl w:val="0"/>
          <w:numId w:val="20"/>
        </w:numPr>
        <w:spacing w:line="360" w:lineRule="auto"/>
        <w:ind w:firstLineChars="0"/>
        <w:jc w:val="left"/>
        <w:rPr>
          <w:color w:val="000000" w:themeColor="text1"/>
          <w:szCs w:val="21"/>
        </w:rPr>
      </w:pPr>
      <w:r>
        <w:rPr>
          <w:rFonts w:hint="eastAsia"/>
          <w:color w:val="000000" w:themeColor="text1"/>
          <w:szCs w:val="21"/>
        </w:rPr>
        <w:t>不同投标人的投标文件由同一单位或者个人编制；</w:t>
      </w:r>
    </w:p>
    <w:p w14:paraId="2D7D54F4">
      <w:pPr>
        <w:pStyle w:val="44"/>
        <w:widowControl/>
        <w:numPr>
          <w:ilvl w:val="0"/>
          <w:numId w:val="20"/>
        </w:numPr>
        <w:spacing w:line="360" w:lineRule="auto"/>
        <w:ind w:firstLineChars="0"/>
        <w:jc w:val="left"/>
        <w:rPr>
          <w:color w:val="000000" w:themeColor="text1"/>
          <w:szCs w:val="21"/>
        </w:rPr>
      </w:pPr>
      <w:r>
        <w:rPr>
          <w:rFonts w:hint="eastAsia"/>
          <w:color w:val="000000" w:themeColor="text1"/>
          <w:szCs w:val="21"/>
        </w:rPr>
        <w:t>不同投标人委托同一单位或者个人办理投标事宜；</w:t>
      </w:r>
    </w:p>
    <w:p w14:paraId="44063968">
      <w:pPr>
        <w:pStyle w:val="44"/>
        <w:widowControl/>
        <w:numPr>
          <w:ilvl w:val="0"/>
          <w:numId w:val="20"/>
        </w:numPr>
        <w:spacing w:line="360" w:lineRule="auto"/>
        <w:ind w:firstLineChars="0"/>
        <w:jc w:val="left"/>
        <w:rPr>
          <w:color w:val="000000" w:themeColor="text1"/>
          <w:szCs w:val="21"/>
        </w:rPr>
      </w:pPr>
      <w:r>
        <w:rPr>
          <w:rFonts w:hint="eastAsia"/>
          <w:color w:val="000000" w:themeColor="text1"/>
          <w:szCs w:val="21"/>
        </w:rPr>
        <w:t>不同投标人的投标文件载明的项目管理成员或者联系人员为同一人；</w:t>
      </w:r>
    </w:p>
    <w:p w14:paraId="187D7EDC">
      <w:pPr>
        <w:pStyle w:val="44"/>
        <w:widowControl/>
        <w:numPr>
          <w:ilvl w:val="0"/>
          <w:numId w:val="20"/>
        </w:numPr>
        <w:spacing w:line="360" w:lineRule="auto"/>
        <w:ind w:firstLineChars="0"/>
        <w:jc w:val="left"/>
        <w:rPr>
          <w:color w:val="000000" w:themeColor="text1"/>
          <w:szCs w:val="21"/>
        </w:rPr>
      </w:pPr>
      <w:r>
        <w:rPr>
          <w:rFonts w:hint="eastAsia"/>
          <w:color w:val="000000" w:themeColor="text1"/>
          <w:szCs w:val="21"/>
        </w:rPr>
        <w:t>不同投标人的投标文件异常一致或者投标报价呈规律性差异；</w:t>
      </w:r>
    </w:p>
    <w:p w14:paraId="651635F3">
      <w:pPr>
        <w:pStyle w:val="44"/>
        <w:widowControl/>
        <w:numPr>
          <w:ilvl w:val="0"/>
          <w:numId w:val="20"/>
        </w:numPr>
        <w:spacing w:line="360" w:lineRule="auto"/>
        <w:ind w:firstLineChars="0"/>
        <w:jc w:val="left"/>
        <w:rPr>
          <w:color w:val="000000" w:themeColor="text1"/>
          <w:szCs w:val="21"/>
        </w:rPr>
      </w:pPr>
      <w:r>
        <w:rPr>
          <w:rFonts w:hint="eastAsia"/>
          <w:color w:val="000000" w:themeColor="text1"/>
          <w:szCs w:val="21"/>
        </w:rPr>
        <w:t>不同投标人的投标文件相互混装；</w:t>
      </w:r>
    </w:p>
    <w:p w14:paraId="73862F8D">
      <w:pPr>
        <w:pStyle w:val="44"/>
        <w:widowControl/>
        <w:spacing w:line="360" w:lineRule="auto"/>
        <w:ind w:left="425" w:firstLine="0" w:firstLineChars="0"/>
        <w:jc w:val="left"/>
        <w:rPr>
          <w:b/>
          <w:bCs/>
          <w:color w:val="000000" w:themeColor="text1"/>
          <w:szCs w:val="21"/>
        </w:rPr>
      </w:pPr>
      <w:r>
        <w:rPr>
          <w:rFonts w:hint="eastAsia"/>
          <w:b/>
          <w:bCs/>
          <w:color w:val="000000" w:themeColor="text1"/>
          <w:szCs w:val="21"/>
        </w:rPr>
        <w:t>（</w:t>
      </w:r>
      <w:r>
        <w:rPr>
          <w:b/>
          <w:bCs/>
          <w:color w:val="000000" w:themeColor="text1"/>
          <w:szCs w:val="21"/>
        </w:rPr>
        <w:t>2</w:t>
      </w:r>
      <w:r>
        <w:rPr>
          <w:rFonts w:hint="eastAsia"/>
          <w:b/>
          <w:bCs/>
          <w:color w:val="000000" w:themeColor="text1"/>
          <w:szCs w:val="21"/>
        </w:rPr>
        <w:t>）标人存在下列情况之一的，投标无效：</w:t>
      </w:r>
    </w:p>
    <w:p w14:paraId="6712D85F">
      <w:pPr>
        <w:pStyle w:val="44"/>
        <w:widowControl/>
        <w:numPr>
          <w:ilvl w:val="0"/>
          <w:numId w:val="20"/>
        </w:numPr>
        <w:spacing w:line="360" w:lineRule="auto"/>
        <w:ind w:firstLineChars="0"/>
        <w:jc w:val="left"/>
        <w:rPr>
          <w:color w:val="000000" w:themeColor="text1"/>
          <w:szCs w:val="21"/>
        </w:rPr>
      </w:pPr>
      <w:r>
        <w:rPr>
          <w:rFonts w:hint="eastAsia"/>
          <w:color w:val="000000" w:themeColor="text1"/>
          <w:szCs w:val="21"/>
        </w:rPr>
        <w:t>投标文件未按采购文件要求签署、盖章的；</w:t>
      </w:r>
    </w:p>
    <w:p w14:paraId="46C78010">
      <w:pPr>
        <w:pStyle w:val="44"/>
        <w:widowControl/>
        <w:numPr>
          <w:ilvl w:val="0"/>
          <w:numId w:val="20"/>
        </w:numPr>
        <w:spacing w:line="360" w:lineRule="auto"/>
        <w:ind w:firstLineChars="0"/>
        <w:jc w:val="left"/>
        <w:rPr>
          <w:color w:val="000000" w:themeColor="text1"/>
          <w:szCs w:val="21"/>
        </w:rPr>
      </w:pPr>
      <w:r>
        <w:rPr>
          <w:color w:val="000000" w:themeColor="text1"/>
          <w:szCs w:val="21"/>
        </w:rPr>
        <w:t>不具备</w:t>
      </w:r>
      <w:r>
        <w:rPr>
          <w:rFonts w:hint="eastAsia"/>
          <w:color w:val="000000" w:themeColor="text1"/>
          <w:szCs w:val="21"/>
        </w:rPr>
        <w:t>采购</w:t>
      </w:r>
      <w:r>
        <w:rPr>
          <w:color w:val="000000" w:themeColor="text1"/>
          <w:szCs w:val="21"/>
        </w:rPr>
        <w:t>文件中规定的资格要求的；</w:t>
      </w:r>
    </w:p>
    <w:p w14:paraId="1B506E0E">
      <w:pPr>
        <w:pStyle w:val="44"/>
        <w:widowControl/>
        <w:numPr>
          <w:ilvl w:val="0"/>
          <w:numId w:val="20"/>
        </w:numPr>
        <w:spacing w:line="360" w:lineRule="auto"/>
        <w:ind w:firstLineChars="0"/>
        <w:jc w:val="left"/>
        <w:rPr>
          <w:color w:val="000000" w:themeColor="text1"/>
          <w:szCs w:val="21"/>
        </w:rPr>
      </w:pPr>
      <w:r>
        <w:rPr>
          <w:color w:val="000000" w:themeColor="text1"/>
          <w:szCs w:val="21"/>
        </w:rPr>
        <w:t>报价超过</w:t>
      </w:r>
      <w:r>
        <w:rPr>
          <w:rFonts w:hint="eastAsia"/>
          <w:color w:val="000000" w:themeColor="text1"/>
          <w:szCs w:val="21"/>
        </w:rPr>
        <w:t>采购</w:t>
      </w:r>
      <w:r>
        <w:rPr>
          <w:color w:val="000000" w:themeColor="text1"/>
          <w:szCs w:val="21"/>
        </w:rPr>
        <w:t>文件中规定的预算金额或者最高限价的；</w:t>
      </w:r>
    </w:p>
    <w:p w14:paraId="0D802ED2">
      <w:pPr>
        <w:pStyle w:val="44"/>
        <w:widowControl/>
        <w:numPr>
          <w:ilvl w:val="0"/>
          <w:numId w:val="20"/>
        </w:numPr>
        <w:spacing w:line="360" w:lineRule="auto"/>
        <w:ind w:firstLineChars="0"/>
        <w:jc w:val="left"/>
        <w:rPr>
          <w:color w:val="000000" w:themeColor="text1"/>
          <w:szCs w:val="21"/>
        </w:rPr>
      </w:pPr>
      <w:r>
        <w:rPr>
          <w:color w:val="000000" w:themeColor="text1"/>
          <w:szCs w:val="21"/>
        </w:rPr>
        <w:t>投标文件含有我院不能接受的附加条件的</w:t>
      </w:r>
      <w:r>
        <w:rPr>
          <w:rFonts w:hint="eastAsia"/>
          <w:color w:val="000000" w:themeColor="text1"/>
          <w:szCs w:val="21"/>
          <w:lang w:eastAsia="zh-CN"/>
        </w:rPr>
        <w:t>；</w:t>
      </w:r>
    </w:p>
    <w:p w14:paraId="55225854">
      <w:pPr>
        <w:pStyle w:val="44"/>
        <w:widowControl/>
        <w:numPr>
          <w:ilvl w:val="0"/>
          <w:numId w:val="20"/>
        </w:numPr>
        <w:spacing w:line="360" w:lineRule="auto"/>
        <w:ind w:firstLineChars="0"/>
        <w:jc w:val="left"/>
        <w:rPr>
          <w:color w:val="000000" w:themeColor="text1"/>
          <w:szCs w:val="21"/>
        </w:rPr>
      </w:pPr>
      <w:r>
        <w:rPr>
          <w:color w:val="000000" w:themeColor="text1"/>
          <w:szCs w:val="21"/>
        </w:rPr>
        <w:t>法律、法规和</w:t>
      </w:r>
      <w:r>
        <w:rPr>
          <w:rFonts w:hint="eastAsia"/>
          <w:color w:val="000000" w:themeColor="text1"/>
          <w:szCs w:val="21"/>
        </w:rPr>
        <w:t>采购</w:t>
      </w:r>
      <w:r>
        <w:rPr>
          <w:color w:val="000000" w:themeColor="text1"/>
          <w:szCs w:val="21"/>
        </w:rPr>
        <w:t>文件规定的其他无效情形。</w:t>
      </w:r>
    </w:p>
    <w:p w14:paraId="5DE7FA7F">
      <w:pPr>
        <w:pStyle w:val="44"/>
        <w:widowControl/>
        <w:spacing w:line="360" w:lineRule="auto"/>
        <w:ind w:firstLine="422"/>
        <w:jc w:val="left"/>
        <w:rPr>
          <w:b/>
          <w:color w:val="000000" w:themeColor="text1"/>
          <w:szCs w:val="21"/>
        </w:rPr>
      </w:pPr>
      <w:r>
        <w:rPr>
          <w:rFonts w:hint="eastAsia"/>
          <w:b/>
          <w:color w:val="000000" w:themeColor="text1"/>
          <w:szCs w:val="21"/>
        </w:rPr>
        <w:t>（</w:t>
      </w:r>
      <w:r>
        <w:rPr>
          <w:b/>
          <w:color w:val="000000" w:themeColor="text1"/>
          <w:szCs w:val="21"/>
        </w:rPr>
        <w:t>3</w:t>
      </w:r>
      <w:r>
        <w:rPr>
          <w:rFonts w:hint="eastAsia"/>
          <w:b/>
          <w:color w:val="000000" w:themeColor="text1"/>
          <w:szCs w:val="21"/>
        </w:rPr>
        <w:t>）</w:t>
      </w:r>
      <w:r>
        <w:rPr>
          <w:b/>
          <w:color w:val="000000" w:themeColor="text1"/>
          <w:szCs w:val="21"/>
        </w:rPr>
        <w:t>废标</w:t>
      </w:r>
    </w:p>
    <w:p w14:paraId="06F872B1">
      <w:pPr>
        <w:pStyle w:val="44"/>
        <w:widowControl/>
        <w:numPr>
          <w:ilvl w:val="255"/>
          <w:numId w:val="0"/>
        </w:numPr>
        <w:spacing w:line="360" w:lineRule="auto"/>
        <w:jc w:val="left"/>
        <w:rPr>
          <w:color w:val="000000" w:themeColor="text1"/>
          <w:szCs w:val="21"/>
        </w:rPr>
      </w:pPr>
      <w:r>
        <w:rPr>
          <w:color w:val="000000" w:themeColor="text1"/>
          <w:szCs w:val="21"/>
        </w:rPr>
        <w:t>在招标采购中，出现下列情形之一的，应予废标。</w:t>
      </w:r>
    </w:p>
    <w:p w14:paraId="067BD01E">
      <w:pPr>
        <w:pStyle w:val="44"/>
        <w:widowControl/>
        <w:numPr>
          <w:ilvl w:val="0"/>
          <w:numId w:val="21"/>
        </w:numPr>
        <w:spacing w:line="360" w:lineRule="auto"/>
        <w:ind w:firstLineChars="0"/>
        <w:jc w:val="left"/>
        <w:rPr>
          <w:color w:val="000000" w:themeColor="text1"/>
          <w:szCs w:val="21"/>
        </w:rPr>
      </w:pPr>
      <w:r>
        <w:rPr>
          <w:color w:val="000000" w:themeColor="text1"/>
          <w:szCs w:val="21"/>
        </w:rPr>
        <w:t>出现影响采购公正的违法、违规行为的；</w:t>
      </w:r>
    </w:p>
    <w:p w14:paraId="2C192A73">
      <w:pPr>
        <w:pStyle w:val="44"/>
        <w:widowControl/>
        <w:numPr>
          <w:ilvl w:val="0"/>
          <w:numId w:val="21"/>
        </w:numPr>
        <w:spacing w:line="360" w:lineRule="auto"/>
        <w:ind w:firstLineChars="0"/>
        <w:jc w:val="left"/>
        <w:rPr>
          <w:color w:val="000000" w:themeColor="text1"/>
          <w:szCs w:val="21"/>
        </w:rPr>
      </w:pPr>
      <w:r>
        <w:rPr>
          <w:color w:val="000000" w:themeColor="text1"/>
          <w:szCs w:val="21"/>
        </w:rPr>
        <w:t>投标人的报价均超过了采购预算；</w:t>
      </w:r>
    </w:p>
    <w:p w14:paraId="7769D066">
      <w:pPr>
        <w:pStyle w:val="44"/>
        <w:widowControl/>
        <w:numPr>
          <w:ilvl w:val="0"/>
          <w:numId w:val="21"/>
        </w:numPr>
        <w:spacing w:line="360" w:lineRule="auto"/>
        <w:ind w:firstLineChars="0"/>
        <w:jc w:val="left"/>
        <w:rPr>
          <w:color w:val="000000" w:themeColor="text1"/>
          <w:szCs w:val="21"/>
        </w:rPr>
      </w:pPr>
      <w:r>
        <w:rPr>
          <w:color w:val="000000" w:themeColor="text1"/>
          <w:szCs w:val="21"/>
        </w:rPr>
        <w:t>因重大变故，采购任务取消的。</w:t>
      </w:r>
    </w:p>
    <w:p w14:paraId="693D2626">
      <w:pPr>
        <w:pStyle w:val="44"/>
        <w:widowControl/>
        <w:spacing w:line="360" w:lineRule="auto"/>
        <w:ind w:firstLine="0" w:firstLineChars="0"/>
        <w:jc w:val="left"/>
        <w:rPr>
          <w:color w:val="000000" w:themeColor="text1"/>
          <w:szCs w:val="21"/>
        </w:rPr>
      </w:pPr>
    </w:p>
    <w:p w14:paraId="1C922835">
      <w:pPr>
        <w:pStyle w:val="44"/>
        <w:widowControl/>
        <w:spacing w:line="360" w:lineRule="auto"/>
        <w:ind w:firstLine="0" w:firstLineChars="0"/>
        <w:jc w:val="left"/>
        <w:rPr>
          <w:color w:val="000000" w:themeColor="text1"/>
          <w:szCs w:val="21"/>
        </w:rPr>
      </w:pPr>
    </w:p>
    <w:p w14:paraId="7DB31DA7">
      <w:pPr>
        <w:jc w:val="center"/>
        <w:rPr>
          <w:rFonts w:ascii="Arial Unicode MS" w:hAnsi="Arial Unicode MS" w:eastAsia="Arial Unicode MS" w:cs="Arial Unicode MS"/>
          <w:kern w:val="0"/>
          <w:sz w:val="44"/>
          <w:szCs w:val="36"/>
        </w:rPr>
      </w:pPr>
      <w:bookmarkStart w:id="6" w:name="_Hlk72439043"/>
    </w:p>
    <w:p w14:paraId="1D8EB236">
      <w:pPr>
        <w:jc w:val="center"/>
        <w:rPr>
          <w:rFonts w:ascii="Arial Unicode MS" w:hAnsi="Arial Unicode MS" w:eastAsia="Arial Unicode MS" w:cs="Arial Unicode MS"/>
          <w:kern w:val="0"/>
          <w:sz w:val="44"/>
          <w:szCs w:val="36"/>
        </w:rPr>
      </w:pPr>
    </w:p>
    <w:p w14:paraId="49B3B4DE">
      <w:pPr>
        <w:pStyle w:val="36"/>
        <w:ind w:left="0" w:leftChars="0" w:firstLine="0" w:firstLineChars="0"/>
      </w:pPr>
    </w:p>
    <w:p w14:paraId="438B50D0">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BEF0B3">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538BDBF3">
      <w:pPr>
        <w:pStyle w:val="36"/>
        <w:ind w:firstLine="0" w:firstLineChars="0"/>
        <w:rPr>
          <w:rFonts w:asciiTheme="minorEastAsia" w:hAnsiTheme="minorEastAsia" w:cstheme="minorEastAsia"/>
          <w:b/>
          <w:bCs/>
          <w:snapToGrid w:val="0"/>
          <w:szCs w:val="24"/>
        </w:rPr>
      </w:pPr>
    </w:p>
    <w:p w14:paraId="5A924DB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7B7A22C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51780E8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ACD97F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189DBB01">
      <w:pPr>
        <w:pStyle w:val="36"/>
        <w:ind w:firstLine="0" w:firstLineChars="0"/>
        <w:rPr>
          <w:rFonts w:asciiTheme="minorEastAsia" w:hAnsiTheme="minorEastAsia" w:cstheme="minorEastAsia"/>
          <w:b/>
          <w:bCs/>
        </w:rPr>
      </w:pPr>
      <w:r>
        <w:rPr>
          <w:rFonts w:hint="eastAsia" w:asciiTheme="minorEastAsia" w:hAnsiTheme="minorEastAsia" w:cstheme="minorEastAsia"/>
          <w:b/>
          <w:bCs/>
        </w:rPr>
        <w:t>二、响应文件的编写</w:t>
      </w:r>
    </w:p>
    <w:p w14:paraId="00FB2F43">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7F3C8FD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4905CE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7AC7CC4A">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35B960CD">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6BFC5D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4880451F">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260453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74C8F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41AB59F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67D49F8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1958C5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29115405">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29EE60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22C28AD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F32B57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2580C5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418C4C0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42931BC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5398B1F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28F3B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7294905B">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5A1DFD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0C7EF69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D31E3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响应文件“正本”、“副本”密封并应在封套上载明以下信息：</w:t>
      </w:r>
    </w:p>
    <w:p w14:paraId="7990F0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3AE6F9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1FC4D8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3DB3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7581BF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5C8FE2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4710FDD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0BB7DED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F24367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669823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67CF8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14510783">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44AD89D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E65121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20C1CA27">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AA474E8">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7FA753C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C136EA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6016CF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63752E1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448244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69DC2BD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7DF1804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6BFCE210">
      <w:pPr>
        <w:pStyle w:val="36"/>
        <w:numPr>
          <w:ilvl w:val="0"/>
          <w:numId w:val="22"/>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2E799440">
      <w:pPr>
        <w:pStyle w:val="36"/>
        <w:ind w:firstLine="0" w:firstLineChars="0"/>
        <w:rPr>
          <w:rFonts w:asciiTheme="minorEastAsia" w:hAnsiTheme="minorEastAsia" w:cstheme="minorEastAsia"/>
          <w:kern w:val="2"/>
          <w:szCs w:val="24"/>
        </w:rPr>
      </w:pPr>
    </w:p>
    <w:p w14:paraId="51AC9CF9">
      <w:pPr>
        <w:pStyle w:val="36"/>
        <w:ind w:firstLine="0" w:firstLineChars="0"/>
        <w:rPr>
          <w:rFonts w:asciiTheme="minorEastAsia" w:hAnsiTheme="minorEastAsia" w:cstheme="minorEastAsia"/>
          <w:kern w:val="2"/>
          <w:szCs w:val="24"/>
        </w:rPr>
      </w:pPr>
    </w:p>
    <w:p w14:paraId="4F9814BA">
      <w:pPr>
        <w:pStyle w:val="36"/>
        <w:ind w:firstLine="0" w:firstLineChars="0"/>
        <w:rPr>
          <w:rFonts w:asciiTheme="minorEastAsia" w:hAnsiTheme="minorEastAsia" w:cstheme="minorEastAsia"/>
          <w:kern w:val="2"/>
          <w:szCs w:val="24"/>
        </w:rPr>
      </w:pPr>
    </w:p>
    <w:p w14:paraId="751B38FB">
      <w:pPr>
        <w:pStyle w:val="36"/>
        <w:ind w:firstLine="0" w:firstLineChars="0"/>
        <w:rPr>
          <w:rFonts w:asciiTheme="minorEastAsia" w:hAnsiTheme="minorEastAsia" w:cstheme="minorEastAsia"/>
          <w:kern w:val="2"/>
          <w:szCs w:val="24"/>
        </w:rPr>
      </w:pPr>
    </w:p>
    <w:p w14:paraId="285DE53B">
      <w:pPr>
        <w:pStyle w:val="36"/>
        <w:ind w:firstLine="0" w:firstLineChars="0"/>
        <w:rPr>
          <w:rFonts w:asciiTheme="minorEastAsia" w:hAnsiTheme="minorEastAsia" w:cstheme="minorEastAsia"/>
          <w:kern w:val="2"/>
          <w:szCs w:val="24"/>
        </w:rPr>
      </w:pPr>
    </w:p>
    <w:p w14:paraId="55FA1A7D">
      <w:pPr>
        <w:pStyle w:val="5"/>
        <w:rPr>
          <w:rFonts w:asciiTheme="minorEastAsia" w:hAnsiTheme="minorEastAsia" w:eastAsiaTheme="minorEastAsia" w:cstheme="minorEastAsia"/>
        </w:rPr>
      </w:pPr>
    </w:p>
    <w:p w14:paraId="2A825F90">
      <w:pPr>
        <w:rPr>
          <w:rFonts w:asciiTheme="minorEastAsia" w:hAnsiTheme="minorEastAsia" w:cstheme="minorEastAsia"/>
        </w:rPr>
      </w:pPr>
    </w:p>
    <w:p w14:paraId="62DEE711">
      <w:pPr>
        <w:rPr>
          <w:rFonts w:asciiTheme="minorEastAsia" w:hAnsiTheme="minorEastAsia" w:cstheme="minorEastAsia"/>
        </w:rPr>
      </w:pPr>
    </w:p>
    <w:p w14:paraId="6F0A3688">
      <w:pPr>
        <w:rPr>
          <w:rFonts w:asciiTheme="minorEastAsia" w:hAnsiTheme="minorEastAsia" w:cstheme="minorEastAsia"/>
        </w:rPr>
      </w:pPr>
    </w:p>
    <w:p w14:paraId="1C9D5E61">
      <w:pPr>
        <w:rPr>
          <w:rFonts w:asciiTheme="minorEastAsia" w:hAnsiTheme="minorEastAsia" w:cstheme="minorEastAsia"/>
        </w:rPr>
      </w:pPr>
    </w:p>
    <w:p w14:paraId="64D2AE58">
      <w:pPr>
        <w:rPr>
          <w:rFonts w:asciiTheme="minorEastAsia" w:hAnsiTheme="minorEastAsia" w:cstheme="minorEastAsia"/>
        </w:rPr>
      </w:pPr>
    </w:p>
    <w:p w14:paraId="2DB25DF8">
      <w:pPr>
        <w:rPr>
          <w:rFonts w:asciiTheme="minorEastAsia" w:hAnsiTheme="minorEastAsia" w:cstheme="minorEastAsia"/>
        </w:rPr>
      </w:pPr>
    </w:p>
    <w:p w14:paraId="77203DCE">
      <w:pPr>
        <w:rPr>
          <w:rFonts w:asciiTheme="minorEastAsia" w:hAnsiTheme="minorEastAsia" w:cstheme="minorEastAsia"/>
        </w:rPr>
      </w:pPr>
    </w:p>
    <w:p w14:paraId="246A61F6">
      <w:pPr>
        <w:rPr>
          <w:rFonts w:asciiTheme="minorEastAsia" w:hAnsiTheme="minorEastAsia" w:cstheme="minorEastAsia"/>
        </w:rPr>
      </w:pPr>
    </w:p>
    <w:p w14:paraId="6B32E1EF">
      <w:pPr>
        <w:rPr>
          <w:rFonts w:asciiTheme="minorEastAsia" w:hAnsiTheme="minorEastAsia" w:cstheme="minorEastAsia"/>
        </w:rPr>
      </w:pPr>
    </w:p>
    <w:p w14:paraId="2B0B76EF">
      <w:pPr>
        <w:rPr>
          <w:rFonts w:asciiTheme="minorEastAsia" w:hAnsiTheme="minorEastAsia" w:cstheme="minorEastAsia"/>
        </w:rPr>
      </w:pPr>
    </w:p>
    <w:p w14:paraId="26CF45DC">
      <w:pPr>
        <w:rPr>
          <w:rFonts w:asciiTheme="minorEastAsia" w:hAnsiTheme="minorEastAsia" w:cstheme="minorEastAsia"/>
        </w:rPr>
      </w:pPr>
    </w:p>
    <w:p w14:paraId="387F436E">
      <w:pPr>
        <w:rPr>
          <w:rFonts w:asciiTheme="minorEastAsia" w:hAnsiTheme="minorEastAsia" w:cstheme="minorEastAsia"/>
        </w:rPr>
      </w:pPr>
    </w:p>
    <w:p w14:paraId="04E67CF0">
      <w:pPr>
        <w:rPr>
          <w:rFonts w:asciiTheme="minorEastAsia" w:hAnsiTheme="minorEastAsia" w:cstheme="minorEastAsia"/>
        </w:rPr>
      </w:pPr>
    </w:p>
    <w:p w14:paraId="2999EFE1">
      <w:pPr>
        <w:rPr>
          <w:rFonts w:asciiTheme="minorEastAsia" w:hAnsiTheme="minorEastAsia" w:cstheme="minorEastAsia"/>
        </w:rPr>
      </w:pPr>
    </w:p>
    <w:p w14:paraId="67D4A6C2">
      <w:pPr>
        <w:rPr>
          <w:rFonts w:asciiTheme="minorEastAsia" w:hAnsiTheme="minorEastAsia" w:cstheme="minorEastAsia"/>
        </w:rPr>
      </w:pPr>
    </w:p>
    <w:p w14:paraId="4CEEDBD8">
      <w:pPr>
        <w:rPr>
          <w:rFonts w:asciiTheme="minorEastAsia" w:hAnsiTheme="minorEastAsia" w:cstheme="minorEastAsia"/>
        </w:rPr>
      </w:pPr>
    </w:p>
    <w:p w14:paraId="0E92FA17">
      <w:pPr>
        <w:rPr>
          <w:rFonts w:asciiTheme="minorEastAsia" w:hAnsiTheme="minorEastAsia" w:cstheme="minorEastAsia"/>
        </w:rPr>
      </w:pPr>
    </w:p>
    <w:p w14:paraId="3B80816B">
      <w:pPr>
        <w:rPr>
          <w:rFonts w:asciiTheme="minorEastAsia" w:hAnsiTheme="minorEastAsia" w:cstheme="minorEastAsia"/>
        </w:rPr>
      </w:pPr>
    </w:p>
    <w:p w14:paraId="03AE9CF1">
      <w:pPr>
        <w:rPr>
          <w:rFonts w:asciiTheme="minorEastAsia" w:hAnsiTheme="minorEastAsia" w:cstheme="minorEastAsia"/>
        </w:rPr>
      </w:pPr>
    </w:p>
    <w:p w14:paraId="2C7332A6"/>
    <w:bookmarkEnd w:id="6"/>
    <w:p w14:paraId="11679729">
      <w:pPr>
        <w:numPr>
          <w:ilvl w:val="0"/>
          <w:numId w:val="23"/>
        </w:numPr>
        <w:jc w:val="center"/>
        <w:outlineLvl w:val="0"/>
        <w:rPr>
          <w:rFonts w:ascii="方正小标宋简体" w:hAnsi="方正小标宋简体" w:eastAsia="方正小标宋简体" w:cs="方正小标宋简体"/>
          <w:kern w:val="0"/>
          <w:sz w:val="44"/>
          <w:szCs w:val="36"/>
        </w:rPr>
      </w:pPr>
      <w:bookmarkStart w:id="10" w:name="_Toc3265"/>
      <w:bookmarkStart w:id="11" w:name="_Toc100052408"/>
      <w:bookmarkStart w:id="12" w:name="_Toc73518157"/>
      <w:bookmarkStart w:id="13" w:name="_Toc73517679"/>
      <w:bookmarkStart w:id="14" w:name="_Toc73521586"/>
      <w:bookmarkStart w:id="15" w:name="_Toc73521674"/>
      <w:r>
        <w:rPr>
          <w:rFonts w:hint="eastAsia" w:ascii="方正小标宋简体" w:hAnsi="方正小标宋简体" w:eastAsia="方正小标宋简体" w:cs="方正小标宋简体"/>
          <w:kern w:val="0"/>
          <w:sz w:val="44"/>
          <w:szCs w:val="36"/>
        </w:rPr>
        <w:t>合同文本</w:t>
      </w:r>
      <w:bookmarkEnd w:id="10"/>
    </w:p>
    <w:p w14:paraId="41405A07">
      <w:pPr>
        <w:pStyle w:val="36"/>
        <w:ind w:firstLine="0" w:firstLineChars="0"/>
      </w:pPr>
    </w:p>
    <w:p w14:paraId="1E235474">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BB5F014">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5C0196B6">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725393B9">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DA68D4A">
      <w:pPr>
        <w:numPr>
          <w:ilvl w:val="0"/>
          <w:numId w:val="24"/>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13A3895D">
      <w:pPr>
        <w:numPr>
          <w:ilvl w:val="0"/>
          <w:numId w:val="24"/>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26FFF1C7">
      <w:pPr>
        <w:numPr>
          <w:ilvl w:val="0"/>
          <w:numId w:val="24"/>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DFE7FD3">
      <w:pPr>
        <w:numPr>
          <w:ilvl w:val="0"/>
          <w:numId w:val="24"/>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6851DBD">
      <w:pPr>
        <w:numPr>
          <w:ilvl w:val="0"/>
          <w:numId w:val="24"/>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8462B17">
      <w:pPr>
        <w:numPr>
          <w:ilvl w:val="0"/>
          <w:numId w:val="24"/>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B31D972">
      <w:pPr>
        <w:numPr>
          <w:ilvl w:val="0"/>
          <w:numId w:val="24"/>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2D352780">
      <w:pPr>
        <w:numPr>
          <w:ilvl w:val="0"/>
          <w:numId w:val="24"/>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5D77478">
      <w:pPr>
        <w:numPr>
          <w:ilvl w:val="0"/>
          <w:numId w:val="24"/>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162DBD96">
      <w:pPr>
        <w:jc w:val="left"/>
        <w:rPr>
          <w:rFonts w:eastAsia="宋体"/>
        </w:rPr>
      </w:pPr>
    </w:p>
    <w:p w14:paraId="64B53771">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62EBC041">
      <w:pPr>
        <w:widowControl/>
        <w:wordWrap w:val="0"/>
        <w:spacing w:before="100" w:beforeAutospacing="1" w:after="100" w:afterAutospacing="1" w:line="0" w:lineRule="atLeast"/>
        <w:ind w:right="420"/>
        <w:rPr>
          <w:rFonts w:ascii="宋体" w:hAnsi="宋体" w:eastAsia="宋体" w:cs="宋体"/>
          <w:sz w:val="24"/>
        </w:rPr>
      </w:pPr>
    </w:p>
    <w:p w14:paraId="59213DA0">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73F4E879">
      <w:pPr>
        <w:jc w:val="center"/>
        <w:rPr>
          <w:szCs w:val="21"/>
        </w:rPr>
        <w:sectPr>
          <w:pgSz w:w="11906" w:h="16838"/>
          <w:pgMar w:top="340" w:right="720" w:bottom="397" w:left="720" w:header="851" w:footer="992" w:gutter="0"/>
          <w:cols w:space="720" w:num="1"/>
          <w:docGrid w:type="lines" w:linePitch="312" w:charSpace="0"/>
        </w:sectPr>
      </w:pPr>
    </w:p>
    <w:p w14:paraId="00E14C3D">
      <w:pPr>
        <w:adjustRightInd w:val="0"/>
        <w:snapToGrid w:val="0"/>
        <w:spacing w:line="480" w:lineRule="exact"/>
        <w:rPr>
          <w:rFonts w:asciiTheme="minorEastAsia" w:hAnsiTheme="minorEastAsia" w:cstheme="minorEastAsia"/>
        </w:rPr>
      </w:pPr>
    </w:p>
    <w:p w14:paraId="35935CD6">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6D5EF01B">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6894A12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3F0ED6C1">
      <w:pPr>
        <w:adjustRightInd w:val="0"/>
        <w:snapToGrid w:val="0"/>
        <w:spacing w:line="480" w:lineRule="exact"/>
        <w:rPr>
          <w:rFonts w:asciiTheme="minorEastAsia" w:hAnsiTheme="minorEastAsia" w:cstheme="minorEastAsia"/>
        </w:rPr>
      </w:pPr>
      <w:bookmarkStart w:id="16" w:name="_Toc100052409"/>
      <w:bookmarkStart w:id="17" w:name="_Toc73518158"/>
      <w:bookmarkStart w:id="18" w:name="_Toc73517680"/>
      <w:bookmarkStart w:id="19" w:name="_Toc73521587"/>
      <w:bookmarkStart w:id="20" w:name="_Toc73521675"/>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2DA68A4A">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B51CE8B">
      <w:pPr>
        <w:adjustRightInd w:val="0"/>
        <w:snapToGrid w:val="0"/>
        <w:spacing w:line="480" w:lineRule="exact"/>
        <w:rPr>
          <w:rFonts w:asciiTheme="minorEastAsia" w:hAnsiTheme="minorEastAsia" w:cstheme="minorEastAsia"/>
        </w:rPr>
      </w:pPr>
      <w:bookmarkStart w:id="21" w:name="_Toc100052410"/>
      <w:bookmarkStart w:id="22" w:name="_Toc73517682"/>
      <w:bookmarkStart w:id="23" w:name="_Toc73521677"/>
      <w:bookmarkStart w:id="24" w:name="_Toc73518160"/>
      <w:bookmarkStart w:id="25" w:name="_Toc73521589"/>
      <w:r>
        <w:rPr>
          <w:rFonts w:hint="eastAsia" w:asciiTheme="minorEastAsia" w:hAnsiTheme="minorEastAsia" w:cstheme="minorEastAsia"/>
        </w:rPr>
        <w:t>3．合同的签订</w:t>
      </w:r>
      <w:bookmarkEnd w:id="21"/>
      <w:bookmarkEnd w:id="22"/>
      <w:bookmarkEnd w:id="23"/>
      <w:bookmarkEnd w:id="24"/>
      <w:bookmarkEnd w:id="25"/>
    </w:p>
    <w:p w14:paraId="3F8EDB1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1C4296D6">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69F5F0E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169082BF">
      <w:pPr>
        <w:pStyle w:val="44"/>
        <w:widowControl/>
        <w:spacing w:line="360" w:lineRule="auto"/>
        <w:ind w:firstLineChars="0"/>
        <w:jc w:val="left"/>
        <w:rPr>
          <w:rFonts w:asciiTheme="minorEastAsia" w:hAnsiTheme="minorEastAsia" w:cstheme="minorEastAsia"/>
          <w:szCs w:val="21"/>
        </w:rPr>
      </w:pPr>
    </w:p>
    <w:p w14:paraId="0C6685E0">
      <w:pPr>
        <w:widowControl/>
        <w:adjustRightInd w:val="0"/>
        <w:snapToGrid w:val="0"/>
        <w:spacing w:line="500" w:lineRule="exact"/>
        <w:jc w:val="left"/>
        <w:rPr>
          <w:b/>
          <w:bCs/>
          <w:szCs w:val="21"/>
        </w:rPr>
      </w:pPr>
      <w:r>
        <w:rPr>
          <w:szCs w:val="21"/>
        </w:rPr>
        <w:br w:type="page"/>
      </w:r>
      <w:r>
        <w:rPr>
          <w:rFonts w:hint="eastAsia"/>
          <w:b/>
          <w:bCs/>
          <w:sz w:val="24"/>
        </w:rPr>
        <w:t xml:space="preserve">附件1    </w:t>
      </w:r>
    </w:p>
    <w:p w14:paraId="53595DA4">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1B5D3926">
      <w:pPr>
        <w:widowControl/>
        <w:adjustRightInd w:val="0"/>
        <w:snapToGrid w:val="0"/>
        <w:spacing w:line="360" w:lineRule="exact"/>
        <w:rPr>
          <w:rFonts w:ascii="宋体" w:hAnsi="宋体" w:eastAsia="宋体" w:cs="宋体"/>
          <w:b/>
          <w:bCs/>
          <w:color w:val="000000"/>
          <w:kern w:val="0"/>
          <w:sz w:val="32"/>
          <w:szCs w:val="32"/>
        </w:rPr>
      </w:pPr>
    </w:p>
    <w:p w14:paraId="51B462C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78703E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A01D72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59A53BA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94F9A2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770E219">
      <w:pPr>
        <w:widowControl/>
        <w:adjustRightInd w:val="0"/>
        <w:snapToGrid w:val="0"/>
        <w:spacing w:line="360" w:lineRule="exact"/>
        <w:jc w:val="left"/>
        <w:rPr>
          <w:rFonts w:ascii="宋体" w:hAnsi="宋体" w:eastAsia="宋体" w:cs="宋体"/>
          <w:color w:val="000000"/>
          <w:kern w:val="0"/>
          <w:szCs w:val="21"/>
        </w:rPr>
      </w:pPr>
    </w:p>
    <w:p w14:paraId="64C1F1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6581A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65C218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1C7378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1FFCA7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21B9F38">
      <w:pPr>
        <w:widowControl/>
        <w:adjustRightInd w:val="0"/>
        <w:snapToGrid w:val="0"/>
        <w:spacing w:line="360" w:lineRule="exact"/>
        <w:jc w:val="left"/>
        <w:rPr>
          <w:rFonts w:ascii="宋体" w:hAnsi="宋体" w:eastAsia="宋体" w:cs="宋体"/>
          <w:color w:val="000000"/>
          <w:kern w:val="0"/>
          <w:szCs w:val="21"/>
        </w:rPr>
      </w:pPr>
    </w:p>
    <w:p w14:paraId="152A94E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等相关法律法规，甲、乙双方就年月日“中山大学附属第八医院（深圳福田）年第期（试剂/耗材/物资）招采项目”（招采项目名称：招采编号：）供货事宜，经双方协商一致，达成以下协议：</w:t>
      </w:r>
    </w:p>
    <w:p w14:paraId="661FBFC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40E468B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38ED9EF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26D6717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73AC6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5F3F63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62727109">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492979F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A527FE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7EBC111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36309C2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100835D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A05F7B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C6C0E3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7E9305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B1D17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78EFEC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0E9496A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77FC784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3C1A431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3AD7F9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6AD7D1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BF161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28FA3C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1921E3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10169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547FE9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2EE3EE4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4FDE9E2E">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1A2D303E">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03199B0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2D112E5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7A0C38F">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75F053C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ED5DD6A">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014F38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22FFF0B2">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75B6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1E14101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065A766">
      <w:pPr>
        <w:widowControl/>
        <w:adjustRightInd w:val="0"/>
        <w:snapToGrid w:val="0"/>
        <w:spacing w:line="360" w:lineRule="exact"/>
        <w:ind w:left="1" w:firstLine="42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3、</w:t>
      </w:r>
      <w:r>
        <w:rPr>
          <w:rFonts w:hint="eastAsia" w:ascii="宋体" w:hAnsi="宋体" w:eastAsia="宋体" w:cs="宋体"/>
          <w:color w:val="000000" w:themeColor="text1"/>
          <w:kern w:val="0"/>
          <w:szCs w:val="21"/>
        </w:rPr>
        <w:t>合同产品有效期内，甲方发现合同产品存在质量问题时，乙方</w:t>
      </w:r>
      <w:r>
        <w:rPr>
          <w:rFonts w:ascii="宋体" w:hAnsi="宋体" w:eastAsia="宋体" w:cs="宋体"/>
          <w:color w:val="000000" w:themeColor="text1"/>
          <w:kern w:val="0"/>
          <w:szCs w:val="21"/>
        </w:rPr>
        <w:t>在接到甲方通知后，</w:t>
      </w:r>
      <w:r>
        <w:rPr>
          <w:rFonts w:hint="eastAsia" w:ascii="宋体" w:hAnsi="宋体" w:eastAsia="宋体" w:cs="宋体"/>
          <w:color w:val="000000" w:themeColor="text1"/>
          <w:kern w:val="0"/>
          <w:szCs w:val="21"/>
        </w:rPr>
        <w:t>应当在24小时内作出实质响应，派员至</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存放点，与甲方共同确认</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质量问题；不能当场确认的，应当共同封存问题</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，并在7日内确定质量鉴定机构。</w:t>
      </w:r>
    </w:p>
    <w:p w14:paraId="76900220">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4</w:t>
      </w:r>
      <w:r>
        <w:rPr>
          <w:rFonts w:hint="eastAsia" w:ascii="宋体" w:hAnsi="宋体" w:eastAsia="宋体" w:cs="宋体"/>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CF42F34">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253F818B">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（四）所有权及风险转移</w:t>
      </w:r>
    </w:p>
    <w:p w14:paraId="453948F3">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产品所有权自乙方交付给甲方并验收合格之时视为转移，由甲方享有所有权，产品毁损、灭失的风险自交付并验收合格之时起由甲方承担。</w:t>
      </w:r>
    </w:p>
    <w:p w14:paraId="46B05DB3">
      <w:pPr>
        <w:widowControl/>
        <w:adjustRightInd w:val="0"/>
        <w:snapToGrid w:val="0"/>
        <w:spacing w:line="360" w:lineRule="exact"/>
        <w:ind w:left="1" w:firstLine="42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五、售后服务条款</w:t>
      </w:r>
    </w:p>
    <w:p w14:paraId="4380232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226EDFA2">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191BBB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64FE995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7F6C8C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6EC848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08ABF2C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666A0A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41BFC8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247BCA2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EF1AF66">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rPr>
        <w:t>5</w:t>
      </w:r>
      <w:r>
        <w:rPr>
          <w:rFonts w:hint="eastAsia" w:ascii="宋体" w:hAnsi="宋体" w:eastAsia="宋体" w:cs="宋体"/>
          <w:color w:val="000000" w:themeColor="text1"/>
          <w:kern w:val="0"/>
          <w:szCs w:val="21"/>
        </w:rPr>
        <w:t>时前配送至甲方消毒供应中心的，乙方需按延迟送达时间段向甲方支付违约金：</w:t>
      </w:r>
    </w:p>
    <w:p w14:paraId="778890B8">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1、在送达当日15时至16时送达（15:01-16:00）的，每延迟一次向甲方支付违约金人民币</w:t>
      </w:r>
      <w:r>
        <w:rPr>
          <w:rFonts w:hint="eastAsia" w:eastAsia="宋体"/>
          <w:color w:val="000000" w:themeColor="text1"/>
          <w:kern w:val="0"/>
          <w:szCs w:val="21"/>
        </w:rPr>
        <w:t>贰</w:t>
      </w:r>
      <w:r>
        <w:rPr>
          <w:rFonts w:eastAsia="宋体"/>
          <w:color w:val="000000" w:themeColor="text1"/>
          <w:kern w:val="0"/>
          <w:szCs w:val="21"/>
        </w:rPr>
        <w:t>佰元整（¥200.00）；</w:t>
      </w:r>
    </w:p>
    <w:p w14:paraId="4C6FB2CC">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2、在送达当日16时至17时送达（16:01-17:00）的，每延迟一次向甲方支付违约金人民币</w:t>
      </w:r>
      <w:r>
        <w:rPr>
          <w:rFonts w:hint="eastAsia" w:eastAsia="宋体"/>
          <w:color w:val="000000" w:themeColor="text1"/>
          <w:kern w:val="0"/>
          <w:szCs w:val="21"/>
        </w:rPr>
        <w:t>肆</w:t>
      </w:r>
      <w:r>
        <w:rPr>
          <w:rFonts w:eastAsia="宋体"/>
          <w:color w:val="000000" w:themeColor="text1"/>
          <w:kern w:val="0"/>
          <w:szCs w:val="21"/>
        </w:rPr>
        <w:t>佰元整（¥400.00）；</w:t>
      </w:r>
    </w:p>
    <w:p w14:paraId="70F549C7">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3、在送达当日17时至20时送达（17:01-20:00）的，每延迟一次向甲方支付违约金人民币捌佰元整（¥800.00）；</w:t>
      </w:r>
    </w:p>
    <w:p w14:paraId="6D5ACBD6">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4、在送达当日20时以后送达（20:01以后）的，每延迟一次向甲方支付违约金人民币壹仟元整（¥1,000.00）。</w:t>
      </w:r>
    </w:p>
    <w:p w14:paraId="6FC2E62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5BEA2B1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1EEFBE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41D0019A">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28FBDC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53E62379">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7B184799">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八、通知及送达</w:t>
      </w:r>
    </w:p>
    <w:p w14:paraId="7253CF36">
      <w:pPr>
        <w:adjustRightInd w:val="0"/>
        <w:snapToGrid w:val="0"/>
        <w:spacing w:line="360" w:lineRule="exact"/>
        <w:ind w:firstLine="420" w:firstLineChars="200"/>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05196AA">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2、当面交付文件的，在交付之时视为送达；通过传真方式的，在发出时视为送达；以邮寄方式的，挂号寄出或者投邮当日视为送达。</w:t>
      </w:r>
    </w:p>
    <w:p w14:paraId="05ECD5D1">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九、争议的解决</w:t>
      </w:r>
    </w:p>
    <w:p w14:paraId="77C8FC74">
      <w:pPr>
        <w:snapToGrid w:val="0"/>
        <w:spacing w:line="360" w:lineRule="exact"/>
        <w:ind w:firstLine="460" w:firstLineChars="200"/>
        <w:jc w:val="left"/>
        <w:rPr>
          <w:rFonts w:ascii="宋体" w:hAnsi="宋体" w:eastAsia="宋体" w:cs="宋体"/>
          <w:bCs/>
          <w:color w:val="000000" w:themeColor="text1"/>
          <w:spacing w:val="10"/>
          <w:kern w:val="0"/>
          <w:sz w:val="24"/>
          <w:szCs w:val="21"/>
        </w:rPr>
      </w:pPr>
      <w:r>
        <w:rPr>
          <w:rFonts w:eastAsia="宋体"/>
          <w:bCs/>
          <w:color w:val="000000" w:themeColor="text1"/>
          <w:spacing w:val="10"/>
          <w:kern w:val="0"/>
          <w:szCs w:val="21"/>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40C6858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rPr>
        <w:t>2、</w:t>
      </w:r>
      <w:r>
        <w:rPr>
          <w:rFonts w:hint="eastAsia" w:ascii="宋体" w:hAnsi="宋体" w:eastAsia="宋体" w:cs="宋体"/>
          <w:color w:val="000000" w:themeColor="text1"/>
          <w:kern w:val="0"/>
          <w:szCs w:val="21"/>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128B4B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4A989901">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18E7551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2B34757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044D51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3BE84082">
      <w:pPr>
        <w:widowControl/>
        <w:adjustRightInd w:val="0"/>
        <w:snapToGrid w:val="0"/>
        <w:spacing w:line="360" w:lineRule="exact"/>
        <w:jc w:val="left"/>
        <w:rPr>
          <w:rFonts w:ascii="宋体" w:hAnsi="宋体" w:eastAsia="宋体" w:cs="宋体"/>
          <w:color w:val="000000"/>
          <w:kern w:val="0"/>
          <w:szCs w:val="21"/>
        </w:rPr>
      </w:pPr>
    </w:p>
    <w:p w14:paraId="538051D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494F653E">
      <w:pPr>
        <w:widowControl/>
        <w:numPr>
          <w:ilvl w:val="0"/>
          <w:numId w:val="25"/>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6D3ABE69">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3.中山大学附属第八医院供应商廉洁协议书</w:t>
      </w:r>
    </w:p>
    <w:p w14:paraId="484894D4">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61AFB48B">
      <w:pPr>
        <w:widowControl/>
        <w:adjustRightInd w:val="0"/>
        <w:snapToGrid w:val="0"/>
        <w:spacing w:line="360" w:lineRule="exact"/>
        <w:jc w:val="left"/>
        <w:rPr>
          <w:rFonts w:ascii="宋体" w:hAnsi="宋体" w:eastAsia="宋体" w:cs="宋体"/>
          <w:color w:val="000000"/>
          <w:kern w:val="0"/>
          <w:szCs w:val="21"/>
        </w:rPr>
      </w:pPr>
    </w:p>
    <w:p w14:paraId="5ACB8D0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149FF15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6D83F9E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2B0F73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1E9732E3">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6CB97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7F3D4A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29E1302">
      <w:pPr>
        <w:widowControl/>
        <w:adjustRightInd w:val="0"/>
        <w:snapToGrid w:val="0"/>
        <w:spacing w:line="360" w:lineRule="exact"/>
        <w:jc w:val="left"/>
        <w:rPr>
          <w:rFonts w:ascii="宋体" w:hAnsi="宋体" w:eastAsia="宋体" w:cs="宋体"/>
          <w:color w:val="000000"/>
          <w:kern w:val="0"/>
          <w:szCs w:val="21"/>
        </w:rPr>
      </w:pPr>
    </w:p>
    <w:p w14:paraId="7315C506">
      <w:pPr>
        <w:widowControl/>
        <w:adjustRightInd w:val="0"/>
        <w:snapToGrid w:val="0"/>
        <w:spacing w:line="360" w:lineRule="exact"/>
        <w:jc w:val="left"/>
        <w:rPr>
          <w:rFonts w:ascii="宋体" w:hAnsi="宋体" w:eastAsia="宋体" w:cs="宋体"/>
          <w:color w:val="000000"/>
          <w:kern w:val="0"/>
          <w:szCs w:val="21"/>
        </w:rPr>
      </w:pPr>
    </w:p>
    <w:p w14:paraId="0B966CC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2695E6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D169D82">
      <w:pPr>
        <w:widowControl/>
        <w:adjustRightInd w:val="0"/>
        <w:snapToGrid w:val="0"/>
        <w:spacing w:line="360" w:lineRule="exact"/>
        <w:jc w:val="left"/>
        <w:rPr>
          <w:rFonts w:ascii="宋体" w:hAnsi="宋体" w:eastAsia="宋体" w:cs="宋体"/>
          <w:color w:val="000000"/>
          <w:kern w:val="0"/>
          <w:szCs w:val="21"/>
        </w:rPr>
      </w:pPr>
    </w:p>
    <w:p w14:paraId="4BB178D1">
      <w:pPr>
        <w:widowControl/>
        <w:adjustRightInd w:val="0"/>
        <w:snapToGrid w:val="0"/>
        <w:spacing w:line="480" w:lineRule="exact"/>
        <w:jc w:val="left"/>
        <w:rPr>
          <w:rFonts w:ascii="宋体" w:hAnsi="宋体" w:eastAsia="宋体" w:cs="宋体"/>
          <w:color w:val="000000"/>
          <w:kern w:val="0"/>
          <w:szCs w:val="21"/>
        </w:rPr>
      </w:pPr>
    </w:p>
    <w:p w14:paraId="055F5DF5">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69B5B093">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1605C286">
      <w:pPr>
        <w:ind w:firstLine="2100" w:firstLineChars="1000"/>
        <w:jc w:val="left"/>
        <w:rPr>
          <w:rFonts w:ascii="Calibri" w:hAnsi="Calibri" w:eastAsia="宋体"/>
        </w:rPr>
      </w:pPr>
    </w:p>
    <w:p w14:paraId="6C08BF9F">
      <w:pPr>
        <w:spacing w:line="460" w:lineRule="exact"/>
        <w:rPr>
          <w:rFonts w:ascii="仿宋" w:hAnsi="仿宋" w:eastAsia="仿宋"/>
          <w:color w:val="000000"/>
          <w:sz w:val="24"/>
        </w:rPr>
      </w:pPr>
      <w:r>
        <w:rPr>
          <w:rFonts w:hint="eastAsia" w:ascii="仿宋" w:hAnsi="仿宋" w:eastAsia="仿宋" w:cs="宋体"/>
          <w:color w:val="000000"/>
          <w:sz w:val="24"/>
        </w:rPr>
        <w:t>采购编号：供应商名称：</w:t>
      </w:r>
    </w:p>
    <w:p w14:paraId="1AD4A3D4">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27D38B1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0C040E3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2FECEC1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28A490F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203DCD1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CBC683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0862227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4BA42C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6AACD0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5A22288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2C868A31">
      <w:pPr>
        <w:spacing w:line="460" w:lineRule="exact"/>
        <w:jc w:val="left"/>
        <w:rPr>
          <w:rFonts w:ascii="仿宋" w:hAnsi="仿宋" w:eastAsia="仿宋"/>
          <w:color w:val="000000"/>
          <w:sz w:val="24"/>
        </w:rPr>
      </w:pPr>
    </w:p>
    <w:p w14:paraId="588FDF46">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504AA532">
      <w:pPr>
        <w:spacing w:line="460" w:lineRule="exact"/>
        <w:rPr>
          <w:rFonts w:ascii="仿宋" w:hAnsi="仿宋" w:eastAsia="仿宋"/>
          <w:bCs/>
          <w:sz w:val="24"/>
        </w:rPr>
      </w:pPr>
      <w:r>
        <w:rPr>
          <w:rFonts w:ascii="仿宋" w:hAnsi="仿宋" w:eastAsia="仿宋"/>
          <w:bCs/>
          <w:sz w:val="24"/>
        </w:rPr>
        <w:t>日期：年月日</w:t>
      </w:r>
    </w:p>
    <w:p w14:paraId="019EB958">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0A6DFFE2">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049BD6A2">
      <w:pPr>
        <w:widowControl/>
        <w:spacing w:line="580" w:lineRule="exact"/>
        <w:jc w:val="left"/>
        <w:rPr>
          <w:rFonts w:ascii="仿宋_GB2312" w:hAnsi="宋体" w:eastAsia="仿宋_GB2312" w:cs="宋体"/>
          <w:bCs/>
          <w:color w:val="3C3C3C"/>
          <w:kern w:val="0"/>
          <w:sz w:val="32"/>
          <w:szCs w:val="32"/>
        </w:rPr>
      </w:pPr>
    </w:p>
    <w:p w14:paraId="2C1C0D9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5FA65D5B">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479B958E">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21D8F03C">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89E0B0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5233C8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960A70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570808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67C548E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1564437">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七、乙方指定作为代表洽谈业务。乙方不得借故到甲方相关领导、部门负责人及相关工作人员家中访谈并提供任何好处费。</w:t>
      </w:r>
    </w:p>
    <w:p w14:paraId="7489D390">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0414E1A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70FD14F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71F9299">
      <w:pPr>
        <w:widowControl/>
        <w:spacing w:line="400" w:lineRule="exact"/>
        <w:jc w:val="left"/>
        <w:rPr>
          <w:rFonts w:ascii="仿宋_GB2312" w:hAnsi="宋体" w:eastAsia="仿宋_GB2312" w:cs="宋体"/>
          <w:color w:val="3C3C3C"/>
          <w:kern w:val="0"/>
          <w:sz w:val="24"/>
        </w:rPr>
      </w:pPr>
    </w:p>
    <w:p w14:paraId="1E925BEA">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490DFD2C">
      <w:pPr>
        <w:spacing w:line="400" w:lineRule="exact"/>
        <w:rPr>
          <w:rFonts w:ascii="Calibri" w:hAnsi="Calibri" w:eastAsia="宋体"/>
          <w:sz w:val="24"/>
        </w:rPr>
      </w:pPr>
      <w:r>
        <w:rPr>
          <w:rFonts w:hint="eastAsia" w:ascii="仿宋_GB2312" w:hAnsi="Calibri" w:eastAsia="仿宋_GB2312"/>
          <w:sz w:val="24"/>
        </w:rPr>
        <w:t xml:space="preserve">                                     年   月   日</w:t>
      </w:r>
    </w:p>
    <w:p w14:paraId="21B37BE9">
      <w:pPr>
        <w:spacing w:line="400" w:lineRule="exact"/>
        <w:ind w:firstLine="5440" w:firstLineChars="1700"/>
        <w:rPr>
          <w:rFonts w:ascii="宋体" w:hAnsi="宋体" w:eastAsia="宋体" w:cs="宋体"/>
          <w:color w:val="3C3C3C"/>
          <w:kern w:val="0"/>
          <w:sz w:val="32"/>
          <w:szCs w:val="32"/>
        </w:rPr>
      </w:pP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6"/>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7"/>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7"/>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7"/>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7"/>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7"/>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7"/>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7"/>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7"/>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7"/>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8"/>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8"/>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8"/>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9"/>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rPr>
            </w:pPr>
          </w:p>
          <w:p w14:paraId="7E6731B7">
            <w:pPr>
              <w:spacing w:line="360" w:lineRule="auto"/>
              <w:ind w:firstLine="420"/>
              <w:rPr>
                <w:rFonts w:ascii="宋体" w:hAnsi="宋体" w:eastAsia="宋体" w:cs="宋体"/>
                <w:b/>
                <w:bCs/>
                <w:color w:val="000000" w:themeColor="text1"/>
                <w:sz w:val="24"/>
              </w:rPr>
            </w:pPr>
            <w:r>
              <w:rPr>
                <w:rFonts w:ascii="宋体" w:hAnsi="宋体" w:eastAsia="宋体" w:cs="宋体"/>
                <w:b/>
                <w:bCs/>
                <w:color w:val="000000" w:themeColor="text1"/>
                <w:sz w:val="24"/>
              </w:rPr>
              <w:t>投标人代表</w:t>
            </w:r>
            <w:r>
              <w:rPr>
                <w:rFonts w:hint="eastAsia" w:ascii="宋体" w:hAnsi="宋体" w:eastAsia="宋体" w:cs="宋体"/>
                <w:b/>
                <w:bCs/>
                <w:color w:val="000000" w:themeColor="text1"/>
                <w:sz w:val="24"/>
                <w:u w:val="single"/>
              </w:rPr>
              <w:t>（签名）</w:t>
            </w:r>
            <w:r>
              <w:rPr>
                <w:rFonts w:ascii="宋体" w:hAnsi="宋体" w:eastAsia="宋体" w:cs="宋体"/>
                <w:b/>
                <w:bCs/>
                <w:color w:val="000000" w:themeColor="text1"/>
                <w:sz w:val="24"/>
              </w:rPr>
              <w:t>：</w:t>
            </w:r>
          </w:p>
          <w:p w14:paraId="598185AB">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rPr>
              <w:t>：</w:t>
            </w:r>
            <w:r>
              <w:rPr>
                <w:rFonts w:hint="eastAsia" w:ascii="宋体" w:hAnsi="宋体" w:eastAsia="宋体" w:cs="宋体"/>
                <w:color w:val="000000" w:themeColor="text1"/>
                <w:sz w:val="24"/>
              </w:rPr>
              <w:t>　</w:t>
            </w:r>
            <w:r>
              <w:rPr>
                <w:rFonts w:hint="eastAsia" w:ascii="宋体" w:hAnsi="宋体" w:eastAsia="宋体" w:cs="宋体"/>
                <w:b/>
                <w:bCs/>
                <w:color w:val="000000" w:themeColor="text1"/>
                <w:sz w:val="24"/>
              </w:rPr>
              <w:t>　</w:t>
            </w:r>
            <w:r>
              <w:rPr>
                <w:rFonts w:hint="eastAsia" w:ascii="宋体" w:hAnsi="宋体" w:eastAsia="宋体" w:cs="宋体"/>
                <w:color w:val="000000" w:themeColor="text1"/>
                <w:sz w:val="24"/>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rPr>
      </w:pPr>
      <w:r>
        <w:rPr>
          <w:rFonts w:hint="eastAsia" w:ascii="宋体" w:hAnsi="宋体" w:eastAsia="宋体" w:cs="宋体"/>
          <w:b/>
          <w:bCs/>
          <w:sz w:val="24"/>
        </w:rPr>
        <w:t>（一）</w:t>
      </w:r>
      <w:r>
        <w:rPr>
          <w:rFonts w:hint="eastAsia" w:ascii="宋体" w:hAnsi="宋体" w:eastAsia="宋体" w:cs="宋体"/>
          <w:b/>
          <w:bCs/>
          <w:color w:val="000000" w:themeColor="text1"/>
          <w:sz w:val="24"/>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3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3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3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3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3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3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3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3"/>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1232CA53">
      <w:pPr>
        <w:pStyle w:val="3"/>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3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3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1D89404B">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32"/>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3"/>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6867C1B5">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w:pict>
          <v:rect id="Rectangle 4" o:spid="_x0000_s1035"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path/>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w:r>
      <w:r>
        <w:rPr>
          <w:rFonts w:ascii="宋体"/>
          <w:b/>
          <w:bCs/>
        </w:rPr>
        <w:pict>
          <v:rect id="Rectangle 5" o:spid="_x0000_s1034"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path/>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w:r>
    </w:p>
    <w:p w14:paraId="383A9473"/>
    <w:p w14:paraId="31B3E35F">
      <w:pPr>
        <w:pStyle w:val="11"/>
      </w:pPr>
    </w:p>
    <w:p w14:paraId="7F8FD72D"/>
    <w:p w14:paraId="59CCA7AB">
      <w:pPr>
        <w:pStyle w:val="11"/>
      </w:pPr>
    </w:p>
    <w:p w14:paraId="0C5BC26B"/>
    <w:p w14:paraId="112DE5B0">
      <w:r>
        <w:rPr>
          <w:rFonts w:ascii="宋体"/>
        </w:rPr>
        <w:pict>
          <v:rect id="_x0000_s1033" o:spid="_x0000_s1033"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path/>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w:pict>
          <v:rect id="矩形 4" o:spid="_x0000_s1032"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path/>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w:r>
      <w:r>
        <w:rPr>
          <w:rFonts w:ascii="宋体"/>
          <w:b/>
          <w:bCs/>
        </w:rPr>
        <w:pict>
          <v:rect id="矩形 5" o:spid="_x0000_s1031"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path/>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color w:val="000000" w:themeColor="text1"/>
          <w:sz w:val="24"/>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28F7E3B-CB38-4D11-97CD-555E8DCFA84A}"/>
  </w:font>
  <w:font w:name="黑体">
    <w:panose1 w:val="02010609060101010101"/>
    <w:charset w:val="86"/>
    <w:family w:val="auto"/>
    <w:pitch w:val="default"/>
    <w:sig w:usb0="800002BF" w:usb1="38CF7CFA" w:usb2="00000016" w:usb3="00000000" w:csb0="00040001" w:csb1="00000000"/>
    <w:embedRegular r:id="rId2" w:fontKey="{F03C4A1F-76BE-4A05-8B15-1B166A4C169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6C816B5-2E0B-4875-938F-A705957AE107}"/>
  </w:font>
  <w:font w:name="Cambria">
    <w:panose1 w:val="02040503050406030204"/>
    <w:charset w:val="00"/>
    <w:family w:val="roman"/>
    <w:pitch w:val="default"/>
    <w:sig w:usb0="E00006FF" w:usb1="420024FF" w:usb2="02000000" w:usb3="00000000" w:csb0="2000019F" w:csb1="00000000"/>
  </w:font>
  <w:font w:name="隶书">
    <w:altName w:val="Arial Unicode MS"/>
    <w:panose1 w:val="02010509060101010101"/>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embedRegular r:id="rId4" w:fontKey="{BBB9E039-D6BA-45C9-80D2-E109083086D2}"/>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BBFA793D-A9C0-456A-AA21-B2464E625E22}"/>
  </w:font>
  <w:font w:name="华文中宋">
    <w:panose1 w:val="02010600040101010101"/>
    <w:charset w:val="86"/>
    <w:family w:val="auto"/>
    <w:pitch w:val="default"/>
    <w:sig w:usb0="00000287" w:usb1="080F0000" w:usb2="00000000" w:usb3="00000000" w:csb0="0004009F" w:csb1="DFD70000"/>
    <w:embedRegular r:id="rId6" w:fontKey="{13CB503E-0D33-432D-8515-6701DD1E6CB3}"/>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0E004D25-3A96-4BDE-A3DF-06054A2259C3}"/>
  </w:font>
  <w:font w:name="微软雅黑">
    <w:panose1 w:val="020B0503020204020204"/>
    <w:charset w:val="86"/>
    <w:family w:val="swiss"/>
    <w:pitch w:val="default"/>
    <w:sig w:usb0="80000287" w:usb1="2ACF3C50" w:usb2="00000016" w:usb3="00000000" w:csb0="0004001F" w:csb1="00000000"/>
    <w:embedRegular r:id="rId8" w:fontKey="{FE96EBF8-D54E-4778-93EC-642CA624D577}"/>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5EF73108-3699-4B57-9776-AF7663BC1A5D}"/>
  </w:font>
  <w:font w:name="方正小标宋_GBK">
    <w:panose1 w:val="02000000000000000000"/>
    <w:charset w:val="86"/>
    <w:family w:val="script"/>
    <w:pitch w:val="default"/>
    <w:sig w:usb0="A00002BF" w:usb1="38CF7CFA" w:usb2="00082016" w:usb3="00000000" w:csb0="00040001" w:csb1="00000000"/>
    <w:embedRegular r:id="rId10" w:fontKey="{61E882A6-5128-4E7C-A31A-E3CB362E7D60}"/>
  </w:font>
  <w:font w:name="WPSEMBED1">
    <w:panose1 w:val="020B0604020202020204"/>
    <w:charset w:val="86"/>
    <w:family w:val="auto"/>
    <w:pitch w:val="default"/>
    <w:sig w:usb0="FFFFFFFF" w:usb1="E9FFFFFF" w:usb2="0000003F" w:usb3="00000000" w:csb0="603F01FF" w:csb1="FFFF0000"/>
  </w:font>
  <w:font w:name="WPSEMBED2">
    <w:panose1 w:val="02010600040101010101"/>
    <w:charset w:val="86"/>
    <w:family w:val="auto"/>
    <w:pitch w:val="default"/>
    <w:sig w:usb0="00000287" w:usb1="080F0000" w:usb2="00000000" w:usb3="00000000" w:csb0="0004009F" w:csb1="DFD70000"/>
  </w:font>
  <w:font w:name="WPSEMBED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8605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w:pict>
        <v:shape id="_x0000_s2049" o:spid="_x0000_s2049"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path/>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28862">
    <w:pPr>
      <w:pStyle w:val="19"/>
      <w:jc w:val="center"/>
    </w:pPr>
    <w:r>
      <w:fldChar w:fldCharType="begin"/>
    </w:r>
    <w:r>
      <w:instrText xml:space="preserve">PAGE   \* MERGEFORMAT</w:instrText>
    </w:r>
    <w:r>
      <w:fldChar w:fldCharType="separate"/>
    </w:r>
    <w:r>
      <w:rPr>
        <w:lang w:val="zh-CN"/>
      </w:rPr>
      <w:t>59</w:t>
    </w:r>
    <w:r>
      <w:rPr>
        <w:lang w:val="zh-CN"/>
      </w:rPr>
      <w:fldChar w:fldCharType="end"/>
    </w:r>
  </w:p>
  <w:p w14:paraId="6F9BD299">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A9A5DE04"/>
    <w:multiLevelType w:val="singleLevel"/>
    <w:tmpl w:val="A9A5DE04"/>
    <w:lvl w:ilvl="0" w:tentative="0">
      <w:start w:val="1"/>
      <w:numFmt w:val="decimal"/>
      <w:lvlText w:val="%1."/>
      <w:lvlJc w:val="left"/>
      <w:pPr>
        <w:tabs>
          <w:tab w:val="left" w:pos="312"/>
        </w:tabs>
      </w:pPr>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D290D77B"/>
    <w:multiLevelType w:val="singleLevel"/>
    <w:tmpl w:val="D290D77B"/>
    <w:lvl w:ilvl="0" w:tentative="0">
      <w:start w:val="1"/>
      <w:numFmt w:val="decimal"/>
      <w:lvlText w:val="%1."/>
      <w:lvlJc w:val="left"/>
      <w:pPr>
        <w:tabs>
          <w:tab w:val="left" w:pos="312"/>
        </w:tabs>
      </w:pPr>
    </w:lvl>
  </w:abstractNum>
  <w:abstractNum w:abstractNumId="6">
    <w:nsid w:val="D70FB1DE"/>
    <w:multiLevelType w:val="singleLevel"/>
    <w:tmpl w:val="D70FB1DE"/>
    <w:lvl w:ilvl="0" w:tentative="0">
      <w:start w:val="2"/>
      <w:numFmt w:val="decimal"/>
      <w:suff w:val="space"/>
      <w:lvlText w:val="%1."/>
      <w:lvlJc w:val="left"/>
    </w:lvl>
  </w:abstractNum>
  <w:abstractNum w:abstractNumId="7">
    <w:nsid w:val="D9146FBB"/>
    <w:multiLevelType w:val="singleLevel"/>
    <w:tmpl w:val="D9146FBB"/>
    <w:lvl w:ilvl="0" w:tentative="0">
      <w:start w:val="1"/>
      <w:numFmt w:val="chineseCounting"/>
      <w:suff w:val="nothing"/>
      <w:lvlText w:val="（%1）"/>
      <w:lvlJc w:val="left"/>
      <w:rPr>
        <w:rFonts w:hint="eastAsia"/>
      </w:rPr>
    </w:lvl>
  </w:abstractNum>
  <w:abstractNum w:abstractNumId="8">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9">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5">
    <w:nsid w:val="1B4CD236"/>
    <w:multiLevelType w:val="singleLevel"/>
    <w:tmpl w:val="1B4CD236"/>
    <w:lvl w:ilvl="0" w:tentative="0">
      <w:start w:val="6"/>
      <w:numFmt w:val="chineseCounting"/>
      <w:suff w:val="space"/>
      <w:lvlText w:val="第%1章"/>
      <w:lvlJc w:val="left"/>
      <w:rPr>
        <w:rFonts w:hint="eastAsia"/>
      </w:rPr>
    </w:lvl>
  </w:abstractNum>
  <w:abstractNum w:abstractNumId="16">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7">
    <w:nsid w:val="36B6CA1F"/>
    <w:multiLevelType w:val="singleLevel"/>
    <w:tmpl w:val="36B6CA1F"/>
    <w:lvl w:ilvl="0" w:tentative="0">
      <w:start w:val="1"/>
      <w:numFmt w:val="decimal"/>
      <w:lvlText w:val="(%1)"/>
      <w:lvlJc w:val="left"/>
      <w:pPr>
        <w:ind w:left="425" w:hanging="425"/>
      </w:pPr>
      <w:rPr>
        <w:rFonts w:hint="default"/>
      </w:rPr>
    </w:lvl>
  </w:abstractNum>
  <w:abstractNum w:abstractNumId="18">
    <w:nsid w:val="3DF4FAB0"/>
    <w:multiLevelType w:val="singleLevel"/>
    <w:tmpl w:val="3DF4FAB0"/>
    <w:lvl w:ilvl="0" w:tentative="0">
      <w:start w:val="1"/>
      <w:numFmt w:val="decimal"/>
      <w:lvlText w:val="(%1)"/>
      <w:lvlJc w:val="left"/>
      <w:pPr>
        <w:ind w:left="425" w:hanging="425"/>
      </w:pPr>
      <w:rPr>
        <w:rFonts w:hint="default"/>
      </w:rPr>
    </w:lvl>
  </w:abstractNum>
  <w:abstractNum w:abstractNumId="19">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0">
    <w:nsid w:val="4588B6C0"/>
    <w:multiLevelType w:val="singleLevel"/>
    <w:tmpl w:val="4588B6C0"/>
    <w:lvl w:ilvl="0" w:tentative="0">
      <w:start w:val="1"/>
      <w:numFmt w:val="decimal"/>
      <w:suff w:val="nothing"/>
      <w:lvlText w:val="（%1）"/>
      <w:lvlJc w:val="left"/>
      <w:pPr>
        <w:ind w:left="630"/>
      </w:pPr>
    </w:lvl>
  </w:abstractNum>
  <w:abstractNum w:abstractNumId="21">
    <w:nsid w:val="4806A50A"/>
    <w:multiLevelType w:val="singleLevel"/>
    <w:tmpl w:val="4806A50A"/>
    <w:lvl w:ilvl="0" w:tentative="0">
      <w:start w:val="1"/>
      <w:numFmt w:val="decimal"/>
      <w:lvlText w:val="%1)"/>
      <w:lvlJc w:val="left"/>
      <w:pPr>
        <w:ind w:left="425" w:hanging="425"/>
      </w:pPr>
      <w:rPr>
        <w:rFonts w:hint="default"/>
      </w:rPr>
    </w:lvl>
  </w:abstractNum>
  <w:abstractNum w:abstractNumId="22">
    <w:nsid w:val="48C58054"/>
    <w:multiLevelType w:val="singleLevel"/>
    <w:tmpl w:val="48C58054"/>
    <w:lvl w:ilvl="0" w:tentative="0">
      <w:start w:val="6"/>
      <w:numFmt w:val="chineseCounting"/>
      <w:suff w:val="nothing"/>
      <w:lvlText w:val="%1、"/>
      <w:lvlJc w:val="left"/>
      <w:rPr>
        <w:rFonts w:hint="eastAsia"/>
      </w:rPr>
    </w:lvl>
  </w:abstractNum>
  <w:abstractNum w:abstractNumId="23">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5">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6">
    <w:nsid w:val="5F9A95EA"/>
    <w:multiLevelType w:val="singleLevel"/>
    <w:tmpl w:val="5F9A95EA"/>
    <w:lvl w:ilvl="0" w:tentative="0">
      <w:start w:val="1"/>
      <w:numFmt w:val="decimal"/>
      <w:lvlText w:val="%1)"/>
      <w:lvlJc w:val="left"/>
      <w:pPr>
        <w:ind w:left="425" w:hanging="425"/>
      </w:pPr>
      <w:rPr>
        <w:rFonts w:hint="default"/>
      </w:rPr>
    </w:lvl>
  </w:abstractNum>
  <w:abstractNum w:abstractNumId="27">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8">
    <w:nsid w:val="6ABCC882"/>
    <w:multiLevelType w:val="singleLevel"/>
    <w:tmpl w:val="6ABCC882"/>
    <w:lvl w:ilvl="0" w:tentative="0">
      <w:start w:val="1"/>
      <w:numFmt w:val="decimal"/>
      <w:lvlText w:val="%1."/>
      <w:lvlJc w:val="left"/>
      <w:pPr>
        <w:tabs>
          <w:tab w:val="left" w:pos="312"/>
        </w:tabs>
      </w:pPr>
    </w:lvl>
  </w:abstractNum>
  <w:abstractNum w:abstractNumId="29">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0">
    <w:nsid w:val="72BF6775"/>
    <w:multiLevelType w:val="singleLevel"/>
    <w:tmpl w:val="72BF6775"/>
    <w:lvl w:ilvl="0" w:tentative="0">
      <w:start w:val="1"/>
      <w:numFmt w:val="decimal"/>
      <w:lvlText w:val="%1)"/>
      <w:lvlJc w:val="left"/>
      <w:pPr>
        <w:ind w:left="425" w:hanging="425"/>
      </w:pPr>
      <w:rPr>
        <w:rFonts w:hint="default"/>
      </w:rPr>
    </w:lvl>
  </w:abstractNum>
  <w:abstractNum w:abstractNumId="31">
    <w:nsid w:val="77D5EEE3"/>
    <w:multiLevelType w:val="singleLevel"/>
    <w:tmpl w:val="77D5EEE3"/>
    <w:lvl w:ilvl="0" w:tentative="0">
      <w:start w:val="1"/>
      <w:numFmt w:val="decimal"/>
      <w:lvlText w:val="(%1)"/>
      <w:lvlJc w:val="left"/>
      <w:pPr>
        <w:ind w:left="425" w:hanging="425"/>
      </w:pPr>
      <w:rPr>
        <w:rFonts w:hint="default"/>
      </w:rPr>
    </w:lvl>
  </w:abstractNum>
  <w:abstractNum w:abstractNumId="32">
    <w:nsid w:val="78690542"/>
    <w:multiLevelType w:val="singleLevel"/>
    <w:tmpl w:val="78690542"/>
    <w:lvl w:ilvl="0" w:tentative="0">
      <w:start w:val="1"/>
      <w:numFmt w:val="decimal"/>
      <w:lvlText w:val="%1."/>
      <w:lvlJc w:val="left"/>
      <w:pPr>
        <w:tabs>
          <w:tab w:val="left" w:pos="312"/>
        </w:tabs>
      </w:pPr>
    </w:lvl>
  </w:abstractNum>
  <w:num w:numId="1">
    <w:abstractNumId w:val="29"/>
  </w:num>
  <w:num w:numId="2">
    <w:abstractNumId w:val="2"/>
  </w:num>
  <w:num w:numId="3">
    <w:abstractNumId w:val="14"/>
  </w:num>
  <w:num w:numId="4">
    <w:abstractNumId w:val="8"/>
  </w:num>
  <w:num w:numId="5">
    <w:abstractNumId w:val="16"/>
  </w:num>
  <w:num w:numId="6">
    <w:abstractNumId w:val="10"/>
  </w:num>
  <w:num w:numId="7">
    <w:abstractNumId w:val="32"/>
  </w:num>
  <w:num w:numId="8">
    <w:abstractNumId w:val="5"/>
  </w:num>
  <w:num w:numId="9">
    <w:abstractNumId w:val="24"/>
  </w:num>
  <w:num w:numId="10">
    <w:abstractNumId w:val="1"/>
  </w:num>
  <w:num w:numId="11">
    <w:abstractNumId w:val="28"/>
  </w:num>
  <w:num w:numId="12">
    <w:abstractNumId w:val="23"/>
  </w:num>
  <w:num w:numId="13">
    <w:abstractNumId w:val="3"/>
  </w:num>
  <w:num w:numId="14">
    <w:abstractNumId w:val="18"/>
  </w:num>
  <w:num w:numId="15">
    <w:abstractNumId w:val="12"/>
  </w:num>
  <w:num w:numId="16">
    <w:abstractNumId w:val="11"/>
  </w:num>
  <w:num w:numId="17">
    <w:abstractNumId w:val="31"/>
  </w:num>
  <w:num w:numId="18">
    <w:abstractNumId w:val="17"/>
  </w:num>
  <w:num w:numId="19">
    <w:abstractNumId w:val="30"/>
  </w:num>
  <w:num w:numId="20">
    <w:abstractNumId w:val="26"/>
  </w:num>
  <w:num w:numId="21">
    <w:abstractNumId w:val="21"/>
  </w:num>
  <w:num w:numId="22">
    <w:abstractNumId w:val="22"/>
  </w:num>
  <w:num w:numId="23">
    <w:abstractNumId w:val="15"/>
  </w:num>
  <w:num w:numId="24">
    <w:abstractNumId w:val="20"/>
  </w:num>
  <w:num w:numId="25">
    <w:abstractNumId w:val="6"/>
  </w:num>
  <w:num w:numId="26">
    <w:abstractNumId w:val="27"/>
  </w:num>
  <w:num w:numId="27">
    <w:abstractNumId w:val="9"/>
  </w:num>
  <w:num w:numId="28">
    <w:abstractNumId w:val="7"/>
  </w:num>
  <w:num w:numId="29">
    <w:abstractNumId w:val="19"/>
  </w:num>
  <w:num w:numId="30">
    <w:abstractNumId w:val="13"/>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documentProtection w:enforcement="0"/>
  <w:defaultTabStop w:val="420"/>
  <w:drawingGridHorizontalSpacing w:val="105"/>
  <w:drawingGridVerticalSpacing w:val="16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10D"/>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3695"/>
    <w:rsid w:val="00284EB3"/>
    <w:rsid w:val="00286372"/>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4948"/>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812"/>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23F"/>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240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2F6"/>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30E2569"/>
    <w:rsid w:val="031C69F7"/>
    <w:rsid w:val="03350C22"/>
    <w:rsid w:val="033B50CF"/>
    <w:rsid w:val="036C3027"/>
    <w:rsid w:val="03BD1657"/>
    <w:rsid w:val="04C609C8"/>
    <w:rsid w:val="04CE3D21"/>
    <w:rsid w:val="04E35A1E"/>
    <w:rsid w:val="059E1E1A"/>
    <w:rsid w:val="05AC5740"/>
    <w:rsid w:val="05F477B7"/>
    <w:rsid w:val="062A4F87"/>
    <w:rsid w:val="066426AB"/>
    <w:rsid w:val="069A7EED"/>
    <w:rsid w:val="06AE7ADB"/>
    <w:rsid w:val="06CE7C54"/>
    <w:rsid w:val="0722284A"/>
    <w:rsid w:val="07A05F2C"/>
    <w:rsid w:val="08403A7A"/>
    <w:rsid w:val="085546C8"/>
    <w:rsid w:val="09181A0E"/>
    <w:rsid w:val="09303623"/>
    <w:rsid w:val="09491AC5"/>
    <w:rsid w:val="096440B1"/>
    <w:rsid w:val="09FA4319"/>
    <w:rsid w:val="0A243FBF"/>
    <w:rsid w:val="0A263C68"/>
    <w:rsid w:val="0A5667CD"/>
    <w:rsid w:val="0B0954D3"/>
    <w:rsid w:val="0B3A73A1"/>
    <w:rsid w:val="0B4A6058"/>
    <w:rsid w:val="0B53018B"/>
    <w:rsid w:val="0BE95409"/>
    <w:rsid w:val="0C70073F"/>
    <w:rsid w:val="0C9B1CCF"/>
    <w:rsid w:val="0CB1143F"/>
    <w:rsid w:val="0CCE2622"/>
    <w:rsid w:val="0E085C48"/>
    <w:rsid w:val="0E1034F8"/>
    <w:rsid w:val="0EBB3AA4"/>
    <w:rsid w:val="0FAD08ED"/>
    <w:rsid w:val="0FCE2E27"/>
    <w:rsid w:val="100D0676"/>
    <w:rsid w:val="10114FA7"/>
    <w:rsid w:val="10A23C41"/>
    <w:rsid w:val="113373E5"/>
    <w:rsid w:val="11432541"/>
    <w:rsid w:val="12B1205F"/>
    <w:rsid w:val="13B44A8A"/>
    <w:rsid w:val="14175BB0"/>
    <w:rsid w:val="147902B3"/>
    <w:rsid w:val="148A7D85"/>
    <w:rsid w:val="14922FE9"/>
    <w:rsid w:val="14EE3866"/>
    <w:rsid w:val="150C1BA5"/>
    <w:rsid w:val="15180BA4"/>
    <w:rsid w:val="15420113"/>
    <w:rsid w:val="158F5496"/>
    <w:rsid w:val="15DC43E5"/>
    <w:rsid w:val="16503E5D"/>
    <w:rsid w:val="16714F7E"/>
    <w:rsid w:val="16822017"/>
    <w:rsid w:val="16F05D79"/>
    <w:rsid w:val="171A032B"/>
    <w:rsid w:val="17324FA7"/>
    <w:rsid w:val="17DA4149"/>
    <w:rsid w:val="18510A99"/>
    <w:rsid w:val="188340A0"/>
    <w:rsid w:val="18B35F28"/>
    <w:rsid w:val="18C84236"/>
    <w:rsid w:val="190B1E92"/>
    <w:rsid w:val="19285BF1"/>
    <w:rsid w:val="193D15C5"/>
    <w:rsid w:val="19A23C56"/>
    <w:rsid w:val="1A845156"/>
    <w:rsid w:val="1AAC3EC2"/>
    <w:rsid w:val="1AF94279"/>
    <w:rsid w:val="1B51155A"/>
    <w:rsid w:val="1BE14C7B"/>
    <w:rsid w:val="1BF81957"/>
    <w:rsid w:val="1C6360EC"/>
    <w:rsid w:val="1D122527"/>
    <w:rsid w:val="1D471F18"/>
    <w:rsid w:val="1DA430AA"/>
    <w:rsid w:val="1E141DF9"/>
    <w:rsid w:val="1EAB60A6"/>
    <w:rsid w:val="1EAE474B"/>
    <w:rsid w:val="1F1B41F1"/>
    <w:rsid w:val="1F984D1E"/>
    <w:rsid w:val="1F9F0833"/>
    <w:rsid w:val="1FB5190D"/>
    <w:rsid w:val="1FFB05D4"/>
    <w:rsid w:val="20B25CBE"/>
    <w:rsid w:val="20D81D57"/>
    <w:rsid w:val="20E26732"/>
    <w:rsid w:val="21951A7A"/>
    <w:rsid w:val="21DC5877"/>
    <w:rsid w:val="21EF69DC"/>
    <w:rsid w:val="21F26E49"/>
    <w:rsid w:val="227616EA"/>
    <w:rsid w:val="23B4085A"/>
    <w:rsid w:val="249E5BD9"/>
    <w:rsid w:val="24B05A43"/>
    <w:rsid w:val="24FA69A0"/>
    <w:rsid w:val="25335A76"/>
    <w:rsid w:val="257965BE"/>
    <w:rsid w:val="25897742"/>
    <w:rsid w:val="25DC0BEB"/>
    <w:rsid w:val="26013AFE"/>
    <w:rsid w:val="266F0A28"/>
    <w:rsid w:val="2677791D"/>
    <w:rsid w:val="268A42C5"/>
    <w:rsid w:val="26BE6F37"/>
    <w:rsid w:val="27AB0837"/>
    <w:rsid w:val="27BF157B"/>
    <w:rsid w:val="281B3EE1"/>
    <w:rsid w:val="28BB6273"/>
    <w:rsid w:val="2955346A"/>
    <w:rsid w:val="29B33674"/>
    <w:rsid w:val="2A29419B"/>
    <w:rsid w:val="2A7D4161"/>
    <w:rsid w:val="2B1E396A"/>
    <w:rsid w:val="2BBE4A09"/>
    <w:rsid w:val="2CED6B8B"/>
    <w:rsid w:val="2D2325AC"/>
    <w:rsid w:val="2D81021F"/>
    <w:rsid w:val="2DF5037E"/>
    <w:rsid w:val="2EBE628C"/>
    <w:rsid w:val="2EC151A8"/>
    <w:rsid w:val="2FA22E86"/>
    <w:rsid w:val="307D0DF5"/>
    <w:rsid w:val="30DF10B2"/>
    <w:rsid w:val="310D5099"/>
    <w:rsid w:val="31113FD6"/>
    <w:rsid w:val="31EE248D"/>
    <w:rsid w:val="33097BA0"/>
    <w:rsid w:val="340B487E"/>
    <w:rsid w:val="34627E5E"/>
    <w:rsid w:val="34876E3B"/>
    <w:rsid w:val="34D53509"/>
    <w:rsid w:val="355A337B"/>
    <w:rsid w:val="35B423F0"/>
    <w:rsid w:val="362F5B1E"/>
    <w:rsid w:val="36607729"/>
    <w:rsid w:val="36DB2EFD"/>
    <w:rsid w:val="36F63881"/>
    <w:rsid w:val="37295B73"/>
    <w:rsid w:val="373777F1"/>
    <w:rsid w:val="373E02C1"/>
    <w:rsid w:val="37B27395"/>
    <w:rsid w:val="38273E27"/>
    <w:rsid w:val="386550F4"/>
    <w:rsid w:val="38AA4085"/>
    <w:rsid w:val="399D0437"/>
    <w:rsid w:val="3A257964"/>
    <w:rsid w:val="3A4A0C98"/>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F446ADE"/>
    <w:rsid w:val="3FED5CCD"/>
    <w:rsid w:val="400D4BB3"/>
    <w:rsid w:val="405921F0"/>
    <w:rsid w:val="4091460B"/>
    <w:rsid w:val="40CF687B"/>
    <w:rsid w:val="416D6A0E"/>
    <w:rsid w:val="417D1DC2"/>
    <w:rsid w:val="44687A85"/>
    <w:rsid w:val="446B68BB"/>
    <w:rsid w:val="44E42F3B"/>
    <w:rsid w:val="452D1052"/>
    <w:rsid w:val="456B1659"/>
    <w:rsid w:val="45C06792"/>
    <w:rsid w:val="45D43FEC"/>
    <w:rsid w:val="45F33725"/>
    <w:rsid w:val="46756E72"/>
    <w:rsid w:val="46813D02"/>
    <w:rsid w:val="473A07C7"/>
    <w:rsid w:val="474A1318"/>
    <w:rsid w:val="4760687D"/>
    <w:rsid w:val="4810218B"/>
    <w:rsid w:val="494A2E38"/>
    <w:rsid w:val="498F35C1"/>
    <w:rsid w:val="49BD05D0"/>
    <w:rsid w:val="4A0A5CC7"/>
    <w:rsid w:val="4A307253"/>
    <w:rsid w:val="4A6C0158"/>
    <w:rsid w:val="4AB41B33"/>
    <w:rsid w:val="4B110BE1"/>
    <w:rsid w:val="4B2A4158"/>
    <w:rsid w:val="4B6824FD"/>
    <w:rsid w:val="4BDF11B3"/>
    <w:rsid w:val="4CBB3066"/>
    <w:rsid w:val="4CBE5242"/>
    <w:rsid w:val="4CD51A8F"/>
    <w:rsid w:val="4CEB6A0D"/>
    <w:rsid w:val="4D473FEB"/>
    <w:rsid w:val="4DBA7F6B"/>
    <w:rsid w:val="4E310299"/>
    <w:rsid w:val="4E3E74CF"/>
    <w:rsid w:val="4E4F6905"/>
    <w:rsid w:val="4E805282"/>
    <w:rsid w:val="4EF852D8"/>
    <w:rsid w:val="4F012557"/>
    <w:rsid w:val="4FDF1192"/>
    <w:rsid w:val="50453910"/>
    <w:rsid w:val="505226DD"/>
    <w:rsid w:val="50637FC5"/>
    <w:rsid w:val="50802732"/>
    <w:rsid w:val="5080549C"/>
    <w:rsid w:val="50BC39B4"/>
    <w:rsid w:val="50C56D57"/>
    <w:rsid w:val="51316A2D"/>
    <w:rsid w:val="522B3C43"/>
    <w:rsid w:val="52770955"/>
    <w:rsid w:val="52EB37B7"/>
    <w:rsid w:val="53281FE3"/>
    <w:rsid w:val="532D1418"/>
    <w:rsid w:val="5359798D"/>
    <w:rsid w:val="53607807"/>
    <w:rsid w:val="53844041"/>
    <w:rsid w:val="53A16DA2"/>
    <w:rsid w:val="55631BDD"/>
    <w:rsid w:val="5577489C"/>
    <w:rsid w:val="55BA07E5"/>
    <w:rsid w:val="56584D0B"/>
    <w:rsid w:val="56C65201"/>
    <w:rsid w:val="57177BE7"/>
    <w:rsid w:val="573E4B0A"/>
    <w:rsid w:val="577E687E"/>
    <w:rsid w:val="57E119D2"/>
    <w:rsid w:val="57ED67F5"/>
    <w:rsid w:val="588D13BE"/>
    <w:rsid w:val="592E63F2"/>
    <w:rsid w:val="59462FFB"/>
    <w:rsid w:val="59AB76A3"/>
    <w:rsid w:val="59F6057D"/>
    <w:rsid w:val="5A292701"/>
    <w:rsid w:val="5A71707D"/>
    <w:rsid w:val="5AC3366B"/>
    <w:rsid w:val="5AFB10E6"/>
    <w:rsid w:val="5C052CF9"/>
    <w:rsid w:val="5C5E62C9"/>
    <w:rsid w:val="5C637545"/>
    <w:rsid w:val="5CC32BAF"/>
    <w:rsid w:val="5E2C0A11"/>
    <w:rsid w:val="5EB034DE"/>
    <w:rsid w:val="5EC15AC0"/>
    <w:rsid w:val="5ECA1FD8"/>
    <w:rsid w:val="5ED7545C"/>
    <w:rsid w:val="5EED3477"/>
    <w:rsid w:val="5F1017E6"/>
    <w:rsid w:val="5F77638B"/>
    <w:rsid w:val="5FDB06E4"/>
    <w:rsid w:val="60C42704"/>
    <w:rsid w:val="60FE4811"/>
    <w:rsid w:val="61DB5207"/>
    <w:rsid w:val="625B3C89"/>
    <w:rsid w:val="627B3857"/>
    <w:rsid w:val="62EF4D77"/>
    <w:rsid w:val="63147DC8"/>
    <w:rsid w:val="63195E00"/>
    <w:rsid w:val="6344708E"/>
    <w:rsid w:val="638A1A0D"/>
    <w:rsid w:val="64D91F61"/>
    <w:rsid w:val="651915C4"/>
    <w:rsid w:val="65F00D0C"/>
    <w:rsid w:val="660A4DD7"/>
    <w:rsid w:val="665713E0"/>
    <w:rsid w:val="66C33EDD"/>
    <w:rsid w:val="67714DB8"/>
    <w:rsid w:val="67787E6E"/>
    <w:rsid w:val="677E3D99"/>
    <w:rsid w:val="67BA3663"/>
    <w:rsid w:val="682503E0"/>
    <w:rsid w:val="696B473F"/>
    <w:rsid w:val="69F6673E"/>
    <w:rsid w:val="6A480FCB"/>
    <w:rsid w:val="6B99622E"/>
    <w:rsid w:val="6BCF7654"/>
    <w:rsid w:val="6C1F1AD0"/>
    <w:rsid w:val="6C3111FA"/>
    <w:rsid w:val="6CC61070"/>
    <w:rsid w:val="6CE25242"/>
    <w:rsid w:val="6D4653C0"/>
    <w:rsid w:val="6DC009DD"/>
    <w:rsid w:val="6E283FD4"/>
    <w:rsid w:val="6E4C1730"/>
    <w:rsid w:val="6E5B59D0"/>
    <w:rsid w:val="6E8E69EC"/>
    <w:rsid w:val="6E9758D2"/>
    <w:rsid w:val="6F751AEC"/>
    <w:rsid w:val="70127ACB"/>
    <w:rsid w:val="70380052"/>
    <w:rsid w:val="70827584"/>
    <w:rsid w:val="710D3D1B"/>
    <w:rsid w:val="71BB14B3"/>
    <w:rsid w:val="72C93C83"/>
    <w:rsid w:val="73B56776"/>
    <w:rsid w:val="74333BE9"/>
    <w:rsid w:val="74766D2B"/>
    <w:rsid w:val="74B925FE"/>
    <w:rsid w:val="74BB4498"/>
    <w:rsid w:val="74E7523A"/>
    <w:rsid w:val="753F5076"/>
    <w:rsid w:val="7542758E"/>
    <w:rsid w:val="75534F10"/>
    <w:rsid w:val="75805E1A"/>
    <w:rsid w:val="75886FA4"/>
    <w:rsid w:val="758919A7"/>
    <w:rsid w:val="75AD3D2D"/>
    <w:rsid w:val="76B73EBA"/>
    <w:rsid w:val="76C45185"/>
    <w:rsid w:val="77A13DC6"/>
    <w:rsid w:val="77B7713E"/>
    <w:rsid w:val="77BF58CF"/>
    <w:rsid w:val="784D29BC"/>
    <w:rsid w:val="79845204"/>
    <w:rsid w:val="79940985"/>
    <w:rsid w:val="79DE04A6"/>
    <w:rsid w:val="79E629C5"/>
    <w:rsid w:val="7A5B35CF"/>
    <w:rsid w:val="7A6056B2"/>
    <w:rsid w:val="7A993117"/>
    <w:rsid w:val="7A9D4552"/>
    <w:rsid w:val="7B373030"/>
    <w:rsid w:val="7BF37F79"/>
    <w:rsid w:val="7CA36E25"/>
    <w:rsid w:val="7CD30F7E"/>
    <w:rsid w:val="7D9628D3"/>
    <w:rsid w:val="7E5337D1"/>
    <w:rsid w:val="7F5C008E"/>
    <w:rsid w:val="7F617B4A"/>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lang w:eastAsia="en-US"/>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1035"/>
    <customShpInfo spid="_x0000_s1034"/>
    <customShpInfo spid="_x0000_s1033"/>
    <customShpInfo spid="_x0000_s1032"/>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15695</Words>
  <Characters>16455</Characters>
  <Lines>30</Lines>
  <Paragraphs>69</Paragraphs>
  <TotalTime>4</TotalTime>
  <ScaleCrop>false</ScaleCrop>
  <LinksUpToDate>false</LinksUpToDate>
  <CharactersWithSpaces>16570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2025-10-23T08:15:35Z</dcterms:modified>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