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2"/>
        <w:spacing w:line="360" w:lineRule="auto"/>
        <w:rPr>
          <w:rFonts w:eastAsia="方正小标宋简体"/>
          <w:sz w:val="32"/>
        </w:rPr>
      </w:pPr>
    </w:p>
    <w:p w14:paraId="51D0CC2A">
      <w:pPr>
        <w:pStyle w:val="2"/>
        <w:spacing w:line="360" w:lineRule="auto"/>
        <w:ind w:firstLine="422" w:firstLineChars="132"/>
        <w:rPr>
          <w:rFonts w:eastAsia="方正小标宋简体"/>
          <w:sz w:val="32"/>
        </w:rPr>
      </w:pPr>
    </w:p>
    <w:p w14:paraId="1C72A75F">
      <w:pPr>
        <w:pStyle w:val="2"/>
        <w:spacing w:line="360" w:lineRule="auto"/>
        <w:ind w:firstLine="422" w:firstLineChars="132"/>
        <w:rPr>
          <w:rFonts w:eastAsia="方正小标宋简体"/>
          <w:sz w:val="32"/>
        </w:rPr>
      </w:pPr>
    </w:p>
    <w:p w14:paraId="2C99F2E5">
      <w:pPr>
        <w:pStyle w:val="25"/>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5</w:t>
      </w:r>
      <w:r>
        <w:rPr>
          <w:rFonts w:eastAsia="方正小标宋简体"/>
          <w:sz w:val="32"/>
        </w:rPr>
        <w:t>-HQ-</w:t>
      </w:r>
      <w:r>
        <w:rPr>
          <w:rFonts w:hint="eastAsia" w:eastAsia="方正小标宋简体"/>
          <w:sz w:val="32"/>
        </w:rPr>
        <w:t>0</w:t>
      </w:r>
      <w:r>
        <w:rPr>
          <w:rFonts w:hint="eastAsia" w:eastAsia="方正小标宋简体"/>
          <w:sz w:val="32"/>
          <w:lang w:val="en-US" w:eastAsia="zh-CN"/>
        </w:rPr>
        <w:t>31</w:t>
      </w:r>
    </w:p>
    <w:p w14:paraId="1E200932">
      <w:pPr>
        <w:pStyle w:val="25"/>
        <w:ind w:left="0" w:firstLine="640"/>
        <w:rPr>
          <w:rFonts w:eastAsia="方正小标宋简体"/>
          <w:sz w:val="32"/>
        </w:rPr>
      </w:pPr>
      <w:r>
        <w:rPr>
          <w:rFonts w:eastAsia="方正小标宋简体"/>
          <w:sz w:val="32"/>
        </w:rPr>
        <w:t>项目名称：</w:t>
      </w:r>
      <w:r>
        <w:rPr>
          <w:rFonts w:hint="eastAsia" w:eastAsia="方正小标宋简体"/>
          <w:sz w:val="32"/>
          <w:lang w:val="en-US" w:eastAsia="zh-CN"/>
        </w:rPr>
        <w:t>常年法律顾问</w:t>
      </w:r>
      <w:r>
        <w:rPr>
          <w:rFonts w:hint="eastAsia" w:eastAsia="方正小标宋简体"/>
          <w:sz w:val="32"/>
        </w:rPr>
        <w:t>服务</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5</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2"/>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2"/>
        <w:spacing w:line="360" w:lineRule="auto"/>
        <w:ind w:firstLine="643"/>
        <w:rPr>
          <w:rFonts w:eastAsiaTheme="majorEastAsia"/>
          <w:b/>
          <w:sz w:val="32"/>
        </w:rPr>
      </w:pPr>
      <w:r>
        <w:rPr>
          <w:rFonts w:eastAsiaTheme="majorEastAsia"/>
          <w:b/>
          <w:sz w:val="32"/>
        </w:rPr>
        <w:t>第一章  采购邀请函</w:t>
      </w:r>
    </w:p>
    <w:p w14:paraId="594E0920">
      <w:pPr>
        <w:pStyle w:val="2"/>
        <w:spacing w:line="360" w:lineRule="auto"/>
        <w:ind w:left="1772" w:leftChars="232" w:hanging="1285" w:hangingChars="400"/>
        <w:rPr>
          <w:rFonts w:eastAsiaTheme="majorEastAsia"/>
          <w:b/>
          <w:sz w:val="32"/>
        </w:rPr>
      </w:pPr>
    </w:p>
    <w:p w14:paraId="118611C6">
      <w:pPr>
        <w:pStyle w:val="2"/>
        <w:spacing w:line="360" w:lineRule="auto"/>
        <w:ind w:firstLine="643"/>
        <w:rPr>
          <w:rFonts w:eastAsiaTheme="majorEastAsia"/>
          <w:b/>
          <w:sz w:val="32"/>
        </w:rPr>
      </w:pPr>
      <w:r>
        <w:rPr>
          <w:rFonts w:eastAsiaTheme="majorEastAsia"/>
          <w:b/>
          <w:sz w:val="32"/>
        </w:rPr>
        <w:t>第二章  采购项目需求</w:t>
      </w:r>
    </w:p>
    <w:p w14:paraId="36A54C1D">
      <w:pPr>
        <w:pStyle w:val="2"/>
        <w:spacing w:line="360" w:lineRule="auto"/>
        <w:ind w:left="1772" w:leftChars="232" w:hanging="1285" w:hangingChars="400"/>
        <w:rPr>
          <w:rFonts w:eastAsiaTheme="majorEastAsia"/>
          <w:b/>
          <w:sz w:val="32"/>
        </w:rPr>
      </w:pPr>
    </w:p>
    <w:p w14:paraId="6AED914D">
      <w:pPr>
        <w:pStyle w:val="2"/>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rPr>
        <w:t>常年法律顾问服务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5</w:t>
      </w:r>
      <w:r>
        <w:rPr>
          <w:kern w:val="0"/>
          <w:sz w:val="24"/>
          <w:szCs w:val="22"/>
        </w:rPr>
        <w:t>-HQ-0</w:t>
      </w:r>
      <w:r>
        <w:rPr>
          <w:rFonts w:hint="eastAsia"/>
          <w:kern w:val="0"/>
          <w:sz w:val="24"/>
          <w:szCs w:val="22"/>
          <w:lang w:val="en-US" w:eastAsia="zh-CN"/>
        </w:rPr>
        <w:t>31</w:t>
      </w:r>
    </w:p>
    <w:p w14:paraId="05E8DFA3">
      <w:pPr>
        <w:widowControl/>
        <w:adjustRightInd w:val="0"/>
        <w:snapToGrid w:val="0"/>
        <w:spacing w:line="400" w:lineRule="atLeast"/>
        <w:ind w:firstLine="480" w:firstLineChars="200"/>
        <w:rPr>
          <w:kern w:val="0"/>
          <w:sz w:val="24"/>
          <w:szCs w:val="22"/>
        </w:rPr>
      </w:pPr>
      <w:r>
        <w:rPr>
          <w:kern w:val="0"/>
          <w:sz w:val="24"/>
          <w:szCs w:val="22"/>
        </w:rPr>
        <w:t>二、采购项目名称：</w:t>
      </w:r>
      <w:r>
        <w:rPr>
          <w:rFonts w:hint="eastAsia"/>
          <w:kern w:val="0"/>
          <w:sz w:val="24"/>
          <w:szCs w:val="22"/>
        </w:rPr>
        <w:t>常年法律顾问服务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15</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15</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kern w:val="0"/>
                <w:sz w:val="24"/>
                <w:szCs w:val="22"/>
              </w:rPr>
              <w:t>常年法律顾问服务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八、服务期限：自合同签订之日起1年</w:t>
      </w:r>
      <w:r>
        <w:rPr>
          <w:rFonts w:ascii="宋体" w:hAnsi="宋体" w:cs="宋体"/>
          <w:sz w:val="24"/>
        </w:rPr>
        <w:t>。</w:t>
      </w:r>
      <w:r>
        <w:rPr>
          <w:rFonts w:hint="eastAsia" w:ascii="宋体" w:hAnsi="宋体" w:cs="宋体"/>
          <w:sz w:val="24"/>
        </w:rPr>
        <w:t>本项目为长期服务类项目，第一年为本次采购服务期限，采购人可根据项目需要和投标人的履约情况确定合同期限是否延长，但最长累计不超过</w:t>
      </w:r>
      <w:r>
        <w:rPr>
          <w:rFonts w:hint="eastAsia" w:ascii="宋体" w:hAnsi="宋体" w:cs="宋体"/>
          <w:sz w:val="24"/>
          <w:lang w:val="en-US" w:eastAsia="zh-CN"/>
        </w:rPr>
        <w:t>36个月</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04E9575A">
      <w:pPr>
        <w:widowControl/>
        <w:numPr>
          <w:ilvl w:val="0"/>
          <w:numId w:val="3"/>
        </w:numPr>
        <w:adjustRightInd w:val="0"/>
        <w:snapToGrid w:val="0"/>
        <w:spacing w:line="400" w:lineRule="atLeast"/>
        <w:rPr>
          <w:kern w:val="0"/>
          <w:sz w:val="24"/>
          <w:szCs w:val="22"/>
        </w:rPr>
      </w:pPr>
      <w:r>
        <w:rPr>
          <w:kern w:val="0"/>
          <w:sz w:val="24"/>
          <w:szCs w:val="22"/>
        </w:rPr>
        <w:t>符合《中华人民共和国政府采购法》第二十二条规定条件。</w:t>
      </w:r>
    </w:p>
    <w:p w14:paraId="63B272F4">
      <w:pPr>
        <w:widowControl/>
        <w:numPr>
          <w:ilvl w:val="0"/>
          <w:numId w:val="3"/>
        </w:numPr>
        <w:adjustRightInd w:val="0"/>
        <w:snapToGrid w:val="0"/>
        <w:spacing w:line="400" w:lineRule="atLeast"/>
        <w:rPr>
          <w:kern w:val="0"/>
          <w:sz w:val="24"/>
          <w:szCs w:val="22"/>
        </w:rPr>
      </w:pPr>
      <w:r>
        <w:rPr>
          <w:rFonts w:hint="eastAsia"/>
          <w:kern w:val="0"/>
          <w:sz w:val="24"/>
          <w:szCs w:val="22"/>
        </w:rPr>
        <w:t>投标人须是在中华人民共和国境内注册的有合法经营资格的国内独立法人，依照《中华人民共和国律师法》成立的律师事务所，具有司法行政部门颁发的律师事务所执业许可证书。（提供合法有效的执业许可证副本扫描件）</w:t>
      </w:r>
    </w:p>
    <w:p w14:paraId="3751DA59">
      <w:pPr>
        <w:widowControl/>
        <w:numPr>
          <w:ilvl w:val="0"/>
          <w:numId w:val="3"/>
        </w:numPr>
        <w:adjustRightInd w:val="0"/>
        <w:snapToGrid w:val="0"/>
        <w:spacing w:line="400" w:lineRule="atLeast"/>
        <w:rPr>
          <w:kern w:val="0"/>
          <w:sz w:val="24"/>
          <w:szCs w:val="22"/>
        </w:rPr>
      </w:pPr>
      <w:r>
        <w:rPr>
          <w:rFonts w:hint="default" w:ascii="Times New Roman" w:hAnsi="Times New Roman" w:cs="Times New Roman"/>
          <w:color w:val="000000"/>
          <w:kern w:val="0"/>
          <w:sz w:val="24"/>
          <w:szCs w:val="22"/>
        </w:rPr>
        <w:t>投标人须提供法人授权委托证明书原件，法定代表人身份证复印件，被授权人身份证复印件（加盖公章）</w:t>
      </w:r>
      <w:r>
        <w:rPr>
          <w:rFonts w:hint="eastAsia" w:ascii="Times New Roman" w:hAnsi="Times New Roman" w:cs="Times New Roman"/>
          <w:color w:val="000000"/>
          <w:kern w:val="0"/>
          <w:sz w:val="24"/>
          <w:szCs w:val="22"/>
          <w:lang w:eastAsia="zh-CN"/>
        </w:rPr>
        <w:t>。</w:t>
      </w:r>
    </w:p>
    <w:p w14:paraId="0EA69C04">
      <w:pPr>
        <w:widowControl/>
        <w:numPr>
          <w:ilvl w:val="0"/>
          <w:numId w:val="3"/>
        </w:numPr>
        <w:adjustRightInd w:val="0"/>
        <w:snapToGrid w:val="0"/>
        <w:spacing w:line="400" w:lineRule="atLeast"/>
        <w:rPr>
          <w:kern w:val="0"/>
          <w:sz w:val="24"/>
          <w:szCs w:val="22"/>
        </w:rPr>
      </w:pPr>
      <w:r>
        <w:rPr>
          <w:rFonts w:hint="default" w:ascii="Times New Roman" w:hAnsi="Times New Roman" w:cs="Times New Roman"/>
          <w:color w:val="000000"/>
          <w:kern w:val="0"/>
          <w:sz w:val="24"/>
          <w:szCs w:val="22"/>
        </w:rPr>
        <w:t>参与本项目投标前三年内，在经营活动中没有重大违法记录或不存在被有关部门禁止参与政府采购活动且在有效期内的情况。（投标人出具以上资格声明函）</w:t>
      </w:r>
      <w:r>
        <w:rPr>
          <w:kern w:val="0"/>
          <w:sz w:val="24"/>
          <w:szCs w:val="22"/>
        </w:rPr>
        <w:t>。</w:t>
      </w:r>
    </w:p>
    <w:p w14:paraId="155B0416">
      <w:pPr>
        <w:widowControl/>
        <w:numPr>
          <w:ilvl w:val="0"/>
          <w:numId w:val="3"/>
        </w:numPr>
        <w:adjustRightInd w:val="0"/>
        <w:snapToGrid w:val="0"/>
        <w:spacing w:line="400" w:lineRule="atLeast"/>
        <w:rPr>
          <w:kern w:val="0"/>
          <w:sz w:val="24"/>
          <w:szCs w:val="22"/>
        </w:rPr>
      </w:pPr>
      <w:r>
        <w:rPr>
          <w:rFonts w:hint="default" w:ascii="Times New Roman" w:hAnsi="Times New Roman" w:cs="Times New Roman"/>
          <w:color w:val="000000"/>
          <w:kern w:val="0"/>
          <w:sz w:val="24"/>
          <w:szCs w:val="22"/>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default" w:ascii="Times New Roman" w:hAnsi="Times New Roman" w:cs="Times New Roman"/>
          <w:kern w:val="0"/>
          <w:sz w:val="24"/>
          <w:szCs w:val="22"/>
        </w:rPr>
        <w:t>（投标人出具资格声明函）</w:t>
      </w:r>
      <w:r>
        <w:rPr>
          <w:kern w:val="0"/>
          <w:sz w:val="24"/>
          <w:szCs w:val="22"/>
        </w:rPr>
        <w:t>。</w:t>
      </w:r>
    </w:p>
    <w:p w14:paraId="1918040F">
      <w:pPr>
        <w:widowControl/>
        <w:numPr>
          <w:ilvl w:val="0"/>
          <w:numId w:val="3"/>
        </w:numPr>
        <w:adjustRightInd w:val="0"/>
        <w:snapToGrid w:val="0"/>
        <w:spacing w:line="400" w:lineRule="atLeast"/>
        <w:rPr>
          <w:kern w:val="0"/>
          <w:sz w:val="24"/>
          <w:szCs w:val="22"/>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kern w:val="0"/>
          <w:sz w:val="24"/>
          <w:szCs w:val="22"/>
        </w:rPr>
        <w:t>。</w:t>
      </w:r>
    </w:p>
    <w:p w14:paraId="16436F00">
      <w:pPr>
        <w:widowControl/>
        <w:numPr>
          <w:ilvl w:val="0"/>
          <w:numId w:val="3"/>
        </w:numPr>
        <w:adjustRightInd w:val="0"/>
        <w:snapToGrid w:val="0"/>
        <w:spacing w:line="400" w:lineRule="atLeast"/>
        <w:rPr>
          <w:kern w:val="0"/>
          <w:sz w:val="24"/>
          <w:szCs w:val="22"/>
        </w:rPr>
      </w:pPr>
      <w:r>
        <w:rPr>
          <w:kern w:val="0"/>
          <w:sz w:val="24"/>
          <w:szCs w:val="22"/>
        </w:rPr>
        <w:t>本项目不接受联合体投标，不允许转包、分包。</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10月17日</w:t>
      </w:r>
      <w:r>
        <w:rPr>
          <w:rFonts w:hint="eastAsia"/>
          <w:kern w:val="0"/>
          <w:sz w:val="24"/>
          <w:szCs w:val="22"/>
          <w:highlight w:val="cyan"/>
        </w:rPr>
        <w:t>至</w:t>
      </w:r>
      <w:r>
        <w:rPr>
          <w:rFonts w:hint="eastAsia"/>
          <w:kern w:val="0"/>
          <w:sz w:val="24"/>
          <w:szCs w:val="22"/>
          <w:highlight w:val="cyan"/>
          <w:lang w:val="en-US" w:eastAsia="zh-CN"/>
        </w:rPr>
        <w:t>10</w:t>
      </w:r>
      <w:r>
        <w:rPr>
          <w:rFonts w:hint="eastAsia"/>
          <w:kern w:val="0"/>
          <w:sz w:val="24"/>
          <w:szCs w:val="22"/>
          <w:highlight w:val="cyan"/>
        </w:rPr>
        <w:t>月</w:t>
      </w:r>
      <w:r>
        <w:rPr>
          <w:rFonts w:hint="eastAsia"/>
          <w:kern w:val="0"/>
          <w:sz w:val="24"/>
          <w:szCs w:val="22"/>
          <w:highlight w:val="cyan"/>
          <w:lang w:val="en-US" w:eastAsia="zh-CN"/>
        </w:rPr>
        <w:t>21</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hint="eastAsia" w:hAnsi="宋体"/>
          <w:b/>
          <w:bCs/>
          <w:color w:val="000000"/>
          <w:kern w:val="0"/>
          <w:sz w:val="24"/>
          <w:lang w:val="en-US" w:eastAsia="zh-CN"/>
        </w:rPr>
        <w:t>80416622</w:t>
      </w:r>
      <w:r>
        <w:rPr>
          <w:rFonts w:hAnsi="宋体"/>
          <w:b/>
          <w:bCs/>
          <w:color w:val="000000"/>
          <w:kern w:val="0"/>
          <w:sz w:val="24"/>
        </w:rPr>
        <w:t>@</w:t>
      </w:r>
      <w:r>
        <w:rPr>
          <w:rFonts w:hint="eastAsia" w:hAnsi="宋体"/>
          <w:b/>
          <w:bCs/>
          <w:color w:val="000000"/>
          <w:kern w:val="0"/>
          <w:sz w:val="24"/>
          <w:lang w:val="en-US" w:eastAsia="zh-CN"/>
        </w:rPr>
        <w:t>qq</w:t>
      </w:r>
      <w:r>
        <w:rPr>
          <w:rFonts w:hAnsi="宋体"/>
          <w:b/>
          <w:bCs/>
          <w:color w:val="000000"/>
          <w:kern w:val="0"/>
          <w:sz w:val="24"/>
        </w:rPr>
        <w:t>.com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5</w:t>
      </w:r>
      <w:r>
        <w:rPr>
          <w:kern w:val="0"/>
          <w:sz w:val="24"/>
          <w:szCs w:val="22"/>
          <w:highlight w:val="cyan"/>
        </w:rPr>
        <w:t>年</w:t>
      </w:r>
      <w:r>
        <w:rPr>
          <w:rFonts w:hint="eastAsia"/>
          <w:kern w:val="0"/>
          <w:sz w:val="24"/>
          <w:szCs w:val="22"/>
          <w:highlight w:val="cyan"/>
          <w:lang w:val="en-US" w:eastAsia="zh-CN"/>
        </w:rPr>
        <w:t>10</w:t>
      </w:r>
      <w:r>
        <w:rPr>
          <w:kern w:val="0"/>
          <w:sz w:val="24"/>
          <w:szCs w:val="22"/>
          <w:highlight w:val="cyan"/>
        </w:rPr>
        <w:t>月</w:t>
      </w:r>
      <w:r>
        <w:rPr>
          <w:rFonts w:hint="eastAsia"/>
          <w:kern w:val="0"/>
          <w:sz w:val="24"/>
          <w:szCs w:val="22"/>
          <w:highlight w:val="cyan"/>
          <w:lang w:val="en-US" w:eastAsia="zh-CN"/>
        </w:rPr>
        <w:t>23</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四</w:t>
      </w:r>
      <w:r>
        <w:rPr>
          <w:kern w:val="0"/>
          <w:sz w:val="24"/>
          <w:szCs w:val="22"/>
          <w:highlight w:val="cyan"/>
        </w:rPr>
        <w:t>）</w:t>
      </w:r>
      <w:r>
        <w:rPr>
          <w:rFonts w:hint="eastAsia"/>
          <w:kern w:val="0"/>
          <w:sz w:val="24"/>
          <w:szCs w:val="22"/>
          <w:highlight w:val="cyan"/>
          <w:lang w:val="en-US" w:eastAsia="zh-CN"/>
        </w:rPr>
        <w:t>下</w:t>
      </w:r>
      <w:r>
        <w:rPr>
          <w:kern w:val="0"/>
          <w:sz w:val="24"/>
          <w:szCs w:val="22"/>
          <w:highlight w:val="cyan"/>
        </w:rPr>
        <w:t>午</w:t>
      </w:r>
      <w:r>
        <w:rPr>
          <w:rFonts w:hint="eastAsia"/>
          <w:kern w:val="0"/>
          <w:sz w:val="24"/>
          <w:szCs w:val="22"/>
          <w:highlight w:val="cyan"/>
          <w:lang w:val="en-US" w:eastAsia="zh-CN"/>
        </w:rPr>
        <w:t>3：0</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5</w:t>
      </w:r>
      <w:r>
        <w:rPr>
          <w:kern w:val="0"/>
          <w:sz w:val="24"/>
          <w:szCs w:val="22"/>
        </w:rPr>
        <w:t>年</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hint="eastAsia" w:hAnsi="宋体" w:eastAsia="宋体"/>
          <w:b/>
          <w:bCs/>
          <w:color w:val="000000"/>
          <w:kern w:val="0"/>
          <w:sz w:val="24"/>
          <w:lang w:val="en-US" w:eastAsia="zh-CN"/>
        </w:rPr>
        <w:t>80416622</w:t>
      </w:r>
      <w:r>
        <w:rPr>
          <w:rFonts w:hAnsi="宋体"/>
          <w:b/>
          <w:bCs/>
          <w:color w:val="000000"/>
          <w:kern w:val="0"/>
          <w:sz w:val="24"/>
        </w:rPr>
        <w:t>@163.com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1BB87B85">
      <w:pPr>
        <w:numPr>
          <w:ilvl w:val="0"/>
          <w:numId w:val="0"/>
        </w:numPr>
        <w:adjustRightInd w:val="0"/>
        <w:snapToGrid w:val="0"/>
        <w:spacing w:line="400" w:lineRule="atLeast"/>
        <w:ind w:firstLine="480" w:firstLineChars="200"/>
        <w:rPr>
          <w:rFonts w:hint="eastAsia" w:eastAsia="宋体"/>
          <w:b w:val="0"/>
          <w:bCs w:val="0"/>
          <w:sz w:val="24"/>
        </w:rPr>
      </w:pPr>
      <w:r>
        <w:rPr>
          <w:rFonts w:hint="eastAsia" w:eastAsia="宋体"/>
          <w:b w:val="0"/>
          <w:bCs w:val="0"/>
          <w:sz w:val="24"/>
        </w:rPr>
        <w:t>为</w:t>
      </w:r>
      <w:r>
        <w:rPr>
          <w:rFonts w:hint="eastAsia" w:eastAsia="宋体"/>
          <w:b w:val="0"/>
          <w:bCs w:val="0"/>
          <w:sz w:val="24"/>
          <w:lang w:val="en-US" w:eastAsia="zh-CN"/>
        </w:rPr>
        <w:t>采购人</w:t>
      </w:r>
      <w:r>
        <w:rPr>
          <w:rFonts w:hint="eastAsia" w:eastAsia="宋体"/>
          <w:b w:val="0"/>
          <w:bCs w:val="0"/>
          <w:sz w:val="24"/>
        </w:rPr>
        <w:t>提供法律服务，建立健全以医院法律顾问制度为核心的法律风险防控体系，包括但不限于</w:t>
      </w:r>
      <w:r>
        <w:rPr>
          <w:rFonts w:hint="eastAsia" w:eastAsia="宋体"/>
          <w:b w:val="0"/>
          <w:bCs w:val="0"/>
          <w:sz w:val="24"/>
          <w:lang w:val="en-US" w:eastAsia="zh-CN"/>
        </w:rPr>
        <w:t>采购人</w:t>
      </w:r>
      <w:r>
        <w:rPr>
          <w:rFonts w:hint="eastAsia" w:eastAsia="宋体"/>
          <w:b w:val="0"/>
          <w:bCs w:val="0"/>
          <w:sz w:val="24"/>
        </w:rPr>
        <w:t>对外合作、内部制度建设、合同管理、医疗活动、人事劳动关系、工会维权、科研项目、伦理审查、各类招标采购、绩效考核、财务资产、后勤及基建项目、社会维稳、应急处置等方面。</w:t>
      </w:r>
    </w:p>
    <w:p w14:paraId="73F85881">
      <w:pPr>
        <w:numPr>
          <w:ilvl w:val="0"/>
          <w:numId w:val="7"/>
        </w:numPr>
        <w:adjustRightInd w:val="0"/>
        <w:snapToGrid w:val="0"/>
        <w:spacing w:line="400" w:lineRule="atLeast"/>
        <w:rPr>
          <w:rFonts w:hint="eastAsia" w:asciiTheme="minorEastAsia" w:hAnsiTheme="minorEastAsia" w:cstheme="minorEastAsia"/>
          <w:sz w:val="24"/>
        </w:rPr>
      </w:pPr>
      <w:r>
        <w:rPr>
          <w:rFonts w:hint="eastAsia" w:eastAsia="宋体"/>
          <w:b/>
          <w:bCs/>
          <w:sz w:val="24"/>
          <w:lang w:val="en-US" w:eastAsia="zh-CN"/>
        </w:rPr>
        <w:t>服务要求</w:t>
      </w:r>
    </w:p>
    <w:p w14:paraId="7FE52985">
      <w:pPr>
        <w:spacing w:line="360" w:lineRule="auto"/>
        <w:ind w:firstLine="420" w:firstLineChars="200"/>
        <w:rPr>
          <w:rFonts w:hint="default"/>
          <w:lang w:val="en-US" w:eastAsia="zh-CN"/>
        </w:rPr>
      </w:pPr>
      <w:r>
        <w:rPr>
          <w:rFonts w:hint="eastAsia"/>
          <w:lang w:val="en-US" w:eastAsia="zh-CN"/>
        </w:rPr>
        <w:t>1.</w:t>
      </w:r>
      <w:r>
        <w:rPr>
          <w:rFonts w:hint="default"/>
          <w:lang w:val="en-US" w:eastAsia="zh-CN"/>
        </w:rPr>
        <w:t>协助</w:t>
      </w:r>
      <w:r>
        <w:rPr>
          <w:rFonts w:hint="eastAsia"/>
          <w:lang w:val="en-US" w:eastAsia="zh-CN"/>
        </w:rPr>
        <w:t>采购人</w:t>
      </w:r>
      <w:r>
        <w:rPr>
          <w:rFonts w:hint="default"/>
          <w:lang w:val="en-US" w:eastAsia="zh-CN"/>
        </w:rPr>
        <w:t>处理法律事务，服务范围主要包括但不限于医院对外合作、内部制度建设、合同管理、医疗活动、人事劳动关系、工会维权、科研</w:t>
      </w:r>
      <w:r>
        <w:rPr>
          <w:rFonts w:hint="eastAsia"/>
          <w:lang w:val="en-US" w:eastAsia="zh-CN"/>
        </w:rPr>
        <w:t>项目</w:t>
      </w:r>
      <w:r>
        <w:rPr>
          <w:rFonts w:hint="default"/>
          <w:lang w:val="en-US" w:eastAsia="zh-CN"/>
        </w:rPr>
        <w:t>、伦理审查、</w:t>
      </w:r>
      <w:r>
        <w:rPr>
          <w:rFonts w:hint="eastAsia"/>
          <w:lang w:val="en-US" w:eastAsia="zh-CN"/>
        </w:rPr>
        <w:t>各类</w:t>
      </w:r>
      <w:r>
        <w:rPr>
          <w:rFonts w:hint="default"/>
          <w:lang w:val="en-US" w:eastAsia="zh-CN"/>
        </w:rPr>
        <w:t>招标采购、绩效考核、财务资产、后勤及基建项目、社会维稳、应急处置等方面。具体如下：</w:t>
      </w:r>
    </w:p>
    <w:p w14:paraId="5126501C">
      <w:pPr>
        <w:spacing w:line="360" w:lineRule="auto"/>
        <w:ind w:firstLine="420" w:firstLineChars="200"/>
        <w:rPr>
          <w:rFonts w:hint="default"/>
          <w:lang w:val="en-US" w:eastAsia="zh-CN"/>
        </w:rPr>
      </w:pPr>
      <w:r>
        <w:rPr>
          <w:rFonts w:hint="eastAsia"/>
          <w:lang w:val="en-US" w:eastAsia="zh-CN"/>
        </w:rPr>
        <w:t>（1）</w:t>
      </w:r>
      <w:r>
        <w:rPr>
          <w:rFonts w:hint="default"/>
          <w:lang w:val="en-US" w:eastAsia="zh-CN"/>
        </w:rPr>
        <w:t>根据</w:t>
      </w:r>
      <w:r>
        <w:rPr>
          <w:rFonts w:hint="eastAsia"/>
          <w:lang w:val="en-US" w:eastAsia="zh-CN"/>
        </w:rPr>
        <w:t>采购人</w:t>
      </w:r>
      <w:r>
        <w:rPr>
          <w:rFonts w:hint="default"/>
          <w:lang w:val="en-US" w:eastAsia="zh-CN"/>
        </w:rPr>
        <w:t>的定向需求，提供有关法律信息，解答法律咨询、提供</w:t>
      </w:r>
      <w:r>
        <w:rPr>
          <w:rFonts w:hint="eastAsia"/>
          <w:lang w:val="en-US" w:eastAsia="zh-CN"/>
        </w:rPr>
        <w:t>处理</w:t>
      </w:r>
      <w:r>
        <w:rPr>
          <w:rFonts w:hint="default"/>
          <w:lang w:val="en-US" w:eastAsia="zh-CN"/>
        </w:rPr>
        <w:t xml:space="preserve">建议。 </w:t>
      </w:r>
    </w:p>
    <w:p w14:paraId="55A6DBFB">
      <w:pPr>
        <w:spacing w:line="360" w:lineRule="auto"/>
        <w:ind w:firstLine="420" w:firstLineChars="200"/>
        <w:rPr>
          <w:rFonts w:hint="default"/>
          <w:lang w:val="en-US" w:eastAsia="zh-CN"/>
        </w:rPr>
      </w:pPr>
      <w:r>
        <w:rPr>
          <w:rFonts w:hint="eastAsia"/>
          <w:lang w:val="en-US" w:eastAsia="zh-CN"/>
        </w:rPr>
        <w:t>（2）</w:t>
      </w:r>
      <w:r>
        <w:rPr>
          <w:rFonts w:hint="default"/>
          <w:lang w:val="en-US" w:eastAsia="zh-CN"/>
        </w:rPr>
        <w:t>就</w:t>
      </w:r>
      <w:r>
        <w:rPr>
          <w:rFonts w:hint="eastAsia"/>
          <w:lang w:val="en-US" w:eastAsia="zh-CN"/>
        </w:rPr>
        <w:t>采购人</w:t>
      </w:r>
      <w:r>
        <w:rPr>
          <w:rFonts w:hint="default"/>
          <w:lang w:val="en-US" w:eastAsia="zh-CN"/>
        </w:rPr>
        <w:t>有关的行为或活动，出具律师意见书或法律论证书、发律师函等。</w:t>
      </w:r>
    </w:p>
    <w:p w14:paraId="6D49AE5D">
      <w:pPr>
        <w:spacing w:line="360" w:lineRule="auto"/>
        <w:ind w:firstLine="420" w:firstLineChars="200"/>
        <w:rPr>
          <w:rFonts w:hint="default"/>
          <w:lang w:val="en-US" w:eastAsia="zh-CN"/>
        </w:rPr>
      </w:pPr>
      <w:r>
        <w:rPr>
          <w:rFonts w:hint="eastAsia"/>
          <w:lang w:val="en-US" w:eastAsia="zh-CN"/>
        </w:rPr>
        <w:t>（3）</w:t>
      </w:r>
      <w:r>
        <w:rPr>
          <w:rFonts w:hint="default"/>
          <w:lang w:val="en-US" w:eastAsia="zh-CN"/>
        </w:rPr>
        <w:t>协助梳理</w:t>
      </w:r>
      <w:r>
        <w:rPr>
          <w:rFonts w:hint="eastAsia"/>
          <w:lang w:val="en-US" w:eastAsia="zh-CN"/>
        </w:rPr>
        <w:t>采购人</w:t>
      </w:r>
      <w:r>
        <w:rPr>
          <w:rFonts w:hint="default"/>
          <w:lang w:val="en-US" w:eastAsia="zh-CN"/>
        </w:rPr>
        <w:t>常用合同种类，制定分类别的合同范本；对</w:t>
      </w:r>
      <w:r>
        <w:rPr>
          <w:rFonts w:hint="eastAsia"/>
          <w:lang w:val="en-US" w:eastAsia="zh-CN"/>
        </w:rPr>
        <w:t>采购人</w:t>
      </w:r>
      <w:r>
        <w:rPr>
          <w:rFonts w:hint="default"/>
          <w:lang w:val="en-US" w:eastAsia="zh-CN"/>
        </w:rPr>
        <w:t>常规业务合同进行审查，提供补充、修改意见，完善合同的有关条款和内容。</w:t>
      </w:r>
    </w:p>
    <w:p w14:paraId="3C70FFEA">
      <w:pPr>
        <w:spacing w:line="360" w:lineRule="auto"/>
        <w:ind w:firstLine="420" w:firstLineChars="200"/>
        <w:rPr>
          <w:rFonts w:hint="default"/>
          <w:lang w:val="en-US" w:eastAsia="zh-CN"/>
        </w:rPr>
      </w:pPr>
      <w:r>
        <w:rPr>
          <w:rFonts w:hint="eastAsia"/>
          <w:lang w:val="en-US" w:eastAsia="zh-CN"/>
        </w:rPr>
        <w:t>（4）</w:t>
      </w:r>
      <w:r>
        <w:rPr>
          <w:rFonts w:hint="default"/>
          <w:lang w:val="en-US" w:eastAsia="zh-CN"/>
        </w:rPr>
        <w:t>协助</w:t>
      </w:r>
      <w:r>
        <w:rPr>
          <w:rFonts w:hint="eastAsia"/>
          <w:lang w:val="en-US" w:eastAsia="zh-CN"/>
        </w:rPr>
        <w:t>采购人</w:t>
      </w:r>
      <w:r>
        <w:rPr>
          <w:rFonts w:hint="default"/>
          <w:lang w:val="en-US" w:eastAsia="zh-CN"/>
        </w:rPr>
        <w:t>起草各类规章制度，对</w:t>
      </w:r>
      <w:r>
        <w:rPr>
          <w:rFonts w:hint="eastAsia"/>
          <w:lang w:val="en-US" w:eastAsia="zh-CN"/>
        </w:rPr>
        <w:t>采购人</w:t>
      </w:r>
      <w:r>
        <w:rPr>
          <w:rFonts w:hint="default"/>
          <w:lang w:val="en-US" w:eastAsia="zh-CN"/>
        </w:rPr>
        <w:t>内部规章制度等法律文书做合规性审查，提供补充、修改意见，完善规范性文件的有关条款和内容。</w:t>
      </w:r>
    </w:p>
    <w:p w14:paraId="2EB5358D">
      <w:pPr>
        <w:spacing w:line="360" w:lineRule="auto"/>
        <w:ind w:firstLine="420" w:firstLineChars="200"/>
        <w:rPr>
          <w:rFonts w:hint="default"/>
          <w:lang w:val="en-US" w:eastAsia="zh-CN"/>
        </w:rPr>
      </w:pPr>
      <w:r>
        <w:rPr>
          <w:rFonts w:hint="eastAsia"/>
          <w:lang w:val="en-US" w:eastAsia="zh-CN"/>
        </w:rPr>
        <w:t>（5）</w:t>
      </w:r>
      <w:r>
        <w:rPr>
          <w:rFonts w:hint="default"/>
          <w:lang w:val="en-US" w:eastAsia="zh-CN"/>
        </w:rPr>
        <w:t>协助</w:t>
      </w:r>
      <w:r>
        <w:rPr>
          <w:rFonts w:hint="eastAsia"/>
          <w:lang w:val="en-US" w:eastAsia="zh-CN"/>
        </w:rPr>
        <w:t>采购人</w:t>
      </w:r>
      <w:r>
        <w:rPr>
          <w:rFonts w:hint="default"/>
          <w:lang w:val="en-US" w:eastAsia="zh-CN"/>
        </w:rPr>
        <w:t>完善有关医疗文书、告知书、家属签字格式等相关规范性格式条款。</w:t>
      </w:r>
    </w:p>
    <w:p w14:paraId="2587DFD4">
      <w:pPr>
        <w:spacing w:line="360" w:lineRule="auto"/>
        <w:ind w:firstLine="420" w:firstLineChars="200"/>
        <w:rPr>
          <w:rFonts w:hint="default"/>
          <w:lang w:val="en-US" w:eastAsia="zh-CN"/>
        </w:rPr>
      </w:pPr>
      <w:r>
        <w:rPr>
          <w:rFonts w:hint="eastAsia"/>
          <w:lang w:val="en-US" w:eastAsia="zh-CN"/>
        </w:rPr>
        <w:t>（6）</w:t>
      </w:r>
      <w:r>
        <w:rPr>
          <w:rFonts w:hint="default"/>
          <w:lang w:val="en-US" w:eastAsia="zh-CN"/>
        </w:rPr>
        <w:t>为</w:t>
      </w:r>
      <w:r>
        <w:rPr>
          <w:rFonts w:hint="eastAsia"/>
          <w:lang w:val="en-US" w:eastAsia="zh-CN"/>
        </w:rPr>
        <w:t>采购人</w:t>
      </w:r>
      <w:r>
        <w:rPr>
          <w:rFonts w:hint="default"/>
          <w:lang w:val="en-US" w:eastAsia="zh-CN"/>
        </w:rPr>
        <w:t>管理、</w:t>
      </w:r>
      <w:r>
        <w:rPr>
          <w:rFonts w:hint="eastAsia"/>
          <w:lang w:val="en-US" w:eastAsia="zh-CN"/>
        </w:rPr>
        <w:t>运营</w:t>
      </w:r>
      <w:r>
        <w:rPr>
          <w:rFonts w:hint="default"/>
          <w:lang w:val="en-US" w:eastAsia="zh-CN"/>
        </w:rPr>
        <w:t>方面的决策进行法律论证和法律风险评估，</w:t>
      </w:r>
      <w:r>
        <w:rPr>
          <w:rFonts w:hint="eastAsia"/>
          <w:lang w:val="en-US" w:eastAsia="zh-CN"/>
        </w:rPr>
        <w:t>提供</w:t>
      </w:r>
      <w:r>
        <w:rPr>
          <w:rFonts w:hint="default"/>
          <w:lang w:val="en-US" w:eastAsia="zh-CN"/>
        </w:rPr>
        <w:t>决策法律支持。</w:t>
      </w:r>
    </w:p>
    <w:p w14:paraId="72D11CCD">
      <w:pPr>
        <w:spacing w:line="360" w:lineRule="auto"/>
        <w:ind w:firstLine="420" w:firstLineChars="200"/>
        <w:rPr>
          <w:rFonts w:hint="default"/>
          <w:lang w:val="en-US" w:eastAsia="zh-CN"/>
        </w:rPr>
      </w:pPr>
      <w:r>
        <w:rPr>
          <w:rFonts w:hint="eastAsia"/>
          <w:lang w:val="en-US" w:eastAsia="zh-CN"/>
        </w:rPr>
        <w:t>（7）</w:t>
      </w:r>
      <w:r>
        <w:rPr>
          <w:rFonts w:hint="default"/>
          <w:lang w:val="en-US" w:eastAsia="zh-CN"/>
        </w:rPr>
        <w:t>应</w:t>
      </w:r>
      <w:r>
        <w:rPr>
          <w:rFonts w:hint="eastAsia"/>
          <w:lang w:val="en-US" w:eastAsia="zh-CN"/>
        </w:rPr>
        <w:t>采购人</w:t>
      </w:r>
      <w:r>
        <w:rPr>
          <w:rFonts w:hint="default"/>
          <w:lang w:val="en-US" w:eastAsia="zh-CN"/>
        </w:rPr>
        <w:t>要求，就</w:t>
      </w:r>
      <w:r>
        <w:rPr>
          <w:rFonts w:hint="eastAsia"/>
          <w:lang w:val="en-US" w:eastAsia="zh-CN"/>
        </w:rPr>
        <w:t>采购人</w:t>
      </w:r>
      <w:r>
        <w:rPr>
          <w:rFonts w:hint="default"/>
          <w:lang w:val="en-US" w:eastAsia="zh-CN"/>
        </w:rPr>
        <w:t>已有、面临或者可能发生的纠纷及应急处置事务，包括但不限于医疗、人事、经济等领域，进行法律论证、发表律师意见、提出解决方案。</w:t>
      </w:r>
    </w:p>
    <w:p w14:paraId="7DF7FF50">
      <w:pPr>
        <w:spacing w:line="360" w:lineRule="auto"/>
        <w:ind w:firstLine="420" w:firstLineChars="200"/>
        <w:rPr>
          <w:rFonts w:hint="default"/>
          <w:lang w:val="en-US" w:eastAsia="zh-CN"/>
        </w:rPr>
      </w:pPr>
      <w:r>
        <w:rPr>
          <w:rFonts w:hint="eastAsia"/>
          <w:lang w:val="en-US" w:eastAsia="zh-CN"/>
        </w:rPr>
        <w:t>（8）</w:t>
      </w:r>
      <w:r>
        <w:rPr>
          <w:rFonts w:hint="default"/>
          <w:lang w:val="en-US" w:eastAsia="zh-CN"/>
        </w:rPr>
        <w:t>应</w:t>
      </w:r>
      <w:r>
        <w:rPr>
          <w:rFonts w:hint="eastAsia"/>
          <w:lang w:val="en-US" w:eastAsia="zh-CN"/>
        </w:rPr>
        <w:t>采购人</w:t>
      </w:r>
      <w:r>
        <w:rPr>
          <w:rFonts w:hint="default"/>
          <w:lang w:val="en-US" w:eastAsia="zh-CN"/>
        </w:rPr>
        <w:t>要求，指派律师参与</w:t>
      </w:r>
      <w:r>
        <w:rPr>
          <w:rFonts w:hint="eastAsia"/>
          <w:lang w:val="en-US" w:eastAsia="zh-CN"/>
        </w:rPr>
        <w:t>采购人</w:t>
      </w:r>
      <w:r>
        <w:rPr>
          <w:rFonts w:hint="default"/>
          <w:lang w:val="en-US" w:eastAsia="zh-CN"/>
        </w:rPr>
        <w:t>磋商、谈判、伦理审查等重要会议以及重大项目的专家论证会，进行法律分析、论证，提出法律意见和建议。</w:t>
      </w:r>
    </w:p>
    <w:p w14:paraId="330CB3BC">
      <w:pPr>
        <w:spacing w:line="360" w:lineRule="auto"/>
        <w:ind w:firstLine="420" w:firstLineChars="200"/>
        <w:rPr>
          <w:rFonts w:hint="default"/>
          <w:highlight w:val="yellow"/>
          <w:lang w:val="en-US" w:eastAsia="zh-CN"/>
        </w:rPr>
      </w:pPr>
      <w:r>
        <w:rPr>
          <w:rFonts w:hint="eastAsia"/>
          <w:lang w:val="en-US" w:eastAsia="zh-CN"/>
        </w:rPr>
        <w:t>（9）</w:t>
      </w:r>
      <w:r>
        <w:rPr>
          <w:rFonts w:hint="default"/>
          <w:lang w:val="en-US" w:eastAsia="zh-CN"/>
        </w:rPr>
        <w:t>协助</w:t>
      </w:r>
      <w:r>
        <w:rPr>
          <w:rFonts w:hint="eastAsia"/>
          <w:lang w:val="en-US" w:eastAsia="zh-CN"/>
        </w:rPr>
        <w:t>采购人</w:t>
      </w:r>
      <w:r>
        <w:rPr>
          <w:rFonts w:hint="default"/>
          <w:lang w:val="en-US" w:eastAsia="zh-CN"/>
        </w:rPr>
        <w:t>开展内部的</w:t>
      </w:r>
      <w:r>
        <w:rPr>
          <w:rFonts w:hint="eastAsia"/>
          <w:lang w:val="en-US" w:eastAsia="zh-CN"/>
        </w:rPr>
        <w:t>法治</w:t>
      </w:r>
      <w:r>
        <w:rPr>
          <w:rFonts w:hint="default"/>
          <w:lang w:val="en-US" w:eastAsia="zh-CN"/>
        </w:rPr>
        <w:t>宣传教育，加强医务人员的守法意识及医疗风险防范意识。在</w:t>
      </w:r>
      <w:r>
        <w:rPr>
          <w:rFonts w:hint="eastAsia"/>
          <w:lang w:val="en-US" w:eastAsia="zh-CN"/>
        </w:rPr>
        <w:t>采购人</w:t>
      </w:r>
      <w:r>
        <w:rPr>
          <w:rFonts w:hint="default"/>
          <w:lang w:val="en-US" w:eastAsia="zh-CN"/>
        </w:rPr>
        <w:t>有关部门的统筹安排下，对</w:t>
      </w:r>
      <w:r>
        <w:rPr>
          <w:rFonts w:hint="eastAsia"/>
          <w:lang w:val="en-US" w:eastAsia="zh-CN"/>
        </w:rPr>
        <w:t>采购人</w:t>
      </w:r>
      <w:r>
        <w:rPr>
          <w:rFonts w:hint="default"/>
          <w:lang w:val="en-US" w:eastAsia="zh-CN"/>
        </w:rPr>
        <w:t>员工进行法律知识培训，每年4次，每次至少两小时，具体培训内容由甲乙双方协商确定。</w:t>
      </w:r>
    </w:p>
    <w:p w14:paraId="41BD8749">
      <w:pPr>
        <w:spacing w:line="360" w:lineRule="auto"/>
        <w:ind w:firstLine="420" w:firstLineChars="200"/>
        <w:rPr>
          <w:rFonts w:hint="default"/>
          <w:lang w:val="en-US" w:eastAsia="zh-CN"/>
        </w:rPr>
      </w:pPr>
      <w:r>
        <w:rPr>
          <w:rFonts w:hint="eastAsia"/>
          <w:lang w:val="en-US" w:eastAsia="zh-CN"/>
        </w:rPr>
        <w:t>（10）</w:t>
      </w:r>
      <w:r>
        <w:rPr>
          <w:rFonts w:hint="default"/>
          <w:lang w:val="en-US" w:eastAsia="zh-CN"/>
        </w:rPr>
        <w:t>不定期向</w:t>
      </w:r>
      <w:r>
        <w:rPr>
          <w:rFonts w:hint="eastAsia"/>
          <w:lang w:val="en-US" w:eastAsia="zh-CN"/>
        </w:rPr>
        <w:t>采购人</w:t>
      </w:r>
      <w:r>
        <w:rPr>
          <w:rFonts w:hint="default"/>
          <w:lang w:val="en-US" w:eastAsia="zh-CN"/>
        </w:rPr>
        <w:t>传递与</w:t>
      </w:r>
      <w:r>
        <w:rPr>
          <w:rFonts w:hint="eastAsia"/>
          <w:lang w:val="en-US" w:eastAsia="zh-CN"/>
        </w:rPr>
        <w:t>采购人</w:t>
      </w:r>
      <w:r>
        <w:rPr>
          <w:rFonts w:hint="default"/>
          <w:lang w:val="en-US" w:eastAsia="zh-CN"/>
        </w:rPr>
        <w:t>管理及业务相关的各种法律、政策信息。</w:t>
      </w:r>
    </w:p>
    <w:p w14:paraId="3E0664A0">
      <w:pPr>
        <w:spacing w:line="360" w:lineRule="auto"/>
        <w:ind w:firstLine="420" w:firstLineChars="200"/>
        <w:rPr>
          <w:rFonts w:hint="default"/>
          <w:lang w:val="en-US" w:eastAsia="zh-CN"/>
        </w:rPr>
      </w:pPr>
      <w:r>
        <w:rPr>
          <w:rFonts w:hint="eastAsia"/>
          <w:lang w:val="en-US" w:eastAsia="zh-CN"/>
        </w:rPr>
        <w:t>（11）</w:t>
      </w:r>
      <w:r>
        <w:rPr>
          <w:rFonts w:hint="default"/>
          <w:lang w:val="en-US" w:eastAsia="zh-CN"/>
        </w:rPr>
        <w:t>在医疗纠纷中，调查医患双方相关事实、收集相应证据；参与医患谈判、协商解决方案；代表</w:t>
      </w:r>
      <w:r>
        <w:rPr>
          <w:rFonts w:hint="eastAsia"/>
          <w:lang w:val="en-US" w:eastAsia="zh-CN"/>
        </w:rPr>
        <w:t>采购人</w:t>
      </w:r>
      <w:r>
        <w:rPr>
          <w:rFonts w:hint="default"/>
          <w:lang w:val="en-US" w:eastAsia="zh-CN"/>
        </w:rPr>
        <w:t>申请医疗事故、医疗过错鉴定等并参加鉴定会。</w:t>
      </w:r>
    </w:p>
    <w:p w14:paraId="40A88951">
      <w:pPr>
        <w:spacing w:line="360" w:lineRule="auto"/>
        <w:ind w:firstLine="420" w:firstLineChars="200"/>
        <w:rPr>
          <w:rFonts w:hint="default"/>
          <w:lang w:val="en-US" w:eastAsia="zh-CN"/>
        </w:rPr>
      </w:pPr>
      <w:r>
        <w:rPr>
          <w:rFonts w:hint="eastAsia"/>
          <w:lang w:val="en-US" w:eastAsia="zh-CN"/>
        </w:rPr>
        <w:t>（12）采购人</w:t>
      </w:r>
      <w:r>
        <w:rPr>
          <w:rFonts w:hint="default"/>
          <w:lang w:val="en-US" w:eastAsia="zh-CN"/>
        </w:rPr>
        <w:t>与债权债务单位</w:t>
      </w:r>
      <w:r>
        <w:rPr>
          <w:rFonts w:hint="eastAsia"/>
          <w:lang w:val="en-US" w:eastAsia="zh-CN"/>
        </w:rPr>
        <w:t>、</w:t>
      </w:r>
      <w:r>
        <w:rPr>
          <w:rFonts w:hint="default"/>
          <w:lang w:val="en-US" w:eastAsia="zh-CN"/>
        </w:rPr>
        <w:t>其他有经济往来或其他关系的单位或个人发生争议时协助</w:t>
      </w:r>
      <w:r>
        <w:rPr>
          <w:rFonts w:hint="eastAsia"/>
          <w:lang w:val="en-US" w:eastAsia="zh-CN"/>
        </w:rPr>
        <w:t>采购人</w:t>
      </w:r>
      <w:r>
        <w:rPr>
          <w:rFonts w:hint="default"/>
          <w:lang w:val="en-US" w:eastAsia="zh-CN"/>
        </w:rPr>
        <w:t>与他方进行必要的交涉或谈判，根据需要代表</w:t>
      </w:r>
      <w:r>
        <w:rPr>
          <w:rFonts w:hint="eastAsia"/>
          <w:lang w:val="en-US" w:eastAsia="zh-CN"/>
        </w:rPr>
        <w:t>采购人</w:t>
      </w:r>
      <w:r>
        <w:rPr>
          <w:rFonts w:hint="default"/>
          <w:lang w:val="en-US" w:eastAsia="zh-CN"/>
        </w:rPr>
        <w:t>向有关单位和个人出具《律师函》，以执业律师身份正告他方履行法定或约定义务、承担法律责任或者给提出要求的他方予恰当的合法的回应</w:t>
      </w:r>
      <w:r>
        <w:rPr>
          <w:rFonts w:hint="eastAsia"/>
          <w:lang w:val="en-US" w:eastAsia="zh-CN"/>
        </w:rPr>
        <w:t>。</w:t>
      </w:r>
    </w:p>
    <w:p w14:paraId="3050B667">
      <w:pPr>
        <w:spacing w:line="360" w:lineRule="auto"/>
        <w:ind w:firstLine="420" w:firstLineChars="200"/>
        <w:rPr>
          <w:rFonts w:hint="default"/>
          <w:highlight w:val="yellow"/>
          <w:lang w:val="en-US" w:eastAsia="zh-CN"/>
        </w:rPr>
      </w:pPr>
      <w:r>
        <w:rPr>
          <w:rFonts w:hint="eastAsia"/>
          <w:highlight w:val="yellow"/>
          <w:lang w:val="en-US" w:eastAsia="zh-CN"/>
        </w:rPr>
        <w:t>（13）</w:t>
      </w:r>
      <w:r>
        <w:rPr>
          <w:rFonts w:hint="eastAsia" w:ascii="宋体" w:hAnsi="宋体" w:eastAsia="宋体" w:cs="宋体"/>
          <w:b/>
          <w:bCs/>
          <w:sz w:val="24"/>
          <w:szCs w:val="24"/>
          <w:highlight w:val="yellow"/>
        </w:rPr>
        <w:t>★</w:t>
      </w:r>
      <w:r>
        <w:rPr>
          <w:rFonts w:hint="default"/>
          <w:highlight w:val="yellow"/>
          <w:lang w:val="en-US" w:eastAsia="zh-CN"/>
        </w:rPr>
        <w:t>根据</w:t>
      </w:r>
      <w:r>
        <w:rPr>
          <w:rFonts w:hint="eastAsia"/>
          <w:highlight w:val="yellow"/>
          <w:lang w:val="en-US" w:eastAsia="zh-CN"/>
        </w:rPr>
        <w:t>采购人</w:t>
      </w:r>
      <w:r>
        <w:rPr>
          <w:rFonts w:hint="default"/>
          <w:highlight w:val="yellow"/>
          <w:lang w:val="en-US" w:eastAsia="zh-CN"/>
        </w:rPr>
        <w:t>工作需要安排团队律师</w:t>
      </w:r>
      <w:r>
        <w:rPr>
          <w:rFonts w:hint="eastAsia"/>
          <w:highlight w:val="yellow"/>
          <w:lang w:val="en-US" w:eastAsia="zh-CN"/>
        </w:rPr>
        <w:t>来院现场服务</w:t>
      </w:r>
      <w:r>
        <w:rPr>
          <w:rFonts w:hint="default"/>
          <w:highlight w:val="yellow"/>
          <w:lang w:val="en-US" w:eastAsia="zh-CN"/>
        </w:rPr>
        <w:t>，</w:t>
      </w:r>
      <w:r>
        <w:rPr>
          <w:rFonts w:hint="eastAsia"/>
          <w:highlight w:val="yellow"/>
          <w:lang w:val="en-US" w:eastAsia="zh-CN"/>
        </w:rPr>
        <w:t>每月不少于2次，包括但不限于常规坐班咨询答疑、具体事务协商与处理、提供</w:t>
      </w:r>
      <w:r>
        <w:rPr>
          <w:rFonts w:hint="default"/>
          <w:highlight w:val="yellow"/>
          <w:lang w:val="en-US" w:eastAsia="zh-CN"/>
        </w:rPr>
        <w:t>法律意见和建议</w:t>
      </w:r>
      <w:r>
        <w:rPr>
          <w:rFonts w:hint="eastAsia"/>
          <w:highlight w:val="yellow"/>
          <w:lang w:val="en-US" w:eastAsia="zh-CN"/>
        </w:rPr>
        <w:t>等，来院服务人员应</w:t>
      </w:r>
      <w:r>
        <w:rPr>
          <w:rFonts w:hint="default"/>
          <w:highlight w:val="yellow"/>
          <w:lang w:val="en-US" w:eastAsia="zh-CN"/>
        </w:rPr>
        <w:t>为执业2年以上执业律师。</w:t>
      </w:r>
    </w:p>
    <w:p w14:paraId="4C794E26">
      <w:pPr>
        <w:spacing w:line="360" w:lineRule="auto"/>
        <w:ind w:firstLine="420" w:firstLineChars="200"/>
        <w:rPr>
          <w:rFonts w:hint="eastAsia"/>
          <w:lang w:val="en-US" w:eastAsia="zh-CN"/>
        </w:rPr>
      </w:pPr>
      <w:r>
        <w:rPr>
          <w:rFonts w:hint="eastAsia"/>
          <w:lang w:val="en-US" w:eastAsia="zh-CN"/>
        </w:rPr>
        <w:t>（14）</w:t>
      </w:r>
      <w:r>
        <w:rPr>
          <w:rFonts w:hint="eastAsia" w:ascii="宋体" w:hAnsi="宋体" w:eastAsia="宋体" w:cs="宋体"/>
          <w:b/>
          <w:bCs/>
          <w:sz w:val="24"/>
          <w:szCs w:val="24"/>
        </w:rPr>
        <w:t>▲</w:t>
      </w:r>
      <w:r>
        <w:rPr>
          <w:rFonts w:hint="default"/>
          <w:lang w:val="en-US" w:eastAsia="zh-CN"/>
        </w:rPr>
        <w:t>经另行委托，代理</w:t>
      </w:r>
      <w:r>
        <w:rPr>
          <w:rFonts w:hint="eastAsia"/>
          <w:lang w:val="en-US" w:eastAsia="zh-CN"/>
        </w:rPr>
        <w:t>采购人的</w:t>
      </w:r>
      <w:r>
        <w:rPr>
          <w:rFonts w:hint="default"/>
          <w:lang w:val="en-US" w:eastAsia="zh-CN"/>
        </w:rPr>
        <w:t>各类诉讼、仲裁、行政复议案件</w:t>
      </w:r>
      <w:r>
        <w:rPr>
          <w:rFonts w:hint="eastAsia"/>
          <w:lang w:val="en-US" w:eastAsia="zh-CN"/>
        </w:rPr>
        <w:t>。采购人可能需要另行委托的案件一般包括医疗纠纷类、人事纠纷类、经济合同类等。</w:t>
      </w:r>
      <w:r>
        <w:rPr>
          <w:rFonts w:hint="eastAsia"/>
          <w:b/>
          <w:bCs/>
          <w:lang w:val="en-US" w:eastAsia="zh-CN"/>
        </w:rPr>
        <w:t>（</w:t>
      </w:r>
      <w:r>
        <w:rPr>
          <w:rFonts w:hint="eastAsia"/>
          <w:b/>
          <w:bCs/>
          <w:u w:val="single"/>
          <w:lang w:val="en-US" w:eastAsia="zh-CN"/>
        </w:rPr>
        <w:t>投标人在应标时需提供《另行委托案件的服务收费方案》并加盖公章，投标人可在政府指导收费标准或政策法规允许的前提下，针对不同类型案件提供折扣优惠、案件打包收费、单个案件收费上限、风险代理等多种形式收费标准</w:t>
      </w:r>
      <w:r>
        <w:rPr>
          <w:rFonts w:hint="eastAsia"/>
          <w:b/>
          <w:bCs/>
          <w:lang w:val="en-US" w:eastAsia="zh-CN"/>
        </w:rPr>
        <w:t>）</w:t>
      </w:r>
    </w:p>
    <w:p w14:paraId="64D7BB60">
      <w:pPr>
        <w:spacing w:line="360" w:lineRule="auto"/>
        <w:ind w:firstLine="420" w:firstLineChars="200"/>
        <w:rPr>
          <w:rFonts w:hint="eastAsia"/>
          <w:lang w:val="en-US" w:eastAsia="zh-CN"/>
        </w:rPr>
      </w:pPr>
      <w:r>
        <w:rPr>
          <w:rFonts w:hint="eastAsia"/>
          <w:lang w:val="en-US" w:eastAsia="zh-CN"/>
        </w:rPr>
        <w:t>（15）</w:t>
      </w:r>
      <w:r>
        <w:rPr>
          <w:rFonts w:hint="eastAsia" w:ascii="宋体" w:hAnsi="宋体" w:eastAsia="宋体" w:cs="宋体"/>
          <w:b/>
          <w:bCs/>
          <w:sz w:val="24"/>
          <w:szCs w:val="24"/>
        </w:rPr>
        <w:t>▲</w:t>
      </w:r>
      <w:r>
        <w:rPr>
          <w:rFonts w:hint="eastAsia"/>
          <w:lang w:val="en-US" w:eastAsia="zh-CN"/>
        </w:rPr>
        <w:t>处理经双方协商认定为须另行委托的重大项目的专项法律事务，如：重大项目的策划、决策论证、参与对外谈判、合同起草、申办手续、专项调查、见证法律行为、出具法律意见及建议等。</w:t>
      </w:r>
      <w:r>
        <w:rPr>
          <w:rFonts w:hint="eastAsia"/>
          <w:u w:val="single"/>
          <w:lang w:val="en-US" w:eastAsia="zh-CN"/>
        </w:rPr>
        <w:t>投标人在应标时需提供《另行委托案件的服务收费方案》并加盖公章。</w:t>
      </w:r>
    </w:p>
    <w:p w14:paraId="45030B96">
      <w:pPr>
        <w:spacing w:line="360" w:lineRule="auto"/>
        <w:ind w:firstLine="420" w:firstLineChars="200"/>
        <w:rPr>
          <w:rFonts w:hint="eastAsia"/>
          <w:highlight w:val="none"/>
          <w:lang w:val="en-US" w:eastAsia="zh-CN"/>
        </w:rPr>
      </w:pPr>
      <w:r>
        <w:rPr>
          <w:rFonts w:hint="eastAsia"/>
          <w:highlight w:val="none"/>
          <w:lang w:val="en-US" w:eastAsia="zh-CN"/>
        </w:rPr>
        <w:t>（16）采购人需指派至少3名执业律师担任采购人的伦理委员会成员并完成相应伦理审查任务，律师需参与相关伦理培训，并取得伦理培训证。采购人另行向参与伦理委员会工作的律师支付专家费。</w:t>
      </w:r>
    </w:p>
    <w:p w14:paraId="795A66FB">
      <w:pPr>
        <w:spacing w:line="360" w:lineRule="auto"/>
        <w:ind w:firstLine="420" w:firstLineChars="200"/>
        <w:rPr>
          <w:rFonts w:hint="eastAsia"/>
          <w:lang w:val="en-US" w:eastAsia="zh-CN"/>
        </w:rPr>
      </w:pPr>
      <w:r>
        <w:rPr>
          <w:rFonts w:hint="eastAsia"/>
          <w:lang w:val="en-US" w:eastAsia="zh-CN"/>
        </w:rPr>
        <w:t>（17）其他相关的法律顾问事宜。</w:t>
      </w:r>
    </w:p>
    <w:p w14:paraId="69ECD5FC">
      <w:pPr>
        <w:spacing w:line="360" w:lineRule="auto"/>
        <w:ind w:firstLine="420" w:firstLineChars="200"/>
        <w:rPr>
          <w:rFonts w:hint="default"/>
          <w:lang w:val="en-US" w:eastAsia="zh-CN"/>
        </w:rPr>
      </w:pPr>
      <w:r>
        <w:rPr>
          <w:rFonts w:hint="eastAsia"/>
          <w:lang w:val="en-US" w:eastAsia="zh-CN"/>
        </w:rPr>
        <w:t>2.</w:t>
      </w:r>
      <w:r>
        <w:rPr>
          <w:rFonts w:hint="eastAsia" w:ascii="宋体" w:hAnsi="宋体" w:eastAsia="宋体" w:cs="宋体"/>
          <w:b/>
          <w:bCs/>
          <w:sz w:val="24"/>
          <w:szCs w:val="24"/>
        </w:rPr>
        <w:t>▲</w:t>
      </w:r>
      <w:r>
        <w:rPr>
          <w:rFonts w:hint="eastAsia"/>
          <w:lang w:val="en-US" w:eastAsia="zh-CN"/>
        </w:rPr>
        <w:t>提供的服务应高效、质优，响应要求</w:t>
      </w:r>
      <w:r>
        <w:rPr>
          <w:rFonts w:hint="default"/>
          <w:lang w:val="en-US" w:eastAsia="zh-CN"/>
        </w:rPr>
        <w:t>：</w:t>
      </w:r>
    </w:p>
    <w:p w14:paraId="71C3CAFB">
      <w:pPr>
        <w:spacing w:line="360" w:lineRule="auto"/>
        <w:ind w:firstLine="420" w:firstLineChars="200"/>
        <w:rPr>
          <w:rFonts w:hint="default"/>
          <w:lang w:val="en-US" w:eastAsia="zh-CN"/>
        </w:rPr>
      </w:pPr>
      <w:r>
        <w:rPr>
          <w:rFonts w:hint="eastAsia"/>
          <w:lang w:val="en-US" w:eastAsia="zh-CN"/>
        </w:rPr>
        <w:t>（1）口头或微信咨询：一般的咨询即时答复；不能即时答复的须最迟在12小时以内答复</w:t>
      </w:r>
      <w:r>
        <w:rPr>
          <w:rFonts w:hint="default"/>
          <w:lang w:val="en-US" w:eastAsia="zh-CN"/>
        </w:rPr>
        <w:t xml:space="preserve">。 </w:t>
      </w:r>
    </w:p>
    <w:p w14:paraId="267E8542">
      <w:pPr>
        <w:spacing w:line="360" w:lineRule="auto"/>
        <w:ind w:firstLine="420" w:firstLineChars="200"/>
        <w:rPr>
          <w:rFonts w:hint="default"/>
          <w:lang w:val="en-US" w:eastAsia="zh-CN"/>
        </w:rPr>
      </w:pPr>
      <w:r>
        <w:rPr>
          <w:rFonts w:hint="eastAsia"/>
          <w:lang w:val="en-US" w:eastAsia="zh-CN"/>
        </w:rPr>
        <w:t>（2）书面或邮件咨询：接采购人通知后2个工作日以内答复</w:t>
      </w:r>
      <w:r>
        <w:rPr>
          <w:rFonts w:hint="default"/>
          <w:lang w:val="en-US" w:eastAsia="zh-CN"/>
        </w:rPr>
        <w:t>。</w:t>
      </w:r>
    </w:p>
    <w:p w14:paraId="726C7225">
      <w:pPr>
        <w:spacing w:line="360" w:lineRule="auto"/>
        <w:ind w:firstLine="420" w:firstLineChars="200"/>
        <w:rPr>
          <w:rFonts w:hint="default"/>
          <w:lang w:val="en-US" w:eastAsia="zh-CN"/>
        </w:rPr>
      </w:pPr>
      <w:r>
        <w:rPr>
          <w:rFonts w:hint="eastAsia"/>
          <w:lang w:val="en-US" w:eastAsia="zh-CN"/>
        </w:rPr>
        <w:t>（3）文书审订：接采购人通知后3个工作日以内完成</w:t>
      </w:r>
      <w:r>
        <w:rPr>
          <w:rFonts w:hint="default"/>
          <w:lang w:val="en-US" w:eastAsia="zh-CN"/>
        </w:rPr>
        <w:t>。</w:t>
      </w:r>
    </w:p>
    <w:p w14:paraId="06C33522">
      <w:pPr>
        <w:spacing w:line="360" w:lineRule="auto"/>
        <w:ind w:firstLine="420" w:firstLineChars="200"/>
        <w:rPr>
          <w:rFonts w:hint="default"/>
          <w:lang w:val="en-US" w:eastAsia="zh-CN"/>
        </w:rPr>
      </w:pPr>
      <w:r>
        <w:rPr>
          <w:rFonts w:hint="eastAsia"/>
          <w:lang w:val="en-US" w:eastAsia="zh-CN"/>
        </w:rPr>
        <w:t>（4）出具律师函：接采购人通知后2个工作日以内完成</w:t>
      </w:r>
      <w:r>
        <w:rPr>
          <w:rFonts w:hint="default"/>
          <w:lang w:val="en-US" w:eastAsia="zh-CN"/>
        </w:rPr>
        <w:t>。</w:t>
      </w:r>
    </w:p>
    <w:p w14:paraId="187C8B6C">
      <w:pPr>
        <w:spacing w:line="360" w:lineRule="auto"/>
        <w:ind w:firstLine="420" w:firstLineChars="200"/>
        <w:rPr>
          <w:rFonts w:hint="eastAsia" w:cstheme="minorBidi"/>
          <w:spacing w:val="0"/>
          <w:kern w:val="2"/>
          <w:sz w:val="21"/>
          <w:szCs w:val="24"/>
          <w:lang w:val="en-US" w:eastAsia="zh-CN" w:bidi="ar-SA"/>
        </w:rPr>
      </w:pPr>
      <w:r>
        <w:rPr>
          <w:rFonts w:hint="eastAsia"/>
          <w:lang w:val="en-US" w:eastAsia="zh-CN"/>
        </w:rPr>
        <w:t>（5）</w:t>
      </w:r>
      <w:r>
        <w:rPr>
          <w:rFonts w:hint="default" w:asciiTheme="minorHAnsi" w:hAnsiTheme="minorHAnsi" w:eastAsiaTheme="minorEastAsia" w:cstheme="minorBidi"/>
          <w:spacing w:val="0"/>
          <w:kern w:val="2"/>
          <w:sz w:val="21"/>
          <w:szCs w:val="24"/>
          <w:lang w:val="en-US" w:eastAsia="zh-CN" w:bidi="ar-SA"/>
        </w:rPr>
        <w:t>律师出席会议：采购人提前</w:t>
      </w:r>
      <w:r>
        <w:rPr>
          <w:rFonts w:hint="eastAsia" w:cstheme="minorBidi"/>
          <w:spacing w:val="0"/>
          <w:kern w:val="2"/>
          <w:sz w:val="21"/>
          <w:szCs w:val="24"/>
          <w:lang w:val="en-US" w:eastAsia="zh-CN" w:bidi="ar-SA"/>
        </w:rPr>
        <w:t>2</w:t>
      </w:r>
      <w:r>
        <w:rPr>
          <w:rFonts w:hint="default" w:asciiTheme="minorHAnsi" w:hAnsiTheme="minorHAnsi" w:eastAsiaTheme="minorEastAsia" w:cstheme="minorBidi"/>
          <w:spacing w:val="0"/>
          <w:kern w:val="2"/>
          <w:sz w:val="21"/>
          <w:szCs w:val="24"/>
          <w:lang w:val="en-US" w:eastAsia="zh-CN" w:bidi="ar-SA"/>
        </w:rPr>
        <w:t>日通知</w:t>
      </w:r>
      <w:r>
        <w:rPr>
          <w:rFonts w:hint="eastAsia" w:cstheme="minorBidi"/>
          <w:spacing w:val="0"/>
          <w:kern w:val="2"/>
          <w:sz w:val="21"/>
          <w:szCs w:val="24"/>
          <w:lang w:val="en-US" w:eastAsia="zh-CN" w:bidi="ar-SA"/>
        </w:rPr>
        <w:t>。</w:t>
      </w:r>
    </w:p>
    <w:p w14:paraId="172A5C13">
      <w:pPr>
        <w:spacing w:line="360" w:lineRule="auto"/>
        <w:ind w:firstLine="420" w:firstLineChars="200"/>
        <w:rPr>
          <w:rFonts w:hint="eastAsia" w:cstheme="minorBidi"/>
          <w:spacing w:val="0"/>
          <w:kern w:val="2"/>
          <w:sz w:val="21"/>
          <w:szCs w:val="24"/>
          <w:lang w:val="en-US" w:eastAsia="zh-CN" w:bidi="ar-SA"/>
        </w:rPr>
      </w:pPr>
      <w:r>
        <w:rPr>
          <w:rFonts w:hint="eastAsia" w:cstheme="minorBidi"/>
          <w:spacing w:val="0"/>
          <w:kern w:val="2"/>
          <w:sz w:val="21"/>
          <w:szCs w:val="24"/>
          <w:lang w:val="en-US" w:eastAsia="zh-CN" w:bidi="ar-SA"/>
        </w:rPr>
        <w:t>（6）专题法律培训：采购人提前5日通知。</w:t>
      </w:r>
    </w:p>
    <w:p w14:paraId="0F7333FD">
      <w:pPr>
        <w:spacing w:line="360" w:lineRule="auto"/>
        <w:ind w:firstLine="420" w:firstLineChars="200"/>
        <w:rPr>
          <w:rFonts w:hint="eastAsia" w:cstheme="minorBidi"/>
          <w:spacing w:val="0"/>
          <w:kern w:val="2"/>
          <w:sz w:val="21"/>
          <w:szCs w:val="24"/>
          <w:lang w:val="en-US" w:eastAsia="zh-CN" w:bidi="ar-SA"/>
        </w:rPr>
      </w:pPr>
      <w:r>
        <w:rPr>
          <w:rFonts w:hint="eastAsia" w:cstheme="minorBidi"/>
          <w:spacing w:val="0"/>
          <w:kern w:val="2"/>
          <w:sz w:val="21"/>
          <w:szCs w:val="24"/>
          <w:highlight w:val="yellow"/>
          <w:lang w:val="en-US" w:eastAsia="zh-CN" w:bidi="ar-SA"/>
        </w:rPr>
        <w:t>3.</w:t>
      </w:r>
      <w:r>
        <w:rPr>
          <w:rFonts w:hint="eastAsia" w:ascii="宋体" w:hAnsi="宋体" w:eastAsia="宋体" w:cs="宋体"/>
          <w:b/>
          <w:bCs/>
          <w:sz w:val="24"/>
          <w:szCs w:val="24"/>
          <w:highlight w:val="yellow"/>
        </w:rPr>
        <w:t>★</w:t>
      </w:r>
      <w:r>
        <w:rPr>
          <w:rFonts w:hint="eastAsia" w:cstheme="minorBidi"/>
          <w:spacing w:val="0"/>
          <w:kern w:val="2"/>
          <w:sz w:val="21"/>
          <w:szCs w:val="24"/>
          <w:highlight w:val="yellow"/>
          <w:lang w:val="en-US" w:eastAsia="zh-CN" w:bidi="ar-SA"/>
        </w:rPr>
        <w:t>紧急咨询（含口头及书面）：接到采购人通知起3小时以内答复，若该事项的办理时限小于3小时的，应在办理时限内答复</w:t>
      </w:r>
      <w:r>
        <w:rPr>
          <w:rFonts w:hint="eastAsia" w:cstheme="minorBidi"/>
          <w:spacing w:val="0"/>
          <w:kern w:val="2"/>
          <w:sz w:val="21"/>
          <w:szCs w:val="24"/>
          <w:lang w:val="en-US" w:eastAsia="zh-CN" w:bidi="ar-SA"/>
        </w:rPr>
        <w:t>。</w:t>
      </w:r>
    </w:p>
    <w:p w14:paraId="7BBEBE23">
      <w:pPr>
        <w:numPr>
          <w:ilvl w:val="0"/>
          <w:numId w:val="0"/>
        </w:numPr>
        <w:spacing w:line="360" w:lineRule="auto"/>
        <w:ind w:firstLine="420" w:firstLineChars="200"/>
        <w:rPr>
          <w:rFonts w:hint="eastAsia" w:asciiTheme="minorEastAsia" w:hAnsiTheme="minorEastAsia" w:cstheme="minorEastAsia"/>
          <w:sz w:val="24"/>
        </w:rPr>
      </w:pPr>
      <w:r>
        <w:rPr>
          <w:rFonts w:hint="eastAsia" w:cstheme="minorBidi"/>
          <w:spacing w:val="0"/>
          <w:kern w:val="2"/>
          <w:sz w:val="21"/>
          <w:szCs w:val="24"/>
          <w:highlight w:val="yellow"/>
          <w:lang w:val="en-US" w:eastAsia="zh-CN" w:bidi="ar-SA"/>
        </w:rPr>
        <w:t>4.</w:t>
      </w:r>
      <w:r>
        <w:rPr>
          <w:rFonts w:hint="eastAsia" w:ascii="宋体" w:hAnsi="宋体" w:eastAsia="宋体" w:cs="宋体"/>
          <w:b/>
          <w:bCs/>
          <w:sz w:val="24"/>
          <w:szCs w:val="24"/>
          <w:highlight w:val="yellow"/>
        </w:rPr>
        <w:t>★</w:t>
      </w:r>
      <w:r>
        <w:rPr>
          <w:rFonts w:hint="eastAsia" w:cstheme="minorBidi"/>
          <w:spacing w:val="0"/>
          <w:kern w:val="2"/>
          <w:sz w:val="21"/>
          <w:szCs w:val="24"/>
          <w:highlight w:val="yellow"/>
          <w:lang w:val="en-US" w:eastAsia="zh-CN" w:bidi="ar-SA"/>
        </w:rPr>
        <w:t>紧急现场服务：接到采购人紧急来院或现场服务通知，12小时以内到达现场，每年紧急来院服务次数不少于12次</w:t>
      </w:r>
      <w:r>
        <w:rPr>
          <w:rFonts w:hint="eastAsia" w:cstheme="minorBidi"/>
          <w:spacing w:val="0"/>
          <w:kern w:val="2"/>
          <w:sz w:val="21"/>
          <w:szCs w:val="24"/>
          <w:lang w:val="en-US" w:eastAsia="zh-CN" w:bidi="ar-SA"/>
        </w:rPr>
        <w:t>。</w:t>
      </w:r>
    </w:p>
    <w:p w14:paraId="635F717B">
      <w:pPr>
        <w:numPr>
          <w:ilvl w:val="0"/>
          <w:numId w:val="7"/>
        </w:numPr>
        <w:adjustRightInd w:val="0"/>
        <w:snapToGrid w:val="0"/>
        <w:spacing w:line="400" w:lineRule="atLeast"/>
        <w:rPr>
          <w:rFonts w:eastAsia="宋体"/>
          <w:b/>
          <w:bCs/>
          <w:sz w:val="24"/>
        </w:rPr>
      </w:pPr>
      <w:r>
        <w:rPr>
          <w:rFonts w:hint="eastAsia" w:ascii="宋体" w:hAnsi="宋体" w:eastAsia="宋体" w:cs="宋体"/>
          <w:b/>
          <w:bCs/>
          <w:sz w:val="24"/>
          <w:szCs w:val="24"/>
          <w:highlight w:val="yellow"/>
        </w:rPr>
        <w:t>★</w:t>
      </w:r>
      <w:r>
        <w:rPr>
          <w:rFonts w:hint="eastAsia" w:eastAsia="宋体"/>
          <w:b/>
          <w:bCs/>
          <w:sz w:val="24"/>
          <w:highlight w:val="yellow"/>
          <w:lang w:val="en-US" w:eastAsia="zh-CN"/>
        </w:rPr>
        <w:t>人员</w:t>
      </w:r>
      <w:r>
        <w:rPr>
          <w:rFonts w:hint="eastAsia" w:eastAsia="宋体"/>
          <w:b/>
          <w:bCs/>
          <w:sz w:val="24"/>
          <w:highlight w:val="yellow"/>
        </w:rPr>
        <w:t>要求</w:t>
      </w:r>
    </w:p>
    <w:p w14:paraId="683DD86B">
      <w:pPr>
        <w:spacing w:line="360" w:lineRule="auto"/>
        <w:ind w:firstLine="420" w:firstLineChars="200"/>
        <w:rPr>
          <w:rFonts w:hint="eastAsia"/>
          <w:lang w:val="en-US" w:eastAsia="zh-CN"/>
        </w:rPr>
      </w:pPr>
      <w:r>
        <w:rPr>
          <w:rFonts w:hint="eastAsia"/>
          <w:lang w:val="en-US" w:eastAsia="zh-CN"/>
        </w:rPr>
        <w:t>1.投标人为本项目配备的人员均需具备律师执业资格证，且为专职律师。须提供律师执业证书、律所出具的专职证明及律师事务为其购买的近三个月的社保记录的扫描件，加盖供应商公章。</w:t>
      </w:r>
    </w:p>
    <w:p w14:paraId="59C9BF63">
      <w:pPr>
        <w:spacing w:line="360" w:lineRule="auto"/>
        <w:ind w:firstLine="420" w:firstLineChars="200"/>
        <w:rPr>
          <w:rFonts w:hint="eastAsia"/>
          <w:lang w:val="en-US" w:eastAsia="zh-CN"/>
        </w:rPr>
      </w:pPr>
      <w:r>
        <w:rPr>
          <w:rFonts w:hint="eastAsia"/>
          <w:lang w:val="en-US" w:eastAsia="zh-CN"/>
        </w:rPr>
        <w:t>2.投标人为本项目配备的项目负责人或核心成员具有医疗卫生专业背景或从事医疗领域经历。须提供项目负责人或核心成员的医学相关学历证书、职称证书扫描件或曾在医疗机构工作的证明、或社保记录或劳动合同扫描件加盖供应商公章。</w:t>
      </w:r>
    </w:p>
    <w:p w14:paraId="3C713B86">
      <w:pPr>
        <w:spacing w:line="360" w:lineRule="auto"/>
        <w:ind w:firstLine="420" w:firstLineChars="200"/>
        <w:rPr>
          <w:rFonts w:hint="eastAsia"/>
          <w:lang w:val="en-US" w:eastAsia="zh-CN"/>
        </w:rPr>
      </w:pPr>
      <w:r>
        <w:rPr>
          <w:rFonts w:hint="eastAsia"/>
          <w:lang w:val="en-US" w:eastAsia="zh-CN"/>
        </w:rPr>
        <w:t>3.投标人为本项目配备的人员须具有为医疗卫生机构处理纠纷的经验，或为医疗机构、卫生健康相关政府机构等提供法律顾问服务的经验。</w:t>
      </w:r>
    </w:p>
    <w:p w14:paraId="79E76E6D">
      <w:pPr>
        <w:spacing w:line="360" w:lineRule="auto"/>
        <w:ind w:firstLine="420" w:firstLineChars="200"/>
        <w:rPr>
          <w:rFonts w:hint="eastAsia"/>
          <w:lang w:val="en-US" w:eastAsia="zh-CN"/>
        </w:rPr>
      </w:pPr>
      <w:r>
        <w:rPr>
          <w:rFonts w:hint="eastAsia"/>
          <w:lang w:val="en-US" w:eastAsia="zh-CN"/>
        </w:rPr>
        <w:t>4.投标人为本项目配备的人员须熟悉医疗行业相关规章制度、政策、行业惯例等。</w:t>
      </w:r>
    </w:p>
    <w:p w14:paraId="34B99BD3">
      <w:pPr>
        <w:pStyle w:val="33"/>
        <w:ind w:firstLine="420" w:firstLineChars="200"/>
        <w:rPr>
          <w:rFonts w:eastAsia="宋体"/>
          <w:b/>
          <w:bCs/>
          <w:sz w:val="24"/>
        </w:rPr>
      </w:pPr>
      <w:r>
        <w:rPr>
          <w:rFonts w:hint="eastAsia" w:asciiTheme="minorHAnsi" w:hAnsiTheme="minorHAnsi" w:cstheme="minorBidi"/>
          <w:spacing w:val="0"/>
          <w:kern w:val="2"/>
          <w:sz w:val="21"/>
          <w:szCs w:val="24"/>
          <w:lang w:val="en-US" w:eastAsia="zh-CN" w:bidi="ar-SA"/>
        </w:rPr>
        <w:t>（</w:t>
      </w:r>
      <w:r>
        <w:rPr>
          <w:rFonts w:hint="eastAsia" w:asciiTheme="minorHAnsi" w:hAnsiTheme="minorHAnsi" w:eastAsiaTheme="minorEastAsia" w:cstheme="minorBidi"/>
          <w:spacing w:val="0"/>
          <w:kern w:val="2"/>
          <w:sz w:val="21"/>
          <w:szCs w:val="24"/>
          <w:lang w:val="en-US" w:eastAsia="zh-CN" w:bidi="ar-SA"/>
        </w:rPr>
        <w:t>投标人应提供本项目配备的人员</w:t>
      </w:r>
      <w:r>
        <w:rPr>
          <w:rFonts w:hint="eastAsia" w:asciiTheme="minorHAnsi" w:hAnsiTheme="minorHAnsi" w:cstheme="minorBidi"/>
          <w:spacing w:val="0"/>
          <w:kern w:val="2"/>
          <w:sz w:val="21"/>
          <w:szCs w:val="24"/>
          <w:lang w:val="en-US" w:eastAsia="zh-CN" w:bidi="ar-SA"/>
        </w:rPr>
        <w:t>基本信息一览表，包括但不限于人员姓名、年龄、执业年限、医疗卫生专业背景或行业领域经历、擅长领域等信息。）</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895"/>
        <w:gridCol w:w="6627"/>
      </w:tblGrid>
      <w:tr w14:paraId="7EE8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tcPr>
          <w:p w14:paraId="31579F1D">
            <w:pPr>
              <w:spacing w:line="240" w:lineRule="auto"/>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序号</w:t>
            </w:r>
          </w:p>
        </w:tc>
        <w:tc>
          <w:tcPr>
            <w:tcW w:w="1977" w:type="dxa"/>
          </w:tcPr>
          <w:p w14:paraId="0990093F">
            <w:pPr>
              <w:spacing w:line="240" w:lineRule="auto"/>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目录</w:t>
            </w:r>
          </w:p>
        </w:tc>
        <w:tc>
          <w:tcPr>
            <w:tcW w:w="7081" w:type="dxa"/>
          </w:tcPr>
          <w:p w14:paraId="24CD60DE">
            <w:pPr>
              <w:spacing w:line="240" w:lineRule="auto"/>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商务条款要求</w:t>
            </w:r>
          </w:p>
        </w:tc>
      </w:tr>
      <w:tr w14:paraId="2498E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7B06CBD9">
            <w:pPr>
              <w:spacing w:line="240" w:lineRule="auto"/>
              <w:jc w:val="center"/>
              <w:rPr>
                <w:rFonts w:hint="default"/>
                <w:lang w:val="en-US" w:eastAsia="zh-CN"/>
              </w:rPr>
            </w:pPr>
            <w:r>
              <w:rPr>
                <w:rFonts w:hint="eastAsia"/>
                <w:lang w:val="en-US" w:eastAsia="zh-CN"/>
              </w:rPr>
              <w:t>1</w:t>
            </w:r>
          </w:p>
        </w:tc>
        <w:tc>
          <w:tcPr>
            <w:tcW w:w="1977" w:type="dxa"/>
            <w:vAlign w:val="center"/>
          </w:tcPr>
          <w:p w14:paraId="31F93D7D">
            <w:pPr>
              <w:spacing w:line="240" w:lineRule="auto"/>
              <w:ind w:firstLine="420" w:firstLineChars="200"/>
              <w:jc w:val="both"/>
              <w:rPr>
                <w:rFonts w:hint="eastAsia"/>
                <w:lang w:val="en-US" w:eastAsia="zh-CN"/>
              </w:rPr>
            </w:pPr>
            <w:r>
              <w:rPr>
                <w:rFonts w:hint="eastAsia"/>
                <w:lang w:val="en-US" w:eastAsia="zh-CN"/>
              </w:rPr>
              <w:t>合同期限</w:t>
            </w:r>
          </w:p>
        </w:tc>
        <w:tc>
          <w:tcPr>
            <w:tcW w:w="7081" w:type="dxa"/>
            <w:vAlign w:val="center"/>
          </w:tcPr>
          <w:p w14:paraId="4EC3F0B9">
            <w:pPr>
              <w:spacing w:line="240" w:lineRule="auto"/>
              <w:jc w:val="both"/>
              <w:rPr>
                <w:rFonts w:hint="eastAsia"/>
                <w:lang w:val="en-US" w:eastAsia="zh-CN"/>
              </w:rPr>
            </w:pPr>
            <w:r>
              <w:rPr>
                <w:rFonts w:hint="eastAsia"/>
                <w:lang w:val="en-US" w:eastAsia="zh-CN"/>
              </w:rPr>
              <w:t>自合同签订之日起1年。本项目为长期服务类项目，第一年为本次采购服务期限，采购人可根据项目需要和投标人的履约情况确定合同期限是否延长，但最长累计不超过36个月。</w:t>
            </w:r>
          </w:p>
        </w:tc>
      </w:tr>
      <w:tr w14:paraId="1E65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55D93841">
            <w:pPr>
              <w:spacing w:line="240" w:lineRule="auto"/>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2</w:t>
            </w:r>
          </w:p>
        </w:tc>
        <w:tc>
          <w:tcPr>
            <w:tcW w:w="1977" w:type="dxa"/>
            <w:vAlign w:val="center"/>
          </w:tcPr>
          <w:p w14:paraId="4D891A23">
            <w:pPr>
              <w:spacing w:line="240" w:lineRule="auto"/>
              <w:jc w:val="center"/>
              <w:rPr>
                <w:rFonts w:hint="eastAsia"/>
                <w:lang w:val="en-US" w:eastAsia="zh-CN"/>
              </w:rPr>
            </w:pPr>
            <w:r>
              <w:rPr>
                <w:rFonts w:hint="eastAsia"/>
                <w:lang w:val="en-US" w:eastAsia="zh-CN"/>
              </w:rPr>
              <w:t>服务地点</w:t>
            </w:r>
          </w:p>
        </w:tc>
        <w:tc>
          <w:tcPr>
            <w:tcW w:w="7081" w:type="dxa"/>
            <w:vAlign w:val="center"/>
          </w:tcPr>
          <w:p w14:paraId="738109EF">
            <w:pPr>
              <w:spacing w:line="240" w:lineRule="auto"/>
              <w:jc w:val="both"/>
              <w:rPr>
                <w:rFonts w:hint="default"/>
                <w:lang w:val="en-US" w:eastAsia="zh-CN"/>
              </w:rPr>
            </w:pPr>
            <w:r>
              <w:rPr>
                <w:rFonts w:hint="eastAsia"/>
                <w:lang w:val="en-US" w:eastAsia="zh-CN"/>
              </w:rPr>
              <w:t>中山大学附属第八医院（深圳福田）</w:t>
            </w:r>
          </w:p>
        </w:tc>
      </w:tr>
      <w:tr w14:paraId="1AE4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6A7156D5">
            <w:pPr>
              <w:spacing w:line="240" w:lineRule="auto"/>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3</w:t>
            </w:r>
          </w:p>
        </w:tc>
        <w:tc>
          <w:tcPr>
            <w:tcW w:w="1977" w:type="dxa"/>
            <w:vAlign w:val="center"/>
          </w:tcPr>
          <w:p w14:paraId="77A5D409">
            <w:pPr>
              <w:spacing w:line="240" w:lineRule="auto"/>
              <w:jc w:val="center"/>
              <w:rPr>
                <w:rFonts w:hint="default"/>
                <w:lang w:val="en-US" w:eastAsia="zh-CN"/>
              </w:rPr>
            </w:pPr>
            <w:r>
              <w:rPr>
                <w:rFonts w:hint="eastAsia"/>
                <w:lang w:val="en-US" w:eastAsia="zh-CN"/>
              </w:rPr>
              <w:t>投标报价要求</w:t>
            </w:r>
          </w:p>
        </w:tc>
        <w:tc>
          <w:tcPr>
            <w:tcW w:w="7081" w:type="dxa"/>
            <w:vAlign w:val="center"/>
          </w:tcPr>
          <w:p w14:paraId="688BF7F9">
            <w:pPr>
              <w:spacing w:line="240" w:lineRule="auto"/>
              <w:jc w:val="both"/>
              <w:rPr>
                <w:rFonts w:hint="eastAsia"/>
                <w:lang w:val="en-US" w:eastAsia="zh-CN"/>
              </w:rPr>
            </w:pPr>
            <w:r>
              <w:rPr>
                <w:rFonts w:hint="eastAsia" w:cstheme="minorBidi"/>
                <w:spacing w:val="0"/>
                <w:kern w:val="2"/>
                <w:sz w:val="21"/>
                <w:szCs w:val="24"/>
                <w:lang w:val="en-US" w:eastAsia="zh-CN" w:bidi="ar-SA"/>
              </w:rPr>
              <w:t>1</w:t>
            </w:r>
            <w:r>
              <w:rPr>
                <w:rFonts w:hint="eastAsia" w:asciiTheme="minorHAnsi" w:hAnsiTheme="minorHAnsi" w:eastAsiaTheme="minorEastAsia" w:cstheme="minorBidi"/>
                <w:spacing w:val="0"/>
                <w:kern w:val="2"/>
                <w:sz w:val="21"/>
                <w:szCs w:val="24"/>
                <w:lang w:val="en-US" w:eastAsia="zh-CN" w:bidi="ar-SA"/>
              </w:rPr>
              <w:t>.</w:t>
            </w:r>
            <w:r>
              <w:rPr>
                <w:rFonts w:hint="eastAsia"/>
                <w:lang w:val="en-US" w:eastAsia="zh-CN"/>
              </w:rPr>
              <w:t>投标货币为人民币，投标总价不得超过招标控制价，投标总价必须是完成该项目的一切费用总和，包括国家规定的各项税费等全部费用。</w:t>
            </w:r>
          </w:p>
          <w:p w14:paraId="0804CFE9">
            <w:pPr>
              <w:pStyle w:val="33"/>
              <w:spacing w:line="240" w:lineRule="auto"/>
              <w:rPr>
                <w:rFonts w:hint="eastAsia"/>
                <w:lang w:val="en-US" w:eastAsia="zh-CN"/>
              </w:rPr>
            </w:pPr>
            <w:r>
              <w:rPr>
                <w:rFonts w:hint="eastAsia" w:asciiTheme="minorHAnsi" w:hAnsiTheme="minorHAnsi" w:eastAsiaTheme="minorEastAsia" w:cstheme="minorBidi"/>
                <w:spacing w:val="0"/>
                <w:kern w:val="2"/>
                <w:sz w:val="21"/>
                <w:szCs w:val="24"/>
                <w:lang w:val="en-US" w:eastAsia="zh-CN" w:bidi="ar-SA"/>
              </w:rPr>
              <w:t>2.另行委托代理的专项服务。一般包括医疗纠纷类、人事纠纷类、经济合同类等案件，投标人须提供另行委托案件服务费用方案（格式自拟，加盖公章）。</w:t>
            </w:r>
          </w:p>
        </w:tc>
      </w:tr>
      <w:tr w14:paraId="4E82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58BC52E9">
            <w:pPr>
              <w:spacing w:line="240" w:lineRule="auto"/>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4</w:t>
            </w:r>
          </w:p>
        </w:tc>
        <w:tc>
          <w:tcPr>
            <w:tcW w:w="1977" w:type="dxa"/>
            <w:vAlign w:val="center"/>
          </w:tcPr>
          <w:p w14:paraId="268A841D">
            <w:pPr>
              <w:spacing w:line="240" w:lineRule="auto"/>
              <w:jc w:val="center"/>
              <w:rPr>
                <w:rFonts w:hint="default"/>
                <w:lang w:val="en-US" w:eastAsia="zh-CN"/>
              </w:rPr>
            </w:pPr>
            <w:r>
              <w:rPr>
                <w:rFonts w:hint="eastAsia"/>
                <w:lang w:val="en-US" w:eastAsia="zh-CN"/>
              </w:rPr>
              <w:t>付款方式</w:t>
            </w:r>
          </w:p>
        </w:tc>
        <w:tc>
          <w:tcPr>
            <w:tcW w:w="7081" w:type="dxa"/>
            <w:vAlign w:val="center"/>
          </w:tcPr>
          <w:p w14:paraId="702DEC5A">
            <w:pPr>
              <w:spacing w:line="240" w:lineRule="auto"/>
              <w:jc w:val="both"/>
              <w:rPr>
                <w:rFonts w:hint="eastAsia"/>
                <w:lang w:val="en-US" w:eastAsia="zh-CN"/>
              </w:rPr>
            </w:pPr>
            <w:r>
              <w:rPr>
                <w:rFonts w:hint="eastAsia"/>
                <w:lang w:val="en-US" w:eastAsia="zh-CN"/>
              </w:rPr>
              <w:t>1.每半年支付该年度法律顾问服务费用的50%；</w:t>
            </w:r>
          </w:p>
          <w:p w14:paraId="2C217A58">
            <w:pPr>
              <w:pStyle w:val="33"/>
              <w:spacing w:line="240" w:lineRule="auto"/>
              <w:rPr>
                <w:rFonts w:hint="default"/>
                <w:lang w:val="en-US" w:eastAsia="zh-CN"/>
              </w:rPr>
            </w:pPr>
            <w:r>
              <w:rPr>
                <w:rFonts w:hint="eastAsia" w:asciiTheme="minorHAnsi" w:hAnsiTheme="minorHAnsi" w:eastAsiaTheme="minorEastAsia" w:cstheme="minorBidi"/>
                <w:spacing w:val="0"/>
                <w:kern w:val="2"/>
                <w:sz w:val="21"/>
                <w:szCs w:val="24"/>
                <w:lang w:val="en-US" w:eastAsia="zh-CN" w:bidi="ar-SA"/>
              </w:rPr>
              <w:t>2.另行委托代理的专项服务</w:t>
            </w:r>
            <w:r>
              <w:rPr>
                <w:rFonts w:hint="eastAsia" w:asciiTheme="minorHAnsi" w:hAnsiTheme="minorHAnsi" w:cstheme="minorBidi"/>
                <w:spacing w:val="0"/>
                <w:kern w:val="2"/>
                <w:sz w:val="21"/>
                <w:szCs w:val="24"/>
                <w:lang w:val="en-US" w:eastAsia="zh-CN" w:bidi="ar-SA"/>
              </w:rPr>
              <w:t>根据双方签订的专项服务合同收取</w:t>
            </w:r>
            <w:r>
              <w:rPr>
                <w:rFonts w:hint="eastAsia" w:asciiTheme="minorHAnsi" w:hAnsiTheme="minorHAnsi" w:eastAsiaTheme="minorEastAsia" w:cstheme="minorBidi"/>
                <w:spacing w:val="0"/>
                <w:kern w:val="2"/>
                <w:sz w:val="21"/>
                <w:szCs w:val="24"/>
                <w:lang w:val="en-US" w:eastAsia="zh-CN" w:bidi="ar-SA"/>
              </w:rPr>
              <w:t>。</w:t>
            </w:r>
          </w:p>
        </w:tc>
      </w:tr>
      <w:tr w14:paraId="28F5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6855B4E0">
            <w:pPr>
              <w:spacing w:line="240" w:lineRule="auto"/>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5</w:t>
            </w:r>
          </w:p>
        </w:tc>
        <w:tc>
          <w:tcPr>
            <w:tcW w:w="1977" w:type="dxa"/>
            <w:vAlign w:val="center"/>
          </w:tcPr>
          <w:p w14:paraId="1F06C5B8">
            <w:pPr>
              <w:spacing w:line="240" w:lineRule="auto"/>
              <w:jc w:val="center"/>
              <w:rPr>
                <w:rFonts w:hint="default"/>
                <w:lang w:val="en-US" w:eastAsia="zh-CN"/>
              </w:rPr>
            </w:pPr>
            <w:r>
              <w:rPr>
                <w:rFonts w:hint="eastAsia"/>
                <w:highlight w:val="none"/>
                <w:lang w:val="en-US" w:eastAsia="zh-CN"/>
              </w:rPr>
              <w:t>关于验收</w:t>
            </w:r>
          </w:p>
        </w:tc>
        <w:tc>
          <w:tcPr>
            <w:tcW w:w="7081" w:type="dxa"/>
            <w:vAlign w:val="center"/>
          </w:tcPr>
          <w:p w14:paraId="7ACF8F55">
            <w:pPr>
              <w:spacing w:line="240" w:lineRule="auto"/>
              <w:jc w:val="both"/>
              <w:rPr>
                <w:rFonts w:hint="eastAsia"/>
                <w:lang w:val="en-US" w:eastAsia="zh-CN"/>
              </w:rPr>
            </w:pPr>
            <w:r>
              <w:rPr>
                <w:rFonts w:hint="eastAsia"/>
                <w:lang w:val="en-US" w:eastAsia="zh-CN"/>
              </w:rPr>
              <w:t>服务符合采购文件、响应文件和合同约定的服务要求，并经采购人考核评价为满意及以上。</w:t>
            </w:r>
          </w:p>
        </w:tc>
      </w:tr>
      <w:tr w14:paraId="31DF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shd w:val="clear" w:color="auto" w:fill="auto"/>
            <w:vAlign w:val="center"/>
          </w:tcPr>
          <w:p w14:paraId="32BA5C68">
            <w:pPr>
              <w:spacing w:line="240" w:lineRule="auto"/>
              <w:jc w:val="center"/>
              <w:rPr>
                <w:rFonts w:hint="default"/>
                <w:lang w:val="en-US" w:eastAsia="zh-CN"/>
              </w:rPr>
            </w:pPr>
            <w:r>
              <w:rPr>
                <w:rFonts w:hint="eastAsia"/>
                <w:lang w:val="en-US" w:eastAsia="zh-CN"/>
              </w:rPr>
              <w:t>6</w:t>
            </w:r>
          </w:p>
        </w:tc>
        <w:tc>
          <w:tcPr>
            <w:tcW w:w="1977" w:type="dxa"/>
            <w:vAlign w:val="center"/>
          </w:tcPr>
          <w:p w14:paraId="6131FDD5">
            <w:pPr>
              <w:spacing w:line="240" w:lineRule="auto"/>
              <w:jc w:val="center"/>
              <w:rPr>
                <w:rFonts w:hint="default"/>
                <w:highlight w:val="none"/>
                <w:lang w:val="en-US" w:eastAsia="zh-CN"/>
              </w:rPr>
            </w:pPr>
            <w:r>
              <w:rPr>
                <w:rFonts w:hint="eastAsia"/>
                <w:highlight w:val="none"/>
                <w:lang w:val="en-US" w:eastAsia="zh-CN"/>
              </w:rPr>
              <w:t>违约责任</w:t>
            </w:r>
          </w:p>
        </w:tc>
        <w:tc>
          <w:tcPr>
            <w:tcW w:w="7081" w:type="dxa"/>
            <w:vAlign w:val="center"/>
          </w:tcPr>
          <w:p w14:paraId="064A8365">
            <w:pPr>
              <w:keepNext w:val="0"/>
              <w:keepLines w:val="0"/>
              <w:widowControl/>
              <w:suppressLineNumbers w:val="0"/>
              <w:spacing w:line="240" w:lineRule="auto"/>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服务期限内，若因中标人原因（包括但不限于乙方丧失为提供该项目服务所必需的资质等）导致项目无法进行的，中标人应在丧失资质或发生相关事由当天立即通知甲方，若中标人无法在3天内恢复资质或消除事由的，采购人有权单方解除合同，不再向中标人支付未支付的款项，同时中标人须向采购支付合同总金额30%的违约金。</w:t>
            </w:r>
          </w:p>
          <w:p w14:paraId="5CAADD44">
            <w:pPr>
              <w:keepNext w:val="0"/>
              <w:keepLines w:val="0"/>
              <w:widowControl/>
              <w:suppressLineNumbers w:val="0"/>
              <w:spacing w:line="240" w:lineRule="auto"/>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若中标人未按合同约定、采购文件或采购人要求的时间提供服务的，经采购人催告后仍不履行义务的，自催告后每逾期一采购人甲方有权自行委托第三方提供所需要的服务，因此产生的费用由中标人承担，给采购人成损失的，中标人还须承担赔偿责任。逾期超过10日的，采购人有权单方解除合同。</w:t>
            </w:r>
          </w:p>
          <w:p w14:paraId="78C7DF15">
            <w:pPr>
              <w:keepNext w:val="0"/>
              <w:keepLines w:val="0"/>
              <w:widowControl/>
              <w:suppressLineNumbers w:val="0"/>
              <w:spacing w:line="240" w:lineRule="auto"/>
              <w:jc w:val="left"/>
              <w:rPr>
                <w:rFonts w:hint="eastAsia"/>
                <w:lang w:val="en-US" w:eastAsia="zh-CN"/>
              </w:rPr>
            </w:pPr>
            <w:r>
              <w:rPr>
                <w:rFonts w:hint="eastAsia" w:ascii="宋体" w:hAnsi="宋体" w:eastAsia="宋体" w:cs="宋体"/>
                <w:color w:val="000000"/>
                <w:kern w:val="0"/>
                <w:sz w:val="20"/>
                <w:szCs w:val="20"/>
                <w:lang w:val="en-US" w:eastAsia="zh-CN" w:bidi="ar"/>
              </w:rPr>
              <w:t>中标人</w:t>
            </w:r>
            <w:r>
              <w:rPr>
                <w:rFonts w:hint="default" w:ascii="宋体" w:hAnsi="宋体" w:eastAsia="宋体" w:cs="宋体"/>
                <w:color w:val="000000"/>
                <w:kern w:val="0"/>
                <w:sz w:val="20"/>
                <w:szCs w:val="20"/>
                <w:lang w:val="en-US" w:eastAsia="zh-CN" w:bidi="ar"/>
              </w:rPr>
              <w:t>提供的服务未能满足采购文件、合同约定或</w:t>
            </w:r>
            <w:r>
              <w:rPr>
                <w:rFonts w:hint="eastAsia" w:ascii="宋体" w:hAnsi="宋体" w:eastAsia="宋体" w:cs="宋体"/>
                <w:color w:val="000000"/>
                <w:kern w:val="0"/>
                <w:sz w:val="20"/>
                <w:szCs w:val="20"/>
                <w:lang w:val="en-US" w:eastAsia="zh-CN" w:bidi="ar"/>
              </w:rPr>
              <w:t>采购人</w:t>
            </w:r>
            <w:r>
              <w:rPr>
                <w:rFonts w:hint="default" w:ascii="宋体" w:hAnsi="宋体" w:eastAsia="宋体" w:cs="宋体"/>
                <w:color w:val="000000"/>
                <w:kern w:val="0"/>
                <w:sz w:val="20"/>
                <w:szCs w:val="20"/>
                <w:lang w:val="en-US" w:eastAsia="zh-CN" w:bidi="ar"/>
              </w:rPr>
              <w:t>要求的的，</w:t>
            </w:r>
            <w:r>
              <w:rPr>
                <w:rFonts w:hint="eastAsia" w:ascii="宋体" w:hAnsi="宋体" w:eastAsia="宋体" w:cs="宋体"/>
                <w:color w:val="000000"/>
                <w:kern w:val="0"/>
                <w:sz w:val="20"/>
                <w:szCs w:val="20"/>
                <w:lang w:val="en-US" w:eastAsia="zh-CN" w:bidi="ar"/>
              </w:rPr>
              <w:t>采购人</w:t>
            </w:r>
            <w:r>
              <w:rPr>
                <w:rFonts w:hint="default" w:ascii="宋体" w:hAnsi="宋体" w:eastAsia="宋体" w:cs="宋体"/>
                <w:color w:val="000000"/>
                <w:kern w:val="0"/>
                <w:sz w:val="20"/>
                <w:szCs w:val="20"/>
                <w:lang w:val="en-US" w:eastAsia="zh-CN" w:bidi="ar"/>
              </w:rPr>
              <w:t>有权要求</w:t>
            </w:r>
            <w:r>
              <w:rPr>
                <w:rFonts w:hint="eastAsia" w:ascii="宋体" w:hAnsi="宋体" w:eastAsia="宋体" w:cs="宋体"/>
                <w:color w:val="000000"/>
                <w:kern w:val="0"/>
                <w:sz w:val="20"/>
                <w:szCs w:val="20"/>
                <w:lang w:val="en-US" w:eastAsia="zh-CN" w:bidi="ar"/>
              </w:rPr>
              <w:t>中标人</w:t>
            </w:r>
            <w:r>
              <w:rPr>
                <w:rFonts w:hint="default" w:ascii="宋体" w:hAnsi="宋体" w:eastAsia="宋体" w:cs="宋体"/>
                <w:color w:val="000000"/>
                <w:kern w:val="0"/>
                <w:sz w:val="20"/>
                <w:szCs w:val="20"/>
                <w:lang w:val="en-US" w:eastAsia="zh-CN" w:bidi="ar"/>
              </w:rPr>
              <w:t>立即整</w:t>
            </w:r>
            <w:bookmarkStart w:id="26" w:name="_GoBack"/>
            <w:bookmarkEnd w:id="26"/>
            <w:r>
              <w:rPr>
                <w:rFonts w:hint="default" w:ascii="宋体" w:hAnsi="宋体" w:eastAsia="宋体" w:cs="宋体"/>
                <w:color w:val="000000"/>
                <w:kern w:val="0"/>
                <w:sz w:val="20"/>
                <w:szCs w:val="20"/>
                <w:lang w:val="en-US" w:eastAsia="zh-CN" w:bidi="ar"/>
              </w:rPr>
              <w:t>改；</w:t>
            </w:r>
            <w:r>
              <w:rPr>
                <w:rFonts w:hint="eastAsia" w:ascii="宋体" w:hAnsi="宋体" w:eastAsia="宋体" w:cs="宋体"/>
                <w:color w:val="000000"/>
                <w:kern w:val="0"/>
                <w:sz w:val="20"/>
                <w:szCs w:val="20"/>
                <w:lang w:val="en-US" w:eastAsia="zh-CN" w:bidi="ar"/>
              </w:rPr>
              <w:t>中标人</w:t>
            </w:r>
            <w:r>
              <w:rPr>
                <w:rFonts w:hint="default" w:ascii="宋体" w:hAnsi="宋体" w:eastAsia="宋体" w:cs="宋体"/>
                <w:color w:val="000000"/>
                <w:kern w:val="0"/>
                <w:sz w:val="20"/>
                <w:szCs w:val="20"/>
                <w:lang w:val="en-US" w:eastAsia="zh-CN" w:bidi="ar"/>
              </w:rPr>
              <w:t>整改后仍未能满足前述条件的，或</w:t>
            </w:r>
            <w:r>
              <w:rPr>
                <w:rFonts w:hint="eastAsia" w:ascii="宋体" w:hAnsi="宋体" w:eastAsia="宋体" w:cs="宋体"/>
                <w:color w:val="000000"/>
                <w:kern w:val="0"/>
                <w:sz w:val="20"/>
                <w:szCs w:val="20"/>
                <w:lang w:val="en-US" w:eastAsia="zh-CN" w:bidi="ar"/>
              </w:rPr>
              <w:t>中标人</w:t>
            </w:r>
            <w:r>
              <w:rPr>
                <w:rFonts w:hint="default" w:ascii="宋体" w:hAnsi="宋体" w:eastAsia="宋体" w:cs="宋体"/>
                <w:color w:val="000000"/>
                <w:kern w:val="0"/>
                <w:sz w:val="20"/>
                <w:szCs w:val="20"/>
                <w:lang w:val="en-US" w:eastAsia="zh-CN" w:bidi="ar"/>
              </w:rPr>
              <w:t>拒不整改的，</w:t>
            </w:r>
            <w:r>
              <w:rPr>
                <w:rFonts w:hint="eastAsia" w:ascii="宋体" w:hAnsi="宋体" w:eastAsia="宋体" w:cs="宋体"/>
                <w:color w:val="000000"/>
                <w:kern w:val="0"/>
                <w:sz w:val="20"/>
                <w:szCs w:val="20"/>
                <w:lang w:val="en-US" w:eastAsia="zh-CN" w:bidi="ar"/>
              </w:rPr>
              <w:t>采购人</w:t>
            </w:r>
            <w:r>
              <w:rPr>
                <w:rFonts w:hint="default" w:ascii="宋体" w:hAnsi="宋体" w:eastAsia="宋体" w:cs="宋体"/>
                <w:color w:val="000000"/>
                <w:kern w:val="0"/>
                <w:sz w:val="20"/>
                <w:szCs w:val="20"/>
                <w:lang w:val="en-US" w:eastAsia="zh-CN" w:bidi="ar"/>
              </w:rPr>
              <w:t>有权单方解除合同，</w:t>
            </w:r>
            <w:r>
              <w:rPr>
                <w:rFonts w:hint="eastAsia" w:ascii="宋体" w:hAnsi="宋体" w:eastAsia="宋体" w:cs="宋体"/>
                <w:color w:val="000000"/>
                <w:kern w:val="0"/>
                <w:sz w:val="20"/>
                <w:szCs w:val="20"/>
                <w:lang w:val="en-US" w:eastAsia="zh-CN" w:bidi="ar"/>
              </w:rPr>
              <w:t>中标人</w:t>
            </w:r>
            <w:r>
              <w:rPr>
                <w:rFonts w:hint="default" w:ascii="宋体" w:hAnsi="宋体" w:eastAsia="宋体" w:cs="宋体"/>
                <w:color w:val="000000"/>
                <w:kern w:val="0"/>
                <w:sz w:val="20"/>
                <w:szCs w:val="20"/>
                <w:lang w:val="en-US" w:eastAsia="zh-CN" w:bidi="ar"/>
              </w:rPr>
              <w:t>须向</w:t>
            </w:r>
            <w:r>
              <w:rPr>
                <w:rFonts w:hint="eastAsia" w:ascii="宋体" w:hAnsi="宋体" w:eastAsia="宋体" w:cs="宋体"/>
                <w:color w:val="000000"/>
                <w:kern w:val="0"/>
                <w:sz w:val="20"/>
                <w:szCs w:val="20"/>
                <w:lang w:val="en-US" w:eastAsia="zh-CN" w:bidi="ar"/>
              </w:rPr>
              <w:t>采购人</w:t>
            </w:r>
            <w:r>
              <w:rPr>
                <w:rFonts w:hint="default" w:ascii="宋体" w:hAnsi="宋体" w:eastAsia="宋体" w:cs="宋体"/>
                <w:color w:val="000000"/>
                <w:kern w:val="0"/>
                <w:sz w:val="20"/>
                <w:szCs w:val="20"/>
                <w:lang w:val="en-US" w:eastAsia="zh-CN" w:bidi="ar"/>
              </w:rPr>
              <w:t>支付合同总金额30%的违约金，若因此给</w:t>
            </w:r>
            <w:r>
              <w:rPr>
                <w:rFonts w:hint="eastAsia" w:ascii="宋体" w:hAnsi="宋体" w:eastAsia="宋体" w:cs="宋体"/>
                <w:color w:val="000000"/>
                <w:kern w:val="0"/>
                <w:sz w:val="20"/>
                <w:szCs w:val="20"/>
                <w:lang w:val="en-US" w:eastAsia="zh-CN" w:bidi="ar"/>
              </w:rPr>
              <w:t>采购人</w:t>
            </w:r>
            <w:r>
              <w:rPr>
                <w:rFonts w:hint="default" w:ascii="宋体" w:hAnsi="宋体" w:eastAsia="宋体" w:cs="宋体"/>
                <w:color w:val="000000"/>
                <w:kern w:val="0"/>
                <w:sz w:val="20"/>
                <w:szCs w:val="20"/>
                <w:lang w:val="en-US" w:eastAsia="zh-CN" w:bidi="ar"/>
              </w:rPr>
              <w:t>造成损失的，</w:t>
            </w:r>
            <w:r>
              <w:rPr>
                <w:rFonts w:hint="eastAsia" w:ascii="宋体" w:hAnsi="宋体" w:eastAsia="宋体" w:cs="宋体"/>
                <w:color w:val="000000"/>
                <w:kern w:val="0"/>
                <w:sz w:val="20"/>
                <w:szCs w:val="20"/>
                <w:lang w:val="en-US" w:eastAsia="zh-CN" w:bidi="ar"/>
              </w:rPr>
              <w:t>中标人</w:t>
            </w:r>
            <w:r>
              <w:rPr>
                <w:rFonts w:hint="default" w:ascii="宋体" w:hAnsi="宋体" w:eastAsia="宋体" w:cs="宋体"/>
                <w:color w:val="000000"/>
                <w:kern w:val="0"/>
                <w:sz w:val="20"/>
                <w:szCs w:val="20"/>
                <w:lang w:val="en-US" w:eastAsia="zh-CN" w:bidi="ar"/>
              </w:rPr>
              <w:t>须承担赔偿责任并承担一切经济及法律责任。</w:t>
            </w:r>
          </w:p>
        </w:tc>
      </w:tr>
    </w:tbl>
    <w:p w14:paraId="46B52979"/>
    <w:p w14:paraId="508B3717">
      <w:pPr>
        <w:spacing w:line="360" w:lineRule="auto"/>
        <w:ind w:left="420" w:firstLine="210" w:firstLineChars="100"/>
      </w:pPr>
    </w:p>
    <w:p w14:paraId="5D068B69">
      <w:pPr>
        <w:pStyle w:val="2"/>
      </w:pPr>
    </w:p>
    <w:p w14:paraId="074F738D"/>
    <w:p w14:paraId="133056E8">
      <w:pPr>
        <w:pStyle w:val="2"/>
      </w:pPr>
    </w:p>
    <w:p w14:paraId="2CCD7DB9"/>
    <w:p w14:paraId="32678D50">
      <w:pPr>
        <w:pStyle w:val="2"/>
      </w:pPr>
    </w:p>
    <w:p w14:paraId="30714DED"/>
    <w:p w14:paraId="764C367B"/>
    <w:p w14:paraId="00364327">
      <w:pPr>
        <w:pStyle w:val="4"/>
      </w:pPr>
    </w:p>
    <w:p w14:paraId="14089EE9">
      <w:pPr>
        <w:adjustRightInd w:val="0"/>
        <w:snapToGrid w:val="0"/>
        <w:spacing w:line="520" w:lineRule="atLeast"/>
        <w:ind w:firstLine="2640" w:firstLineChars="600"/>
        <w:rPr>
          <w:rFonts w:eastAsia="方正小标宋简体"/>
          <w:kern w:val="0"/>
          <w:sz w:val="44"/>
          <w:szCs w:val="36"/>
        </w:rPr>
      </w:pPr>
      <w:bookmarkStart w:id="0" w:name="_Toc435514851"/>
      <w:bookmarkStart w:id="1" w:name="_Toc9128_WPSOffice_Level1"/>
      <w:bookmarkStart w:id="2" w:name="_Toc22206"/>
      <w:bookmarkStart w:id="3" w:name="_Toc57128626"/>
      <w:bookmarkStart w:id="4" w:name="_Toc8307306"/>
      <w:bookmarkStart w:id="5" w:name="_Toc435115056"/>
      <w:bookmarkStart w:id="6" w:name="_Toc24338"/>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2"/>
        <w:rPr>
          <w:rFonts w:eastAsia="方正小标宋简体"/>
          <w:kern w:val="0"/>
          <w:sz w:val="44"/>
          <w:szCs w:val="36"/>
        </w:rPr>
      </w:pPr>
    </w:p>
    <w:p w14:paraId="2AED19B6">
      <w:pPr>
        <w:rPr>
          <w:rFonts w:eastAsia="方正小标宋简体"/>
          <w:kern w:val="0"/>
          <w:sz w:val="44"/>
          <w:szCs w:val="36"/>
        </w:rPr>
      </w:pPr>
    </w:p>
    <w:p w14:paraId="399281C6">
      <w:pPr>
        <w:pStyle w:val="2"/>
      </w:pPr>
    </w:p>
    <w:p w14:paraId="6E562041">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4"/>
        <w:ind w:left="420"/>
        <w:jc w:val="center"/>
        <w:rPr>
          <w:rFonts w:ascii="Times New Roman" w:hAnsi="Times New Roman" w:cs="Times New Roman"/>
          <w:sz w:val="30"/>
          <w:szCs w:val="30"/>
        </w:rPr>
      </w:pPr>
      <w:bookmarkStart w:id="7" w:name="_Toc8080"/>
      <w:bookmarkStart w:id="8" w:name="_Toc435514852"/>
      <w:bookmarkStart w:id="9" w:name="_Toc57128627"/>
      <w:bookmarkStart w:id="10" w:name="_Toc435515292"/>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2"/>
              <w:spacing w:line="360" w:lineRule="auto"/>
              <w:ind w:firstLine="482" w:firstLineChars="150"/>
              <w:rPr>
                <w:rFonts w:eastAsia="仿宋_GB2312"/>
                <w:b/>
                <w:sz w:val="32"/>
              </w:rPr>
            </w:pPr>
          </w:p>
          <w:p w14:paraId="262440B5">
            <w:pPr>
              <w:pStyle w:val="2"/>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2"/>
              <w:spacing w:line="360" w:lineRule="auto"/>
              <w:ind w:firstLine="482" w:firstLineChars="150"/>
              <w:rPr>
                <w:rFonts w:eastAsia="仿宋_GB2312"/>
                <w:b/>
                <w:sz w:val="32"/>
              </w:rPr>
            </w:pPr>
          </w:p>
          <w:p w14:paraId="3C98659B">
            <w:pPr>
              <w:pStyle w:val="2"/>
              <w:spacing w:line="360" w:lineRule="auto"/>
              <w:ind w:firstLine="482" w:firstLineChars="150"/>
              <w:rPr>
                <w:rFonts w:eastAsia="仿宋_GB2312"/>
                <w:b/>
                <w:sz w:val="32"/>
              </w:rPr>
            </w:pPr>
            <w:r>
              <w:rPr>
                <w:rFonts w:eastAsia="仿宋_GB2312"/>
                <w:b/>
                <w:sz w:val="32"/>
              </w:rPr>
              <w:t xml:space="preserve">项目编号： </w:t>
            </w:r>
          </w:p>
          <w:p w14:paraId="7FED4671">
            <w:pPr>
              <w:pStyle w:val="2"/>
              <w:spacing w:line="360" w:lineRule="auto"/>
              <w:ind w:firstLine="482" w:firstLineChars="150"/>
              <w:rPr>
                <w:rFonts w:eastAsia="仿宋_GB2312"/>
                <w:b/>
                <w:sz w:val="32"/>
              </w:rPr>
            </w:pPr>
            <w:r>
              <w:rPr>
                <w:rFonts w:eastAsia="仿宋_GB2312"/>
                <w:b/>
                <w:sz w:val="32"/>
              </w:rPr>
              <w:t xml:space="preserve">项目名称： </w:t>
            </w:r>
          </w:p>
          <w:p w14:paraId="6759F195">
            <w:pPr>
              <w:pStyle w:val="2"/>
              <w:spacing w:line="360" w:lineRule="auto"/>
              <w:ind w:firstLine="482" w:firstLineChars="150"/>
              <w:rPr>
                <w:rFonts w:eastAsia="仿宋_GB2312"/>
                <w:b/>
                <w:sz w:val="32"/>
              </w:rPr>
            </w:pPr>
            <w:r>
              <w:rPr>
                <w:rFonts w:eastAsia="仿宋_GB2312"/>
                <w:b/>
                <w:sz w:val="32"/>
              </w:rPr>
              <w:t>投标供应商：</w:t>
            </w:r>
          </w:p>
          <w:p w14:paraId="08718889">
            <w:pPr>
              <w:pStyle w:val="2"/>
              <w:spacing w:line="360" w:lineRule="auto"/>
              <w:ind w:firstLine="482" w:firstLineChars="150"/>
              <w:rPr>
                <w:rFonts w:eastAsia="仿宋_GB2312"/>
                <w:b/>
                <w:sz w:val="32"/>
              </w:rPr>
            </w:pPr>
            <w:r>
              <w:rPr>
                <w:rFonts w:eastAsia="仿宋_GB2312"/>
                <w:b/>
                <w:sz w:val="32"/>
              </w:rPr>
              <w:t xml:space="preserve">法人代表:                                    </w:t>
            </w:r>
          </w:p>
          <w:p w14:paraId="01C82636">
            <w:pPr>
              <w:pStyle w:val="2"/>
              <w:spacing w:line="360" w:lineRule="auto"/>
              <w:ind w:firstLine="482" w:firstLineChars="150"/>
              <w:rPr>
                <w:rFonts w:eastAsia="仿宋_GB2312"/>
                <w:b/>
                <w:sz w:val="32"/>
              </w:rPr>
            </w:pPr>
            <w:r>
              <w:rPr>
                <w:rFonts w:eastAsia="仿宋_GB2312"/>
                <w:b/>
                <w:sz w:val="32"/>
              </w:rPr>
              <w:t xml:space="preserve">投标联系人：                                     </w:t>
            </w:r>
          </w:p>
          <w:p w14:paraId="3434B51F">
            <w:pPr>
              <w:pStyle w:val="2"/>
              <w:spacing w:line="360" w:lineRule="auto"/>
              <w:ind w:firstLine="482" w:firstLineChars="150"/>
              <w:rPr>
                <w:rFonts w:eastAsia="仿宋_GB2312"/>
                <w:b/>
                <w:sz w:val="32"/>
              </w:rPr>
            </w:pPr>
            <w:r>
              <w:rPr>
                <w:rFonts w:eastAsia="仿宋_GB2312"/>
                <w:b/>
                <w:sz w:val="32"/>
              </w:rPr>
              <w:t xml:space="preserve">手机：               公司电话：     </w:t>
            </w:r>
          </w:p>
          <w:p w14:paraId="61402717">
            <w:pPr>
              <w:pStyle w:val="2"/>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4BD60F7E">
            <w:pPr>
              <w:pStyle w:val="2"/>
              <w:spacing w:line="360" w:lineRule="auto"/>
              <w:ind w:firstLine="482" w:firstLineChars="150"/>
              <w:rPr>
                <w:rFonts w:eastAsia="仿宋_GB2312"/>
                <w:b/>
                <w:sz w:val="32"/>
              </w:rPr>
            </w:pPr>
            <w:r>
              <w:rPr>
                <w:rFonts w:eastAsia="仿宋_GB2312"/>
                <w:b/>
                <w:sz w:val="32"/>
              </w:rPr>
              <w:t>开标之前不得启封</w:t>
            </w:r>
          </w:p>
        </w:tc>
      </w:tr>
    </w:tbl>
    <w:p w14:paraId="22C40325">
      <w:pPr>
        <w:pStyle w:val="4"/>
        <w:jc w:val="center"/>
        <w:rPr>
          <w:rFonts w:ascii="Times New Roman" w:hAnsi="Times New Roman" w:eastAsia="方正小标宋_GBK" w:cs="Times New Roman"/>
          <w:sz w:val="44"/>
          <w:szCs w:val="44"/>
        </w:rPr>
      </w:pPr>
    </w:p>
    <w:p w14:paraId="340D0972">
      <w:pPr>
        <w:pStyle w:val="4"/>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2"/>
        <w:numPr>
          <w:ilvl w:val="0"/>
          <w:numId w:val="8"/>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8"/>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8"/>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2"/>
        <w:numPr>
          <w:ilvl w:val="0"/>
          <w:numId w:val="8"/>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8"/>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2"/>
        <w:numPr>
          <w:ilvl w:val="0"/>
          <w:numId w:val="8"/>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8"/>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8"/>
        </w:numPr>
        <w:adjustRightInd w:val="0"/>
        <w:spacing w:line="360" w:lineRule="auto"/>
        <w:rPr>
          <w:rFonts w:eastAsia="黑体"/>
          <w:bCs/>
          <w:sz w:val="28"/>
          <w:szCs w:val="28"/>
        </w:rPr>
      </w:pPr>
      <w:r>
        <w:rPr>
          <w:rFonts w:eastAsia="黑体"/>
          <w:bCs/>
          <w:sz w:val="28"/>
          <w:szCs w:val="28"/>
        </w:rPr>
        <w:t>实施方案</w:t>
      </w:r>
    </w:p>
    <w:p w14:paraId="5122C42D">
      <w:pPr>
        <w:numPr>
          <w:ilvl w:val="0"/>
          <w:numId w:val="8"/>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8"/>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8"/>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8"/>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2"/>
        <w:numPr>
          <w:ilvl w:val="0"/>
          <w:numId w:val="8"/>
        </w:numPr>
        <w:rPr>
          <w:rFonts w:eastAsia="黑体"/>
          <w:snapToGrid w:val="0"/>
          <w:kern w:val="0"/>
          <w:sz w:val="28"/>
          <w:szCs w:val="28"/>
        </w:rPr>
      </w:pPr>
      <w:r>
        <w:rPr>
          <w:rFonts w:eastAsia="黑体"/>
          <w:snapToGrid w:val="0"/>
          <w:kern w:val="0"/>
          <w:sz w:val="28"/>
          <w:szCs w:val="28"/>
        </w:rPr>
        <w:t>履约承诺函</w:t>
      </w:r>
    </w:p>
    <w:p w14:paraId="2A2E4456">
      <w:pPr>
        <w:pStyle w:val="2"/>
        <w:numPr>
          <w:ilvl w:val="0"/>
          <w:numId w:val="8"/>
        </w:numPr>
        <w:rPr>
          <w:rFonts w:eastAsia="黑体"/>
          <w:snapToGrid w:val="0"/>
          <w:kern w:val="0"/>
          <w:sz w:val="28"/>
          <w:szCs w:val="28"/>
        </w:rPr>
      </w:pPr>
      <w:r>
        <w:rPr>
          <w:rFonts w:eastAsia="黑体"/>
          <w:snapToGrid w:val="0"/>
          <w:kern w:val="0"/>
          <w:sz w:val="28"/>
          <w:szCs w:val="28"/>
        </w:rPr>
        <w:t>签约承诺函</w:t>
      </w:r>
    </w:p>
    <w:p w14:paraId="32EAEB4F">
      <w:pPr>
        <w:pStyle w:val="2"/>
        <w:numPr>
          <w:ilvl w:val="0"/>
          <w:numId w:val="8"/>
        </w:numPr>
        <w:rPr>
          <w:rFonts w:eastAsia="黑体"/>
          <w:snapToGrid w:val="0"/>
          <w:kern w:val="0"/>
          <w:sz w:val="28"/>
          <w:szCs w:val="28"/>
        </w:rPr>
      </w:pPr>
      <w:r>
        <w:rPr>
          <w:rFonts w:eastAsia="黑体"/>
          <w:snapToGrid w:val="0"/>
          <w:kern w:val="0"/>
          <w:sz w:val="28"/>
          <w:szCs w:val="28"/>
        </w:rPr>
        <w:t>诚信承诺函</w:t>
      </w:r>
    </w:p>
    <w:p w14:paraId="78926F46">
      <w:pPr>
        <w:pStyle w:val="2"/>
        <w:numPr>
          <w:ilvl w:val="0"/>
          <w:numId w:val="8"/>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2"/>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8"/>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r>
              <w:rPr>
                <w:rFonts w:hint="eastAsia"/>
                <w:snapToGrid w:val="0"/>
                <w:kern w:val="0"/>
                <w:lang w:val="en-US" w:eastAsia="zh-CN"/>
              </w:rPr>
              <w:t>/年</w:t>
            </w:r>
            <w:r>
              <w:rPr>
                <w:snapToGrid w:val="0"/>
                <w:kern w:val="0"/>
              </w:rPr>
              <w:t>）</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2"/>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9"/>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9"/>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9"/>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3"/>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4"/>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4"/>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bl>
    <w:p w14:paraId="66A64E5C">
      <w:pPr>
        <w:spacing w:line="500" w:lineRule="exact"/>
        <w:jc w:val="both"/>
        <w:rPr>
          <w:rFonts w:eastAsia="宋体"/>
          <w:bCs/>
          <w:sz w:val="28"/>
        </w:rPr>
      </w:pPr>
    </w:p>
    <w:p w14:paraId="45340E37">
      <w:pPr>
        <w:pStyle w:val="2"/>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2"/>
        <w:rPr>
          <w:b/>
          <w:bCs/>
        </w:rPr>
      </w:pPr>
      <w:r>
        <w:rPr>
          <w:b/>
          <w:bCs/>
        </w:rPr>
        <w:t>备注：</w:t>
      </w:r>
    </w:p>
    <w:p w14:paraId="19A2D45A">
      <w:pPr>
        <w:numPr>
          <w:ilvl w:val="1"/>
          <w:numId w:val="10"/>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0"/>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0"/>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0"/>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0"/>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0"/>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0"/>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2"/>
        <w:rPr>
          <w:b/>
          <w:bCs/>
        </w:rPr>
      </w:pPr>
    </w:p>
    <w:p w14:paraId="103D1342">
      <w:pPr>
        <w:rPr>
          <w:rFonts w:eastAsia="宋体"/>
          <w:b/>
          <w:bCs/>
        </w:rPr>
      </w:pPr>
    </w:p>
    <w:p w14:paraId="7B0A66FA">
      <w:pPr>
        <w:pStyle w:val="2"/>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ascii="Times New Roman" w:hAnsi="Times New Roman" w:cs="Times New Roman" w:eastAsiaTheme="minorEastAsia"/>
                <w:kern w:val="2"/>
                <w:sz w:val="21"/>
                <w:szCs w:val="24"/>
                <w:lang w:val="en-US" w:eastAsia="zh-CN" w:bidi="ar-SA"/>
              </w:rPr>
              <w:t>投标人须是在中华人民共和国境内注册的有合法经营资格的国内独立法人，依照《中华人民共和国律师法》成立的律师事务所，具有司法行政部门颁发的律师事务所执业许可证书。（提供合法有效的执业许可证副本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0AC6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82201E0">
            <w:pPr>
              <w:jc w:val="center"/>
              <w:rPr>
                <w:szCs w:val="21"/>
              </w:rPr>
            </w:pPr>
            <w:r>
              <w:rPr>
                <w:szCs w:val="21"/>
              </w:rPr>
              <w:t>3</w:t>
            </w:r>
          </w:p>
        </w:tc>
        <w:tc>
          <w:tcPr>
            <w:tcW w:w="5383" w:type="dxa"/>
          </w:tcPr>
          <w:p w14:paraId="796223CE">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t>投标人须提供法人授权委托证明书原件，法定代表人身份证复印件，被授权人身份证复印件（加盖公章）</w:t>
            </w:r>
          </w:p>
        </w:tc>
        <w:tc>
          <w:tcPr>
            <w:tcW w:w="1385" w:type="dxa"/>
            <w:vAlign w:val="center"/>
          </w:tcPr>
          <w:p w14:paraId="1E6DC4E6">
            <w:pPr>
              <w:ind w:left="36" w:leftChars="17"/>
              <w:jc w:val="center"/>
              <w:rPr>
                <w:szCs w:val="21"/>
              </w:rPr>
            </w:pPr>
            <w:r>
              <w:rPr>
                <w:szCs w:val="21"/>
              </w:rPr>
              <w:t>□通过</w:t>
            </w:r>
          </w:p>
          <w:p w14:paraId="1C02F52B">
            <w:pPr>
              <w:ind w:left="36" w:leftChars="17"/>
              <w:jc w:val="center"/>
              <w:rPr>
                <w:szCs w:val="21"/>
              </w:rPr>
            </w:pPr>
            <w:r>
              <w:rPr>
                <w:szCs w:val="21"/>
              </w:rPr>
              <w:t>□不通过</w:t>
            </w:r>
          </w:p>
        </w:tc>
        <w:tc>
          <w:tcPr>
            <w:tcW w:w="1957" w:type="dxa"/>
            <w:vAlign w:val="center"/>
          </w:tcPr>
          <w:p w14:paraId="4E8EB589">
            <w:pPr>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szCs w:val="21"/>
              </w:rPr>
            </w:pPr>
            <w:r>
              <w:rPr>
                <w:szCs w:val="21"/>
              </w:rPr>
              <w:t>4</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t>参与本项目投标前三年内，在经营活动中没有重大违法记录。未受到司法行政部门行政处罚或处分（供应商出具声明函）。</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szCs w:val="21"/>
              </w:rPr>
            </w:pPr>
            <w:r>
              <w:rPr>
                <w:szCs w:val="21"/>
              </w:rPr>
              <w:t>5</w:t>
            </w:r>
          </w:p>
        </w:tc>
        <w:tc>
          <w:tcPr>
            <w:tcW w:w="5383" w:type="dxa"/>
          </w:tcPr>
          <w:p w14:paraId="22C8FFBD">
            <w:pPr>
              <w:pStyle w:val="25"/>
              <w:keepNext w:val="0"/>
              <w:keepLines w:val="0"/>
              <w:pageBreakBefore w:val="0"/>
              <w:widowControl w:val="0"/>
              <w:numPr>
                <w:ilvl w:val="255"/>
                <w:numId w:val="0"/>
              </w:numPr>
              <w:kinsoku/>
              <w:wordWrap/>
              <w:overflowPunct/>
              <w:topLinePunct w:val="0"/>
              <w:bidi w:val="0"/>
              <w:adjustRightInd w:val="0"/>
              <w:snapToGrid w:val="0"/>
              <w:spacing w:line="300" w:lineRule="atLeast"/>
              <w:textAlignment w:val="auto"/>
            </w:pPr>
            <w:r>
              <w:t>参与本项目采购活动时不存在被有关部门禁止参与政府采购活动且在有效期内的情况。</w:t>
            </w:r>
          </w:p>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szCs w:val="21"/>
              </w:rPr>
            </w:pPr>
            <w:r>
              <w:rPr>
                <w:szCs w:val="21"/>
              </w:rPr>
              <w:t>6</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szCs w:val="21"/>
              </w:rPr>
            </w:pPr>
            <w:r>
              <w:rPr>
                <w:szCs w:val="21"/>
              </w:rPr>
              <w:t>7</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szCs w:val="21"/>
              </w:rPr>
            </w:pPr>
            <w:r>
              <w:rPr>
                <w:kern w:val="0"/>
                <w:szCs w:val="21"/>
              </w:rPr>
              <w:t>8</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1"/>
              <w:ind w:left="36" w:leftChars="17"/>
              <w:rPr>
                <w:sz w:val="21"/>
                <w:szCs w:val="21"/>
              </w:rPr>
            </w:pPr>
            <w:r>
              <w:rPr>
                <w:sz w:val="21"/>
                <w:szCs w:val="21"/>
              </w:rPr>
              <w:t>□不通过</w:t>
            </w:r>
          </w:p>
        </w:tc>
        <w:tc>
          <w:tcPr>
            <w:tcW w:w="2294" w:type="dxa"/>
            <w:vAlign w:val="center"/>
          </w:tcPr>
          <w:p w14:paraId="71D0B8AA">
            <w:pPr>
              <w:pStyle w:val="11"/>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1"/>
              <w:ind w:left="36" w:leftChars="17"/>
              <w:rPr>
                <w:sz w:val="21"/>
                <w:szCs w:val="21"/>
              </w:rPr>
            </w:pPr>
            <w:r>
              <w:rPr>
                <w:sz w:val="21"/>
                <w:szCs w:val="21"/>
              </w:rPr>
              <w:t>□不通过</w:t>
            </w:r>
          </w:p>
        </w:tc>
        <w:tc>
          <w:tcPr>
            <w:tcW w:w="2294" w:type="dxa"/>
            <w:vAlign w:val="center"/>
          </w:tcPr>
          <w:p w14:paraId="283EE4B3">
            <w:pPr>
              <w:pStyle w:val="11"/>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1"/>
              <w:ind w:left="36" w:leftChars="17"/>
              <w:rPr>
                <w:sz w:val="21"/>
                <w:szCs w:val="21"/>
              </w:rPr>
            </w:pPr>
            <w:r>
              <w:rPr>
                <w:sz w:val="21"/>
                <w:szCs w:val="21"/>
              </w:rPr>
              <w:t>□不通过</w:t>
            </w:r>
          </w:p>
        </w:tc>
        <w:tc>
          <w:tcPr>
            <w:tcW w:w="2294" w:type="dxa"/>
            <w:vAlign w:val="center"/>
          </w:tcPr>
          <w:p w14:paraId="25C8AB04">
            <w:pPr>
              <w:pStyle w:val="11"/>
              <w:rPr>
                <w:sz w:val="21"/>
                <w:szCs w:val="21"/>
              </w:rPr>
            </w:pPr>
            <w:r>
              <w:rPr>
                <w:sz w:val="21"/>
                <w:szCs w:val="21"/>
              </w:rPr>
              <w:t>见投标文件第( )页</w:t>
            </w:r>
          </w:p>
        </w:tc>
      </w:tr>
    </w:tbl>
    <w:p w14:paraId="2D2E6A54">
      <w:pPr>
        <w:pStyle w:val="11"/>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1"/>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0"/>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4"/>
        <w:jc w:val="center"/>
        <w:rPr>
          <w:rFonts w:ascii="Times New Roman" w:hAnsi="Times New Roman" w:cs="Times New Roman"/>
          <w:sz w:val="30"/>
          <w:szCs w:val="30"/>
        </w:rPr>
      </w:pPr>
      <w:bookmarkStart w:id="16" w:name="_Toc24650"/>
      <w:bookmarkStart w:id="17" w:name="_Toc275865606"/>
      <w:bookmarkStart w:id="18" w:name="_Toc57128632"/>
      <w:bookmarkStart w:id="19" w:name="_Toc435515295"/>
      <w:bookmarkStart w:id="20" w:name="_Toc435514855"/>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2"/>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2"/>
      </w:pPr>
    </w:p>
    <w:p w14:paraId="584CD0E2">
      <w:pPr>
        <w:rPr>
          <w:b/>
          <w:sz w:val="24"/>
        </w:rPr>
      </w:pPr>
      <w:r>
        <w:rPr>
          <w:b/>
          <w:sz w:val="24"/>
        </w:rPr>
        <w:br w:type="page"/>
      </w:r>
    </w:p>
    <w:p w14:paraId="10BBA042">
      <w:pPr>
        <w:pStyle w:val="4"/>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4"/>
        <w:ind w:firstLine="2700" w:firstLineChars="900"/>
        <w:rPr>
          <w:rFonts w:ascii="Times New Roman" w:hAnsi="Times New Roman" w:eastAsia="宋体" w:cs="Times New Roman"/>
          <w:sz w:val="30"/>
          <w:szCs w:val="30"/>
        </w:rPr>
      </w:pPr>
    </w:p>
    <w:p w14:paraId="13CB5823">
      <w:pPr>
        <w:pStyle w:val="6"/>
        <w:rPr>
          <w:rFonts w:ascii="Times New Roman" w:hAnsi="Times New Roman" w:eastAsia="宋体"/>
          <w:sz w:val="30"/>
          <w:szCs w:val="30"/>
        </w:rPr>
      </w:pPr>
    </w:p>
    <w:p w14:paraId="4AAA1718">
      <w:pPr>
        <w:rPr>
          <w:rFonts w:eastAsia="宋体"/>
          <w:sz w:val="30"/>
          <w:szCs w:val="30"/>
        </w:rPr>
      </w:pPr>
    </w:p>
    <w:p w14:paraId="77343073">
      <w:pPr>
        <w:pStyle w:val="2"/>
        <w:rPr>
          <w:sz w:val="30"/>
          <w:szCs w:val="30"/>
        </w:rPr>
      </w:pPr>
    </w:p>
    <w:p w14:paraId="49A8B845">
      <w:pPr>
        <w:rPr>
          <w:rFonts w:eastAsia="宋体"/>
          <w:sz w:val="30"/>
          <w:szCs w:val="30"/>
        </w:rPr>
      </w:pPr>
    </w:p>
    <w:p w14:paraId="41AD8203">
      <w:pPr>
        <w:pStyle w:val="2"/>
        <w:rPr>
          <w:sz w:val="30"/>
          <w:szCs w:val="30"/>
        </w:rPr>
      </w:pPr>
    </w:p>
    <w:p w14:paraId="6CD7C5FD">
      <w:pPr>
        <w:rPr>
          <w:rFonts w:eastAsia="宋体"/>
          <w:sz w:val="30"/>
          <w:szCs w:val="30"/>
        </w:rPr>
      </w:pPr>
    </w:p>
    <w:p w14:paraId="018E8B03">
      <w:pPr>
        <w:pStyle w:val="2"/>
        <w:rPr>
          <w:sz w:val="30"/>
          <w:szCs w:val="30"/>
        </w:rPr>
      </w:pPr>
    </w:p>
    <w:p w14:paraId="61BAAD14">
      <w:pPr>
        <w:rPr>
          <w:rFonts w:eastAsia="宋体"/>
          <w:sz w:val="30"/>
          <w:szCs w:val="30"/>
        </w:rPr>
      </w:pPr>
    </w:p>
    <w:p w14:paraId="143B2986">
      <w:pPr>
        <w:pStyle w:val="2"/>
        <w:rPr>
          <w:sz w:val="30"/>
          <w:szCs w:val="30"/>
        </w:rPr>
      </w:pPr>
    </w:p>
    <w:p w14:paraId="5C3332C9">
      <w:pPr>
        <w:rPr>
          <w:rFonts w:eastAsia="宋体"/>
          <w:sz w:val="30"/>
          <w:szCs w:val="30"/>
        </w:rPr>
      </w:pPr>
    </w:p>
    <w:p w14:paraId="7B7C8911">
      <w:pPr>
        <w:pStyle w:val="2"/>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2"/>
      </w:pPr>
    </w:p>
    <w:p w14:paraId="7C505A75"/>
    <w:p w14:paraId="33B22096"/>
    <w:p w14:paraId="7500C037"/>
    <w:p w14:paraId="316B2EE9"/>
    <w:p w14:paraId="266C2F6C"/>
    <w:p w14:paraId="33F19635">
      <w:pPr>
        <w:pStyle w:val="4"/>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1"/>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2"/>
        <w:numPr>
          <w:ilvl w:val="0"/>
          <w:numId w:val="11"/>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3"/>
        <w:rPr>
          <w:rFonts w:hint="default" w:ascii="Times New Roman" w:hAnsi="Times New Roman"/>
          <w:bCs/>
        </w:rPr>
      </w:pPr>
    </w:p>
    <w:p w14:paraId="147B6E05">
      <w:pPr>
        <w:rPr>
          <w:rFonts w:eastAsia="宋体"/>
          <w:bCs/>
        </w:rPr>
      </w:pPr>
    </w:p>
    <w:p w14:paraId="091BAEEA">
      <w:pPr>
        <w:pStyle w:val="3"/>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7"/>
        <w:spacing w:before="120" w:after="120"/>
        <w:ind w:left="-1" w:leftChars="-1" w:hanging="1"/>
        <w:jc w:val="center"/>
        <w:rPr>
          <w:rFonts w:eastAsia="方正小标宋_GBK"/>
          <w:b w:val="0"/>
          <w:bCs w:val="0"/>
          <w:sz w:val="32"/>
          <w:szCs w:val="32"/>
        </w:rPr>
      </w:pPr>
      <w:bookmarkStart w:id="22" w:name="_Hlk126044986"/>
      <w:bookmarkStart w:id="23" w:name="_Hlk126913563"/>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8"/>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4"/>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2"/>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2"/>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2"/>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2"/>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2"/>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2"/>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2"/>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2"/>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2"/>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2"/>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2"/>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2"/>
        <w:rPr>
          <w:kern w:val="0"/>
          <w:szCs w:val="21"/>
        </w:rPr>
      </w:pPr>
    </w:p>
    <w:p w14:paraId="1E830AE8">
      <w:pPr>
        <w:rPr>
          <w:rFonts w:eastAsia="宋体"/>
          <w:kern w:val="0"/>
          <w:szCs w:val="21"/>
        </w:rPr>
      </w:pPr>
    </w:p>
    <w:p w14:paraId="565526F1">
      <w:pPr>
        <w:pStyle w:val="2"/>
        <w:rPr>
          <w:kern w:val="0"/>
          <w:szCs w:val="21"/>
        </w:rPr>
      </w:pPr>
    </w:p>
    <w:p w14:paraId="3E301B22">
      <w:pPr>
        <w:rPr>
          <w:rFonts w:eastAsia="宋体"/>
          <w:kern w:val="0"/>
          <w:szCs w:val="21"/>
        </w:rPr>
      </w:pPr>
    </w:p>
    <w:p w14:paraId="41487727">
      <w:pPr>
        <w:pStyle w:val="2"/>
        <w:rPr>
          <w:kern w:val="0"/>
          <w:szCs w:val="21"/>
        </w:rPr>
      </w:pPr>
    </w:p>
    <w:p w14:paraId="23C2C8D9">
      <w:pPr>
        <w:rPr>
          <w:rFonts w:eastAsia="宋体"/>
          <w:kern w:val="0"/>
          <w:szCs w:val="21"/>
        </w:rPr>
      </w:pPr>
    </w:p>
    <w:p w14:paraId="5853B4CC">
      <w:pPr>
        <w:pStyle w:val="2"/>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4"/>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2"/>
      </w:pPr>
    </w:p>
    <w:p w14:paraId="2AD1001A">
      <w:pPr>
        <w:pStyle w:val="4"/>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4"/>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3"/>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2"/>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4"/>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2"/>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4"/>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2"/>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4"/>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4"/>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4"/>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4"/>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4"/>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3F6B76B-889E-4A7D-8005-5DA66C38EA6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CFD60DE-C90C-4C7E-B42C-D5B2CB4E1782}"/>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88A0F918-3DD8-44AD-BB96-1BD64C2778DC}"/>
  </w:font>
  <w:font w:name="华文中宋">
    <w:panose1 w:val="02010600040101010101"/>
    <w:charset w:val="86"/>
    <w:family w:val="auto"/>
    <w:pitch w:val="default"/>
    <w:sig w:usb0="00000287" w:usb1="080F0000" w:usb2="00000000" w:usb3="00000000" w:csb0="0004009F" w:csb1="DFD70000"/>
    <w:embedRegular r:id="rId4" w:fontKey="{7D920CA8-66E7-4B0D-9832-FB69910C9FDE}"/>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5" w:fontKey="{AF30B62B-383A-41CC-A0F5-BE0AC1A9C7A1}"/>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6" w:fontKey="{B4B27484-9346-487A-8EE6-73BFA4885907}"/>
  </w:font>
  <w:font w:name="楷体_GB2312">
    <w:panose1 w:val="02010609030101010101"/>
    <w:charset w:val="86"/>
    <w:family w:val="modern"/>
    <w:pitch w:val="default"/>
    <w:sig w:usb0="00000001" w:usb1="080E0000" w:usb2="00000000" w:usb3="00000000" w:csb0="00040000" w:csb1="00000000"/>
    <w:embedRegular r:id="rId7" w:fontKey="{7581C66A-5496-4671-88DF-7DF9BE7010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8">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1">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68E6E473"/>
    <w:multiLevelType w:val="singleLevel"/>
    <w:tmpl w:val="68E6E473"/>
    <w:lvl w:ilvl="0" w:tentative="0">
      <w:start w:val="1"/>
      <w:numFmt w:val="chineseCounting"/>
      <w:suff w:val="nothing"/>
      <w:lvlText w:val="%1、"/>
      <w:lvlJc w:val="left"/>
      <w:rPr>
        <w:rFonts w:hint="eastAsia"/>
      </w:rPr>
    </w:lvl>
  </w:abstractNum>
  <w:abstractNum w:abstractNumId="13">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4"/>
  </w:num>
  <w:num w:numId="2">
    <w:abstractNumId w:val="5"/>
  </w:num>
  <w:num w:numId="3">
    <w:abstractNumId w:val="2"/>
  </w:num>
  <w:num w:numId="4">
    <w:abstractNumId w:val="1"/>
  </w:num>
  <w:num w:numId="5">
    <w:abstractNumId w:val="12"/>
  </w:num>
  <w:num w:numId="6">
    <w:abstractNumId w:val="3"/>
  </w:num>
  <w:num w:numId="7">
    <w:abstractNumId w:val="9"/>
  </w:num>
  <w:num w:numId="8">
    <w:abstractNumId w:val="6"/>
  </w:num>
  <w:num w:numId="9">
    <w:abstractNumId w:val="8"/>
  </w:num>
  <w:num w:numId="10">
    <w:abstractNumId w:val="7"/>
  </w:num>
  <w:num w:numId="11">
    <w:abstractNumId w:val="13"/>
  </w:num>
  <w:num w:numId="12">
    <w:abstractNumId w:val="1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A4281C"/>
    <w:rsid w:val="13AC7DF0"/>
    <w:rsid w:val="13DA4490"/>
    <w:rsid w:val="14037C87"/>
    <w:rsid w:val="141E08AE"/>
    <w:rsid w:val="142150CF"/>
    <w:rsid w:val="14851297"/>
    <w:rsid w:val="148937C0"/>
    <w:rsid w:val="14AF4635"/>
    <w:rsid w:val="14D13799"/>
    <w:rsid w:val="14E81A99"/>
    <w:rsid w:val="14F93033"/>
    <w:rsid w:val="155003A2"/>
    <w:rsid w:val="15FD1A17"/>
    <w:rsid w:val="164838A4"/>
    <w:rsid w:val="16627B46"/>
    <w:rsid w:val="16714F7E"/>
    <w:rsid w:val="16B20D11"/>
    <w:rsid w:val="16D3739F"/>
    <w:rsid w:val="16FE630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E3742"/>
    <w:rsid w:val="1C3631E8"/>
    <w:rsid w:val="1C4103C8"/>
    <w:rsid w:val="1C4D015E"/>
    <w:rsid w:val="1C640D9B"/>
    <w:rsid w:val="1C832374"/>
    <w:rsid w:val="1C9416E2"/>
    <w:rsid w:val="1CC65727"/>
    <w:rsid w:val="1CEB1E1A"/>
    <w:rsid w:val="1CED5159"/>
    <w:rsid w:val="1CF27B33"/>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FB279E"/>
    <w:rsid w:val="400D4BB3"/>
    <w:rsid w:val="405252AD"/>
    <w:rsid w:val="408B342F"/>
    <w:rsid w:val="413C4A27"/>
    <w:rsid w:val="4160370A"/>
    <w:rsid w:val="4166114D"/>
    <w:rsid w:val="41676B6A"/>
    <w:rsid w:val="417D1DC2"/>
    <w:rsid w:val="41932803"/>
    <w:rsid w:val="41D260B0"/>
    <w:rsid w:val="41DA54D8"/>
    <w:rsid w:val="41E2070B"/>
    <w:rsid w:val="43860D47"/>
    <w:rsid w:val="43B62CF8"/>
    <w:rsid w:val="44AB315B"/>
    <w:rsid w:val="44BD6F46"/>
    <w:rsid w:val="450A1045"/>
    <w:rsid w:val="45294080"/>
    <w:rsid w:val="453C440C"/>
    <w:rsid w:val="455859A3"/>
    <w:rsid w:val="455F63AD"/>
    <w:rsid w:val="457B00B3"/>
    <w:rsid w:val="458614D2"/>
    <w:rsid w:val="45E74737"/>
    <w:rsid w:val="46464C0F"/>
    <w:rsid w:val="46813D02"/>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2"/>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3"/>
    <w:autoRedefine/>
    <w:qFormat/>
    <w:uiPriority w:val="0"/>
    <w:pPr>
      <w:spacing w:after="120"/>
    </w:pPr>
    <w:rPr>
      <w:rFonts w:eastAsia="宋体"/>
    </w:rPr>
  </w:style>
  <w:style w:type="paragraph" w:styleId="8">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59"/>
    <w:semiHidden/>
    <w:qFormat/>
    <w:uiPriority w:val="0"/>
    <w:pPr>
      <w:shd w:val="clear" w:color="auto" w:fill="000080"/>
    </w:pPr>
    <w:rPr>
      <w:rFonts w:eastAsia="宋体"/>
    </w:rPr>
  </w:style>
  <w:style w:type="paragraph" w:styleId="10">
    <w:name w:val="annotation text"/>
    <w:basedOn w:val="1"/>
    <w:link w:val="45"/>
    <w:qFormat/>
    <w:uiPriority w:val="0"/>
    <w:pPr>
      <w:jc w:val="left"/>
    </w:pPr>
    <w:rPr>
      <w:rFonts w:ascii="Calibri" w:hAnsi="Calibri"/>
      <w:szCs w:val="20"/>
    </w:rPr>
  </w:style>
  <w:style w:type="paragraph" w:styleId="11">
    <w:name w:val="Body Text 3"/>
    <w:basedOn w:val="1"/>
    <w:link w:val="80"/>
    <w:qFormat/>
    <w:uiPriority w:val="0"/>
    <w:pPr>
      <w:spacing w:after="120"/>
    </w:pPr>
    <w:rPr>
      <w:rFonts w:eastAsia="宋体"/>
      <w:sz w:val="16"/>
      <w:szCs w:val="16"/>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10"/>
    <w:next w:val="10"/>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10"/>
    <w:autoRedefine/>
    <w:semiHidden/>
    <w:qFormat/>
    <w:uiPriority w:val="99"/>
    <w:rPr>
      <w:rFonts w:ascii="Times New Roman" w:hAnsi="Times New Roman"/>
      <w:kern w:val="2"/>
      <w:sz w:val="21"/>
      <w:szCs w:val="24"/>
    </w:rPr>
  </w:style>
  <w:style w:type="character" w:customStyle="1" w:styleId="46">
    <w:name w:val="标题 1 字符"/>
    <w:basedOn w:val="28"/>
    <w:link w:val="3"/>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8"/>
    <w:autoRedefine/>
    <w:qFormat/>
    <w:uiPriority w:val="0"/>
    <w:rPr>
      <w:rFonts w:ascii="Times New Roman" w:hAnsi="Times New Roman" w:eastAsia="宋体"/>
      <w:kern w:val="2"/>
      <w:sz w:val="24"/>
    </w:rPr>
  </w:style>
  <w:style w:type="character" w:customStyle="1" w:styleId="51">
    <w:name w:val="标题 2 字符"/>
    <w:basedOn w:val="28"/>
    <w:link w:val="4"/>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5"/>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6"/>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9"/>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2"/>
    <w:autoRedefine/>
    <w:qFormat/>
    <w:uiPriority w:val="0"/>
    <w:rPr>
      <w:kern w:val="2"/>
      <w:sz w:val="21"/>
      <w:szCs w:val="24"/>
    </w:rPr>
  </w:style>
  <w:style w:type="paragraph" w:customStyle="1" w:styleId="64">
    <w:name w:val="TOC 标题1"/>
    <w:basedOn w:val="3"/>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1"/>
    <w:autoRedefine/>
    <w:qFormat/>
    <w:uiPriority w:val="0"/>
    <w:rPr>
      <w:kern w:val="2"/>
      <w:sz w:val="16"/>
      <w:szCs w:val="16"/>
    </w:rPr>
  </w:style>
  <w:style w:type="character" w:customStyle="1" w:styleId="81">
    <w:name w:val="标题 5 字符"/>
    <w:basedOn w:val="28"/>
    <w:link w:val="7"/>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34</Pages>
  <Words>3830</Words>
  <Characters>3943</Characters>
  <Lines>87</Lines>
  <Paragraphs>24</Paragraphs>
  <TotalTime>1</TotalTime>
  <ScaleCrop>false</ScaleCrop>
  <LinksUpToDate>false</LinksUpToDate>
  <CharactersWithSpaces>4005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2025-10-16T00:09:41Z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