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74B23">
      <w:pPr>
        <w:pStyle w:val="2"/>
        <w:ind w:left="0" w:leftChars="0" w:firstLine="0" w:firstLineChars="0"/>
        <w:rPr>
          <w:rFonts w:hint="eastAsia" w:ascii="宋体" w:hAnsi="宋体" w:eastAsia="宋体" w:cs="宋体"/>
          <w:sz w:val="28"/>
          <w:szCs w:val="28"/>
          <w:highlight w:val="none"/>
          <w:u w:val="single"/>
        </w:rPr>
      </w:pPr>
    </w:p>
    <w:p w14:paraId="7889854A">
      <w:pPr>
        <w:spacing w:line="360" w:lineRule="auto"/>
        <w:jc w:val="center"/>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t>中山大学附属第八</w:t>
      </w:r>
      <w:r>
        <w:rPr>
          <w:rFonts w:hint="eastAsia" w:ascii="宋体" w:hAnsi="宋体" w:cs="宋体"/>
          <w:b/>
          <w:bCs/>
          <w:sz w:val="32"/>
          <w:szCs w:val="32"/>
          <w:highlight w:val="none"/>
          <w:lang w:val="en-US" w:eastAsia="zh-CN"/>
        </w:rPr>
        <w:t>医院</w:t>
      </w:r>
      <w:r>
        <w:rPr>
          <w:rFonts w:hint="eastAsia" w:ascii="宋体" w:hAnsi="宋体" w:eastAsia="宋体" w:cs="宋体"/>
          <w:b/>
          <w:bCs/>
          <w:sz w:val="32"/>
          <w:szCs w:val="32"/>
          <w:highlight w:val="none"/>
          <w:lang w:eastAsia="zh-CN"/>
        </w:rPr>
        <w:t>服务类</w:t>
      </w:r>
    </w:p>
    <w:p w14:paraId="19EF4BE1">
      <w:pPr>
        <w:spacing w:line="360" w:lineRule="auto"/>
        <w:jc w:val="center"/>
        <w:rPr>
          <w:rFonts w:hint="eastAsia" w:ascii="宋体" w:hAnsi="宋体" w:eastAsia="宋体" w:cs="宋体"/>
          <w:sz w:val="32"/>
          <w:szCs w:val="32"/>
          <w:highlight w:val="none"/>
        </w:rPr>
      </w:pPr>
      <w:r>
        <w:rPr>
          <w:rFonts w:hint="eastAsia" w:ascii="宋体" w:hAnsi="宋体" w:eastAsia="宋体" w:cs="宋体"/>
          <w:b/>
          <w:bCs/>
          <w:sz w:val="32"/>
          <w:szCs w:val="32"/>
          <w:highlight w:val="none"/>
          <w:lang w:eastAsia="zh-CN"/>
        </w:rPr>
        <w:t>采购需求模板</w:t>
      </w:r>
    </w:p>
    <w:p w14:paraId="2619E9C8">
      <w:pPr>
        <w:spacing w:line="540" w:lineRule="exact"/>
        <w:ind w:firstLine="320" w:firstLineChars="100"/>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第一部分 项目基本要求</w:t>
      </w:r>
    </w:p>
    <w:p w14:paraId="0BADF9D7">
      <w:pPr>
        <w:widowControl/>
        <w:spacing w:before="100" w:beforeAutospacing="1" w:after="100" w:afterAutospacing="1" w:line="360" w:lineRule="auto"/>
        <w:ind w:firstLine="440" w:firstLineChars="200"/>
        <w:rPr>
          <w:rFonts w:hint="eastAsia" w:ascii="宋体" w:hAnsi="宋体" w:eastAsia="宋体" w:cs="宋体"/>
          <w:b w:val="0"/>
          <w:bCs w:val="0"/>
          <w:kern w:val="0"/>
          <w:sz w:val="22"/>
          <w:szCs w:val="22"/>
          <w:highlight w:val="none"/>
          <w:lang w:eastAsia="zh-CN"/>
        </w:rPr>
      </w:pPr>
      <w:r>
        <w:rPr>
          <w:rFonts w:hint="eastAsia" w:ascii="宋体" w:hAnsi="宋体" w:eastAsia="宋体" w:cs="宋体"/>
          <w:b w:val="0"/>
          <w:bCs w:val="0"/>
          <w:sz w:val="22"/>
          <w:szCs w:val="22"/>
          <w:highlight w:val="none"/>
          <w:shd w:val="clear" w:color="auto" w:fill="FFFFFF"/>
        </w:rPr>
        <w:t>一</w:t>
      </w:r>
      <w:r>
        <w:rPr>
          <w:rFonts w:hint="eastAsia" w:ascii="宋体" w:hAnsi="宋体" w:eastAsia="宋体" w:cs="宋体"/>
          <w:b w:val="0"/>
          <w:bCs w:val="0"/>
          <w:sz w:val="24"/>
          <w:szCs w:val="24"/>
          <w:highlight w:val="none"/>
          <w:shd w:val="clear" w:color="auto" w:fill="FFFFFF"/>
        </w:rPr>
        <w:t>、项目基本</w:t>
      </w:r>
      <w:r>
        <w:rPr>
          <w:rFonts w:hint="eastAsia" w:ascii="宋体" w:hAnsi="宋体" w:eastAsia="宋体" w:cs="宋体"/>
          <w:b w:val="0"/>
          <w:bCs w:val="0"/>
          <w:sz w:val="24"/>
          <w:szCs w:val="24"/>
          <w:highlight w:val="none"/>
          <w:shd w:val="clear" w:color="auto" w:fill="FFFFFF"/>
          <w:lang w:eastAsia="zh-CN"/>
        </w:rPr>
        <w:t>信息</w:t>
      </w:r>
    </w:p>
    <w:p w14:paraId="7E62A2C1">
      <w:pPr>
        <w:numPr>
          <w:ilvl w:val="0"/>
          <w:numId w:val="1"/>
        </w:numPr>
        <w:adjustRightInd w:val="0"/>
        <w:snapToGrid w:val="0"/>
        <w:spacing w:line="360" w:lineRule="auto"/>
        <w:ind w:left="0" w:leftChars="0" w:firstLine="40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项目编号：（项目编号）</w:t>
      </w:r>
    </w:p>
    <w:p w14:paraId="4EF49B15">
      <w:pPr>
        <w:numPr>
          <w:ilvl w:val="0"/>
          <w:numId w:val="1"/>
        </w:numPr>
        <w:tabs>
          <w:tab w:val="left" w:pos="567"/>
        </w:tabs>
        <w:adjustRightInd w:val="0"/>
        <w:snapToGrid w:val="0"/>
        <w:spacing w:line="360" w:lineRule="auto"/>
        <w:ind w:left="0" w:leftChars="0" w:firstLine="400" w:firstLineChars="0"/>
        <w:rPr>
          <w:rFonts w:hint="eastAsia" w:ascii="宋体" w:hAnsi="宋体" w:eastAsia="宋体" w:cs="宋体"/>
          <w:sz w:val="24"/>
          <w:szCs w:val="24"/>
          <w:highlight w:val="none"/>
        </w:rPr>
      </w:pPr>
      <w:r>
        <w:rPr>
          <w:rFonts w:hint="eastAsia" w:ascii="宋体" w:hAnsi="宋体" w:eastAsia="宋体" w:cs="宋体"/>
          <w:bCs/>
          <w:sz w:val="24"/>
          <w:szCs w:val="24"/>
          <w:highlight w:val="none"/>
        </w:rPr>
        <w:t>采购项目名称：</w:t>
      </w:r>
      <w:r>
        <w:rPr>
          <w:rFonts w:hint="eastAsia" w:ascii="宋体" w:hAnsi="宋体" w:eastAsia="宋体" w:cs="宋体"/>
          <w:sz w:val="24"/>
          <w:szCs w:val="24"/>
          <w:highlight w:val="none"/>
          <w:lang w:val="en-US" w:eastAsia="zh-CN"/>
        </w:rPr>
        <w:t>中山大学附属第八</w:t>
      </w:r>
      <w:r>
        <w:rPr>
          <w:rFonts w:hint="eastAsia" w:ascii="宋体" w:hAnsi="宋体" w:cs="宋体"/>
          <w:sz w:val="24"/>
          <w:szCs w:val="24"/>
          <w:highlight w:val="none"/>
          <w:lang w:val="en-US" w:eastAsia="zh-CN"/>
        </w:rPr>
        <w:t>医院</w:t>
      </w:r>
      <w:r>
        <w:rPr>
          <w:rFonts w:hint="eastAsia" w:ascii="宋体" w:hAnsi="宋体" w:eastAsia="宋体" w:cs="宋体"/>
          <w:sz w:val="24"/>
          <w:szCs w:val="24"/>
          <w:highlight w:val="none"/>
          <w:lang w:val="en-US" w:eastAsia="zh-CN"/>
        </w:rPr>
        <w:t>（深圳福田）餐饮外包服务</w:t>
      </w:r>
    </w:p>
    <w:p w14:paraId="56353F22">
      <w:pPr>
        <w:pStyle w:val="2"/>
        <w:numPr>
          <w:ilvl w:val="0"/>
          <w:numId w:val="1"/>
        </w:numPr>
        <w:ind w:left="0" w:leftChars="0" w:firstLine="40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采购方式：公开招标</w:t>
      </w:r>
    </w:p>
    <w:p w14:paraId="7F8B9970">
      <w:pPr>
        <w:numPr>
          <w:ilvl w:val="0"/>
          <w:numId w:val="1"/>
        </w:numPr>
        <w:adjustRightInd w:val="0"/>
        <w:snapToGrid w:val="0"/>
        <w:spacing w:line="360" w:lineRule="auto"/>
        <w:ind w:left="0" w:leftChars="0" w:firstLine="400" w:firstLineChars="0"/>
        <w:rPr>
          <w:rFonts w:hint="eastAsia" w:ascii="宋体" w:hAnsi="宋体" w:eastAsia="宋体" w:cs="宋体"/>
          <w:bCs/>
          <w:sz w:val="24"/>
          <w:szCs w:val="24"/>
          <w:highlight w:val="none"/>
        </w:rPr>
      </w:pPr>
      <w:r>
        <w:rPr>
          <w:rFonts w:hint="eastAsia" w:ascii="宋体" w:hAnsi="宋体" w:eastAsia="宋体" w:cs="宋体"/>
          <w:sz w:val="24"/>
          <w:szCs w:val="24"/>
          <w:highlight w:val="none"/>
        </w:rPr>
        <w:t>评标方法：综合评分法/最低评标价法</w:t>
      </w:r>
    </w:p>
    <w:p w14:paraId="17D59DBD">
      <w:pPr>
        <w:numPr>
          <w:ilvl w:val="0"/>
          <w:numId w:val="1"/>
        </w:numPr>
        <w:adjustRightInd w:val="0"/>
        <w:snapToGrid w:val="0"/>
        <w:spacing w:line="360" w:lineRule="auto"/>
        <w:ind w:left="0" w:leftChars="0" w:firstLine="400" w:firstLineChars="0"/>
        <w:rPr>
          <w:rFonts w:hint="eastAsia" w:ascii="宋体" w:hAnsi="宋体" w:eastAsia="宋体" w:cs="宋体"/>
          <w:sz w:val="24"/>
          <w:szCs w:val="24"/>
          <w:highlight w:val="none"/>
        </w:rPr>
      </w:pPr>
      <w:r>
        <w:rPr>
          <w:rFonts w:hint="eastAsia" w:ascii="宋体" w:hAnsi="宋体" w:eastAsia="宋体" w:cs="宋体"/>
          <w:bCs/>
          <w:sz w:val="24"/>
          <w:szCs w:val="24"/>
          <w:highlight w:val="none"/>
        </w:rPr>
        <w:t>预算金额</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无</w:t>
      </w:r>
    </w:p>
    <w:p w14:paraId="01923916">
      <w:pPr>
        <w:numPr>
          <w:ilvl w:val="0"/>
          <w:numId w:val="1"/>
        </w:numPr>
        <w:tabs>
          <w:tab w:val="left" w:pos="567"/>
        </w:tabs>
        <w:adjustRightInd w:val="0"/>
        <w:snapToGrid w:val="0"/>
        <w:spacing w:line="360" w:lineRule="auto"/>
        <w:ind w:left="0" w:leftChars="0" w:firstLine="40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最高限价</w:t>
      </w:r>
      <w:r>
        <w:rPr>
          <w:rFonts w:hint="eastAsia" w:ascii="宋体" w:hAnsi="宋体" w:eastAsia="宋体" w:cs="宋体"/>
          <w:sz w:val="24"/>
          <w:szCs w:val="24"/>
          <w:highlight w:val="none"/>
          <w:lang w:eastAsia="zh-CN"/>
        </w:rPr>
        <w:t>：无</w:t>
      </w:r>
    </w:p>
    <w:p w14:paraId="525F1DF1">
      <w:pPr>
        <w:numPr>
          <w:ilvl w:val="0"/>
          <w:numId w:val="1"/>
        </w:numPr>
        <w:tabs>
          <w:tab w:val="left" w:pos="567"/>
        </w:tabs>
        <w:adjustRightInd w:val="0"/>
        <w:snapToGrid w:val="0"/>
        <w:spacing w:line="360" w:lineRule="auto"/>
        <w:ind w:left="0" w:leftChars="0" w:firstLine="400" w:firstLineChars="0"/>
        <w:rPr>
          <w:rFonts w:hint="eastAsia" w:ascii="宋体" w:hAnsi="宋体" w:eastAsia="宋体" w:cs="宋体"/>
          <w:sz w:val="24"/>
          <w:szCs w:val="24"/>
          <w:highlight w:val="none"/>
        </w:rPr>
      </w:pPr>
      <w:r>
        <w:rPr>
          <w:rFonts w:hint="eastAsia" w:ascii="宋体" w:hAnsi="宋体" w:eastAsia="宋体" w:cs="宋体"/>
          <w:bCs/>
          <w:sz w:val="24"/>
          <w:szCs w:val="24"/>
          <w:highlight w:val="none"/>
        </w:rPr>
        <w:t>采购需求：</w:t>
      </w:r>
    </w:p>
    <w:tbl>
      <w:tblPr>
        <w:tblStyle w:val="13"/>
        <w:tblW w:w="8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4"/>
        <w:gridCol w:w="1197"/>
        <w:gridCol w:w="2440"/>
        <w:gridCol w:w="1071"/>
      </w:tblGrid>
      <w:tr w14:paraId="7DB1B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3544" w:type="dxa"/>
            <w:shd w:val="clear" w:color="auto" w:fill="EEECE1"/>
            <w:vAlign w:val="center"/>
          </w:tcPr>
          <w:p w14:paraId="21E6EB0B">
            <w:pPr>
              <w:keepLines w:val="0"/>
              <w:pageBreakBefore w:val="0"/>
              <w:widowControl w:val="0"/>
              <w:kinsoku/>
              <w:wordWrap/>
              <w:overflowPunct/>
              <w:topLinePunct w:val="0"/>
              <w:autoSpaceDE/>
              <w:autoSpaceDN/>
              <w:bidi w:val="0"/>
              <w:adjustRightInd w:val="0"/>
              <w:snapToGrid w:val="0"/>
              <w:ind w:firstLine="0" w:firstLineChars="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采购内容</w:t>
            </w:r>
          </w:p>
        </w:tc>
        <w:tc>
          <w:tcPr>
            <w:tcW w:w="1197" w:type="dxa"/>
            <w:shd w:val="clear" w:color="auto" w:fill="EEECE1"/>
            <w:vAlign w:val="center"/>
          </w:tcPr>
          <w:p w14:paraId="3559CB55">
            <w:pPr>
              <w:keepLines w:val="0"/>
              <w:pageBreakBefore w:val="0"/>
              <w:widowControl w:val="0"/>
              <w:kinsoku/>
              <w:wordWrap/>
              <w:overflowPunct/>
              <w:topLinePunct w:val="0"/>
              <w:autoSpaceDE/>
              <w:autoSpaceDN/>
              <w:bidi w:val="0"/>
              <w:adjustRightInd w:val="0"/>
              <w:snapToGrid w:val="0"/>
              <w:ind w:firstLine="0" w:firstLineChars="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数量</w:t>
            </w:r>
          </w:p>
        </w:tc>
        <w:tc>
          <w:tcPr>
            <w:tcW w:w="2440" w:type="dxa"/>
            <w:shd w:val="clear" w:color="auto" w:fill="EEECE1"/>
            <w:vAlign w:val="center"/>
          </w:tcPr>
          <w:p w14:paraId="2B5086F6">
            <w:pPr>
              <w:keepLines w:val="0"/>
              <w:pageBreakBefore w:val="0"/>
              <w:widowControl w:val="0"/>
              <w:kinsoku/>
              <w:wordWrap/>
              <w:overflowPunct/>
              <w:topLinePunct w:val="0"/>
              <w:autoSpaceDE/>
              <w:autoSpaceDN/>
              <w:bidi w:val="0"/>
              <w:adjustRightInd w:val="0"/>
              <w:snapToGrid w:val="0"/>
              <w:ind w:firstLine="0" w:firstLineChars="0"/>
              <w:jc w:val="center"/>
              <w:rPr>
                <w:rFonts w:hint="eastAsia" w:ascii="宋体" w:hAnsi="宋体" w:eastAsia="宋体" w:cs="宋体"/>
                <w:b/>
                <w:sz w:val="24"/>
                <w:szCs w:val="24"/>
                <w:highlight w:val="none"/>
              </w:rPr>
            </w:pPr>
            <w:r>
              <w:rPr>
                <w:rFonts w:hint="eastAsia" w:ascii="宋体" w:hAnsi="宋体" w:eastAsia="宋体" w:cs="宋体"/>
                <w:b/>
                <w:bCs/>
                <w:kern w:val="0"/>
                <w:sz w:val="24"/>
                <w:szCs w:val="24"/>
                <w:highlight w:val="none"/>
              </w:rPr>
              <w:t>简要技术需求</w:t>
            </w:r>
          </w:p>
        </w:tc>
        <w:tc>
          <w:tcPr>
            <w:tcW w:w="1071" w:type="dxa"/>
            <w:shd w:val="clear" w:color="auto" w:fill="EEECE1"/>
            <w:vAlign w:val="center"/>
          </w:tcPr>
          <w:p w14:paraId="7858DF31">
            <w:pPr>
              <w:keepLines w:val="0"/>
              <w:pageBreakBefore w:val="0"/>
              <w:widowControl w:val="0"/>
              <w:kinsoku/>
              <w:wordWrap/>
              <w:overflowPunct/>
              <w:topLinePunct w:val="0"/>
              <w:autoSpaceDE/>
              <w:autoSpaceDN/>
              <w:bidi w:val="0"/>
              <w:adjustRightInd w:val="0"/>
              <w:snapToGrid w:val="0"/>
              <w:ind w:firstLine="0" w:firstLineChars="0"/>
              <w:jc w:val="center"/>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备注</w:t>
            </w:r>
          </w:p>
        </w:tc>
      </w:tr>
      <w:tr w14:paraId="50848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jc w:val="center"/>
        </w:trPr>
        <w:tc>
          <w:tcPr>
            <w:tcW w:w="3544" w:type="dxa"/>
            <w:vAlign w:val="center"/>
          </w:tcPr>
          <w:p w14:paraId="716A2C71">
            <w:pPr>
              <w:keepLines w:val="0"/>
              <w:pageBreakBefore w:val="0"/>
              <w:widowControl w:val="0"/>
              <w:kinsoku/>
              <w:wordWrap/>
              <w:overflowPunct/>
              <w:topLinePunct w:val="0"/>
              <w:autoSpaceDE/>
              <w:autoSpaceDN/>
              <w:bidi w:val="0"/>
              <w:adjustRightInd w:val="0"/>
              <w:snapToGrid w:val="0"/>
              <w:ind w:firstLine="0" w:firstLineChars="0"/>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lang w:val="en-US" w:eastAsia="zh-CN"/>
              </w:rPr>
              <w:t>中山大学附属第八</w:t>
            </w:r>
            <w:r>
              <w:rPr>
                <w:rFonts w:hint="eastAsia" w:ascii="宋体" w:hAnsi="宋体" w:cs="宋体"/>
                <w:sz w:val="24"/>
                <w:szCs w:val="24"/>
                <w:highlight w:val="none"/>
                <w:lang w:val="en-US" w:eastAsia="zh-CN"/>
              </w:rPr>
              <w:t>医院</w:t>
            </w:r>
            <w:r>
              <w:rPr>
                <w:rFonts w:hint="eastAsia" w:ascii="宋体" w:hAnsi="宋体" w:eastAsia="宋体" w:cs="宋体"/>
                <w:sz w:val="24"/>
                <w:szCs w:val="24"/>
                <w:highlight w:val="none"/>
                <w:lang w:val="en-US" w:eastAsia="zh-CN"/>
              </w:rPr>
              <w:t>（深圳福田）餐饮外包服务</w:t>
            </w:r>
          </w:p>
        </w:tc>
        <w:tc>
          <w:tcPr>
            <w:tcW w:w="1197" w:type="dxa"/>
            <w:vAlign w:val="center"/>
          </w:tcPr>
          <w:p w14:paraId="339F4356">
            <w:pPr>
              <w:keepLines w:val="0"/>
              <w:pageBreakBefore w:val="0"/>
              <w:widowControl w:val="0"/>
              <w:kinsoku/>
              <w:wordWrap/>
              <w:overflowPunct/>
              <w:topLinePunct w:val="0"/>
              <w:autoSpaceDE/>
              <w:autoSpaceDN/>
              <w:bidi w:val="0"/>
              <w:adjustRightInd w:val="0"/>
              <w:snapToGrid w:val="0"/>
              <w:ind w:firstLine="0" w:firstLineChars="0"/>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w:t>
            </w:r>
          </w:p>
        </w:tc>
        <w:tc>
          <w:tcPr>
            <w:tcW w:w="2440" w:type="dxa"/>
            <w:vAlign w:val="center"/>
          </w:tcPr>
          <w:p w14:paraId="098254B4">
            <w:pPr>
              <w:pStyle w:val="19"/>
              <w:keepLines w:val="0"/>
              <w:pageBreakBefore w:val="0"/>
              <w:widowControl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spacing w:val="0"/>
                <w:kern w:val="2"/>
                <w:sz w:val="24"/>
                <w:szCs w:val="24"/>
                <w:highlight w:val="none"/>
                <w:lang w:eastAsia="zh-CN"/>
              </w:rPr>
            </w:pPr>
            <w:r>
              <w:rPr>
                <w:rFonts w:hint="eastAsia" w:ascii="宋体" w:hAnsi="宋体" w:eastAsia="宋体" w:cs="宋体"/>
                <w:spacing w:val="0"/>
                <w:kern w:val="2"/>
                <w:sz w:val="24"/>
                <w:szCs w:val="24"/>
                <w:highlight w:val="none"/>
              </w:rPr>
              <w:t>详见采购项目</w:t>
            </w:r>
            <w:r>
              <w:rPr>
                <w:rFonts w:hint="eastAsia" w:ascii="宋体" w:hAnsi="宋体" w:eastAsia="宋体" w:cs="宋体"/>
                <w:spacing w:val="0"/>
                <w:kern w:val="2"/>
                <w:sz w:val="24"/>
                <w:szCs w:val="24"/>
                <w:highlight w:val="none"/>
                <w:lang w:eastAsia="zh-CN"/>
              </w:rPr>
              <w:t>需求</w:t>
            </w:r>
          </w:p>
        </w:tc>
        <w:tc>
          <w:tcPr>
            <w:tcW w:w="1071" w:type="dxa"/>
            <w:vAlign w:val="center"/>
          </w:tcPr>
          <w:p w14:paraId="174A79C0">
            <w:pPr>
              <w:pStyle w:val="19"/>
              <w:keepLines w:val="0"/>
              <w:pageBreakBefore w:val="0"/>
              <w:widowControl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snapToGrid/>
                <w:spacing w:val="0"/>
                <w:kern w:val="2"/>
                <w:sz w:val="24"/>
                <w:szCs w:val="24"/>
                <w:highlight w:val="none"/>
                <w:lang w:eastAsia="zh-CN"/>
              </w:rPr>
            </w:pPr>
            <w:r>
              <w:rPr>
                <w:rFonts w:hint="eastAsia" w:ascii="宋体" w:hAnsi="宋体" w:eastAsia="宋体" w:cs="宋体"/>
                <w:snapToGrid/>
                <w:spacing w:val="0"/>
                <w:kern w:val="2"/>
                <w:sz w:val="24"/>
                <w:szCs w:val="24"/>
                <w:highlight w:val="none"/>
                <w:lang w:val="en-US" w:eastAsia="zh-CN"/>
              </w:rPr>
              <w:t>服务类</w:t>
            </w:r>
          </w:p>
        </w:tc>
      </w:tr>
    </w:tbl>
    <w:p w14:paraId="13AEDB05">
      <w:pPr>
        <w:widowControl/>
        <w:numPr>
          <w:ilvl w:val="0"/>
          <w:numId w:val="0"/>
        </w:numPr>
        <w:spacing w:before="100" w:beforeAutospacing="1" w:after="100" w:afterAutospacing="1" w:line="360" w:lineRule="auto"/>
        <w:rPr>
          <w:rFonts w:hint="eastAsia" w:ascii="宋体" w:hAnsi="宋体" w:eastAsia="宋体" w:cs="宋体"/>
          <w:sz w:val="24"/>
          <w:szCs w:val="24"/>
          <w:highlight w:val="none"/>
        </w:rPr>
      </w:pPr>
    </w:p>
    <w:p w14:paraId="02713313">
      <w:pPr>
        <w:widowControl/>
        <w:numPr>
          <w:ilvl w:val="0"/>
          <w:numId w:val="2"/>
        </w:numPr>
        <w:spacing w:before="100" w:beforeAutospacing="1" w:after="100" w:afterAutospacing="1" w:line="360" w:lineRule="auto"/>
        <w:ind w:left="480" w:leftChars="200"/>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shd w:val="clear" w:color="auto" w:fill="FFFFFF"/>
        </w:rPr>
        <w:t>投标人资格要求</w:t>
      </w:r>
    </w:p>
    <w:p w14:paraId="0037E5D0">
      <w:pPr>
        <w:numPr>
          <w:ilvl w:val="0"/>
          <w:numId w:val="3"/>
        </w:numPr>
        <w:tabs>
          <w:tab w:val="left" w:pos="567"/>
        </w:tabs>
        <w:adjustRightInd w:val="0"/>
        <w:snapToGrid w:val="0"/>
        <w:spacing w:line="520" w:lineRule="atLeast"/>
        <w:rPr>
          <w:rFonts w:hint="eastAsia" w:hAnsi="宋体" w:eastAsia="宋体"/>
          <w:sz w:val="24"/>
          <w:highlight w:val="none"/>
        </w:rPr>
      </w:pPr>
      <w:bookmarkStart w:id="0" w:name="_Hlk72162904"/>
      <w:r>
        <w:rPr>
          <w:rFonts w:hint="eastAsia" w:hAnsi="宋体" w:eastAsia="宋体"/>
          <w:sz w:val="24"/>
          <w:highlight w:val="none"/>
        </w:rPr>
        <w:t>具有独立法人资格或是具有独立承担民事责任能力的其它组织（提供营业执照或事业单位法人证书等证明资料扫描件 ）；</w:t>
      </w:r>
      <w:bookmarkEnd w:id="0"/>
    </w:p>
    <w:p w14:paraId="6533DD5A">
      <w:pPr>
        <w:numPr>
          <w:ilvl w:val="0"/>
          <w:numId w:val="3"/>
        </w:numPr>
        <w:tabs>
          <w:tab w:val="left" w:pos="567"/>
        </w:tabs>
        <w:adjustRightInd w:val="0"/>
        <w:snapToGrid w:val="0"/>
        <w:spacing w:line="520" w:lineRule="atLeast"/>
        <w:rPr>
          <w:rFonts w:hint="eastAsia" w:hAnsi="宋体" w:eastAsia="宋体"/>
          <w:sz w:val="24"/>
          <w:highlight w:val="none"/>
        </w:rPr>
      </w:pPr>
      <w:r>
        <w:rPr>
          <w:rFonts w:hint="eastAsia" w:hAnsi="宋体" w:eastAsia="宋体"/>
          <w:sz w:val="24"/>
          <w:highlight w:val="none"/>
        </w:rPr>
        <w:t>本项目不接受联合体投标，不接受投标人选用进口产品参与投标；</w:t>
      </w:r>
    </w:p>
    <w:p w14:paraId="75A8FCD9">
      <w:pPr>
        <w:numPr>
          <w:ilvl w:val="0"/>
          <w:numId w:val="3"/>
        </w:numPr>
        <w:tabs>
          <w:tab w:val="left" w:pos="567"/>
        </w:tabs>
        <w:adjustRightInd w:val="0"/>
        <w:snapToGrid w:val="0"/>
        <w:spacing w:line="520" w:lineRule="atLeast"/>
        <w:rPr>
          <w:rFonts w:hint="eastAsia" w:hAnsi="宋体" w:eastAsia="宋体"/>
          <w:sz w:val="24"/>
          <w:highlight w:val="none"/>
        </w:rPr>
      </w:pPr>
      <w:r>
        <w:rPr>
          <w:rFonts w:hint="eastAsia" w:hAnsi="宋体" w:eastAsia="宋体"/>
          <w:sz w:val="24"/>
          <w:highlight w:val="none"/>
        </w:rPr>
        <w:t>参与本项目投标前三年内，在经营活动中没有重大违法记录（由供应商在《政府采购投标及履约承诺函》中作出声明）；</w:t>
      </w:r>
    </w:p>
    <w:p w14:paraId="187C2C90">
      <w:pPr>
        <w:numPr>
          <w:ilvl w:val="0"/>
          <w:numId w:val="3"/>
        </w:numPr>
        <w:tabs>
          <w:tab w:val="left" w:pos="567"/>
        </w:tabs>
        <w:adjustRightInd w:val="0"/>
        <w:snapToGrid w:val="0"/>
        <w:spacing w:line="520" w:lineRule="atLeast"/>
        <w:rPr>
          <w:rFonts w:hint="eastAsia" w:hAnsi="宋体" w:eastAsia="宋体"/>
          <w:sz w:val="24"/>
          <w:highlight w:val="none"/>
        </w:rPr>
      </w:pPr>
      <w:r>
        <w:rPr>
          <w:rFonts w:hint="eastAsia" w:hAnsi="宋体" w:eastAsia="宋体"/>
          <w:sz w:val="24"/>
          <w:highlight w:val="none"/>
        </w:rPr>
        <w:t>参与本项目政府采购活动时不存在被有关部门禁止参与政府采购活动且在有效期内的情况（由供应商在《政府采购投标及履约承诺函》中作出声明）；</w:t>
      </w:r>
    </w:p>
    <w:p w14:paraId="40AECB38">
      <w:pPr>
        <w:numPr>
          <w:ilvl w:val="0"/>
          <w:numId w:val="3"/>
        </w:numPr>
        <w:tabs>
          <w:tab w:val="left" w:pos="567"/>
        </w:tabs>
        <w:adjustRightInd w:val="0"/>
        <w:snapToGrid w:val="0"/>
        <w:spacing w:line="520" w:lineRule="atLeast"/>
        <w:rPr>
          <w:rFonts w:hint="eastAsia" w:hAnsi="宋体" w:eastAsia="宋体"/>
          <w:sz w:val="24"/>
          <w:highlight w:val="none"/>
        </w:rPr>
      </w:pPr>
      <w:r>
        <w:rPr>
          <w:rFonts w:hint="eastAsia" w:hAnsi="宋体" w:eastAsia="宋体"/>
          <w:sz w:val="24"/>
          <w:highlight w:val="none"/>
        </w:rPr>
        <w:t>具备《中华人民共和国政府采购法》第二十二条第一款的条件（由供应商在《政府采购投标及履约承诺函》中作出声明）；</w:t>
      </w:r>
    </w:p>
    <w:p w14:paraId="6F46C819">
      <w:pPr>
        <w:numPr>
          <w:ilvl w:val="0"/>
          <w:numId w:val="3"/>
        </w:numPr>
        <w:tabs>
          <w:tab w:val="left" w:pos="567"/>
        </w:tabs>
        <w:adjustRightInd w:val="0"/>
        <w:snapToGrid w:val="0"/>
        <w:spacing w:line="520" w:lineRule="atLeast"/>
        <w:rPr>
          <w:rFonts w:hint="eastAsia" w:hAnsi="宋体" w:eastAsia="宋体"/>
          <w:sz w:val="24"/>
          <w:highlight w:val="none"/>
        </w:rPr>
      </w:pPr>
      <w:r>
        <w:rPr>
          <w:rFonts w:hint="eastAsia" w:hAnsi="宋体" w:eastAsia="宋体"/>
          <w:sz w:val="24"/>
          <w:highlight w:val="none"/>
        </w:rPr>
        <w:t>未被列入失信被执行人、重大税收违法案件当事人名单、政府采购严重违法失信行为记录名单（由供应商在《政府采购投标及履约承诺函》中作出声明）。</w:t>
      </w:r>
    </w:p>
    <w:p w14:paraId="5F8D02E6">
      <w:pPr>
        <w:numPr>
          <w:ilvl w:val="0"/>
          <w:numId w:val="3"/>
        </w:numPr>
        <w:tabs>
          <w:tab w:val="left" w:pos="567"/>
        </w:tabs>
        <w:adjustRightInd w:val="0"/>
        <w:snapToGrid w:val="0"/>
        <w:spacing w:line="520" w:lineRule="atLeast"/>
        <w:rPr>
          <w:rFonts w:hint="eastAsia" w:hAnsi="宋体" w:eastAsia="宋体"/>
          <w:sz w:val="24"/>
          <w:highlight w:val="none"/>
        </w:rPr>
      </w:pPr>
      <w:r>
        <w:rPr>
          <w:rFonts w:hint="eastAsia" w:hAnsi="宋体" w:eastAsia="宋体"/>
          <w:sz w:val="24"/>
          <w:highlight w:val="none"/>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p>
    <w:p w14:paraId="2AE0697C">
      <w:pPr>
        <w:numPr>
          <w:ilvl w:val="0"/>
          <w:numId w:val="3"/>
        </w:numPr>
        <w:tabs>
          <w:tab w:val="left" w:pos="567"/>
        </w:tabs>
        <w:adjustRightInd w:val="0"/>
        <w:snapToGrid w:val="0"/>
        <w:spacing w:line="520" w:lineRule="atLeast"/>
        <w:rPr>
          <w:rFonts w:hint="eastAsia" w:hAnsi="宋体" w:eastAsia="宋体"/>
          <w:sz w:val="24"/>
          <w:highlight w:val="none"/>
        </w:rPr>
      </w:pPr>
      <w:r>
        <w:rPr>
          <w:rFonts w:hint="eastAsia" w:hAnsi="宋体" w:eastAsia="宋体"/>
          <w:sz w:val="24"/>
          <w:highlight w:val="none"/>
          <w:lang w:val="en-US" w:eastAsia="zh-CN"/>
        </w:rPr>
        <w:t>有</w:t>
      </w:r>
      <w:r>
        <w:rPr>
          <w:rFonts w:hint="eastAsia" w:hAnsi="宋体"/>
          <w:sz w:val="24"/>
          <w:highlight w:val="none"/>
          <w:lang w:val="en-US" w:eastAsia="zh-CN"/>
        </w:rPr>
        <w:t>市场监督管理</w:t>
      </w:r>
      <w:r>
        <w:rPr>
          <w:rFonts w:hint="eastAsia" w:hAnsi="宋体" w:eastAsia="宋体"/>
          <w:sz w:val="24"/>
          <w:highlight w:val="none"/>
          <w:lang w:val="en-US" w:eastAsia="zh-CN"/>
        </w:rPr>
        <w:t>部门颁发的有效的《食品经营许可证》。</w:t>
      </w:r>
    </w:p>
    <w:p w14:paraId="71A9E2E1">
      <w:pPr>
        <w:numPr>
          <w:ilvl w:val="0"/>
          <w:numId w:val="3"/>
        </w:numPr>
        <w:tabs>
          <w:tab w:val="left" w:pos="567"/>
        </w:tabs>
        <w:adjustRightInd w:val="0"/>
        <w:snapToGrid w:val="0"/>
        <w:spacing w:line="520" w:lineRule="atLeast"/>
        <w:ind w:firstLine="720"/>
        <w:rPr>
          <w:rFonts w:hint="default" w:hAnsi="宋体" w:eastAsia="宋体"/>
          <w:sz w:val="24"/>
          <w:highlight w:val="none"/>
          <w:lang w:val="en-US" w:eastAsia="zh-CN"/>
        </w:rPr>
      </w:pPr>
      <w:r>
        <w:rPr>
          <w:rFonts w:hint="eastAsia" w:hAnsi="宋体" w:eastAsia="宋体"/>
          <w:sz w:val="24"/>
          <w:highlight w:val="none"/>
          <w:lang w:val="en-US" w:eastAsia="zh-CN"/>
        </w:rPr>
        <w:t>本项目不接</w:t>
      </w:r>
      <w:r>
        <w:rPr>
          <w:rFonts w:hint="eastAsia" w:hAnsi="宋体"/>
          <w:sz w:val="24"/>
          <w:highlight w:val="none"/>
          <w:lang w:val="en-US" w:eastAsia="zh-CN"/>
        </w:rPr>
        <w:t>受</w:t>
      </w:r>
      <w:r>
        <w:rPr>
          <w:rFonts w:hint="eastAsia" w:hAnsi="宋体" w:eastAsia="宋体"/>
          <w:sz w:val="24"/>
          <w:highlight w:val="none"/>
          <w:lang w:val="en-US" w:eastAsia="zh-CN"/>
        </w:rPr>
        <w:t>联合体投标，不得转包。</w:t>
      </w:r>
    </w:p>
    <w:p w14:paraId="3B24D104">
      <w:pPr>
        <w:spacing w:line="540" w:lineRule="exact"/>
        <w:ind w:firstLine="320" w:firstLineChars="100"/>
        <w:jc w:val="center"/>
        <w:rPr>
          <w:rFonts w:hint="eastAsia" w:ascii="宋体" w:hAnsi="宋体" w:eastAsia="宋体" w:cs="宋体"/>
          <w:sz w:val="32"/>
          <w:szCs w:val="32"/>
          <w:highlight w:val="none"/>
          <w:lang w:eastAsia="zh-CN"/>
        </w:rPr>
      </w:pPr>
    </w:p>
    <w:p w14:paraId="302B99BF">
      <w:pPr>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br w:type="page"/>
      </w:r>
    </w:p>
    <w:p w14:paraId="66A031CD">
      <w:pPr>
        <w:spacing w:line="540" w:lineRule="exact"/>
        <w:ind w:firstLine="320" w:firstLineChars="100"/>
        <w:jc w:val="center"/>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第二部分</w:t>
      </w:r>
      <w:r>
        <w:rPr>
          <w:rFonts w:hint="eastAsia" w:ascii="宋体" w:hAnsi="宋体" w:eastAsia="宋体" w:cs="宋体"/>
          <w:sz w:val="32"/>
          <w:szCs w:val="32"/>
          <w:highlight w:val="none"/>
          <w:lang w:val="en-US" w:eastAsia="zh-CN"/>
        </w:rPr>
        <w:t xml:space="preserve"> </w:t>
      </w:r>
      <w:r>
        <w:rPr>
          <w:rFonts w:hint="eastAsia" w:ascii="宋体" w:hAnsi="宋体" w:eastAsia="宋体" w:cs="宋体"/>
          <w:sz w:val="32"/>
          <w:szCs w:val="32"/>
          <w:highlight w:val="none"/>
        </w:rPr>
        <w:t>采购项目</w:t>
      </w:r>
      <w:r>
        <w:rPr>
          <w:rFonts w:hint="eastAsia" w:ascii="宋体" w:hAnsi="宋体" w:eastAsia="宋体" w:cs="宋体"/>
          <w:sz w:val="32"/>
          <w:szCs w:val="32"/>
          <w:highlight w:val="none"/>
          <w:lang w:eastAsia="zh-CN"/>
        </w:rPr>
        <w:t>需求（用户需求书）</w:t>
      </w:r>
    </w:p>
    <w:p w14:paraId="3DD1CF91">
      <w:pPr>
        <w:pStyle w:val="2"/>
        <w:numPr>
          <w:ilvl w:val="0"/>
          <w:numId w:val="0"/>
        </w:numPr>
        <w:rPr>
          <w:rFonts w:hint="eastAsia" w:ascii="宋体" w:hAnsi="宋体" w:eastAsia="宋体" w:cs="宋体"/>
          <w:highlight w:val="none"/>
          <w:lang w:eastAsia="zh-CN"/>
        </w:rPr>
      </w:pPr>
    </w:p>
    <w:p w14:paraId="3DD4EF43">
      <w:pPr>
        <w:numPr>
          <w:ilvl w:val="0"/>
          <w:numId w:val="0"/>
        </w:numPr>
        <w:tabs>
          <w:tab w:val="left" w:pos="567"/>
        </w:tabs>
        <w:adjustRightInd w:val="0"/>
        <w:snapToGrid w:val="0"/>
        <w:spacing w:line="360" w:lineRule="auto"/>
        <w:ind w:left="400" w:left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说明：</w:t>
      </w:r>
    </w:p>
    <w:p w14:paraId="0C050AC6">
      <w:pPr>
        <w:numPr>
          <w:ilvl w:val="0"/>
          <w:numId w:val="4"/>
        </w:numPr>
        <w:tabs>
          <w:tab w:val="left" w:pos="567"/>
        </w:tabs>
        <w:adjustRightInd w:val="0"/>
        <w:snapToGrid w:val="0"/>
        <w:spacing w:line="360" w:lineRule="auto"/>
        <w:ind w:left="0" w:leftChars="0" w:firstLine="40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投标人须对本项目的采购标的或服务内容进行整体响应，任何只对采购标的或服务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内容其中一部分内容进行的响应都被视为无效投标。</w:t>
      </w:r>
    </w:p>
    <w:p w14:paraId="43EF6527">
      <w:pPr>
        <w:numPr>
          <w:ilvl w:val="0"/>
          <w:numId w:val="4"/>
        </w:numPr>
        <w:tabs>
          <w:tab w:val="left" w:pos="567"/>
        </w:tabs>
        <w:adjustRightInd w:val="0"/>
        <w:snapToGrid w:val="0"/>
        <w:spacing w:line="360" w:lineRule="auto"/>
        <w:ind w:left="0" w:leftChars="0" w:firstLine="40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用户需求书中打“★”号条款为实质性条款，有任何一条负偏离则导致无效投标</w:t>
      </w:r>
      <w:r>
        <w:rPr>
          <w:rFonts w:hint="eastAsia" w:ascii="宋体" w:hAnsi="宋体" w:eastAsia="宋体" w:cs="宋体"/>
          <w:sz w:val="24"/>
          <w:szCs w:val="24"/>
          <w:highlight w:val="none"/>
          <w:lang w:eastAsia="zh-CN"/>
        </w:rPr>
        <w:t>。</w:t>
      </w:r>
    </w:p>
    <w:p w14:paraId="3F279DFF">
      <w:pPr>
        <w:numPr>
          <w:ilvl w:val="0"/>
          <w:numId w:val="4"/>
        </w:numPr>
        <w:tabs>
          <w:tab w:val="left" w:pos="567"/>
        </w:tabs>
        <w:adjustRightInd w:val="0"/>
        <w:snapToGrid w:val="0"/>
        <w:spacing w:line="360" w:lineRule="auto"/>
        <w:ind w:left="0" w:leftChars="0" w:firstLine="40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用户需求书中打“▲”号条款为重要技术参数，但不作为无效投标条款。</w:t>
      </w:r>
    </w:p>
    <w:p w14:paraId="36B16020">
      <w:pPr>
        <w:numPr>
          <w:ilvl w:val="0"/>
          <w:numId w:val="4"/>
        </w:numPr>
        <w:tabs>
          <w:tab w:val="left" w:pos="567"/>
        </w:tabs>
        <w:adjustRightInd w:val="0"/>
        <w:snapToGrid w:val="0"/>
        <w:spacing w:line="360" w:lineRule="auto"/>
        <w:ind w:left="0" w:leftChars="0" w:firstLine="40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用户需求书中打“●”号的为采购的核心产品，投标人应在《投标分项报价表》中清晰列明“产品名称、品牌、型号”。</w:t>
      </w:r>
    </w:p>
    <w:p w14:paraId="1E9CB8F2">
      <w:pPr>
        <w:numPr>
          <w:ilvl w:val="0"/>
          <w:numId w:val="5"/>
        </w:numPr>
        <w:spacing w:line="360" w:lineRule="auto"/>
        <w:ind w:left="0" w:leftChars="0" w:firstLine="420" w:firstLineChars="0"/>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t>服务需求</w:t>
      </w:r>
    </w:p>
    <w:p w14:paraId="024FAFD3">
      <w:pPr>
        <w:pStyle w:val="2"/>
        <w:numPr>
          <w:ilvl w:val="0"/>
          <w:numId w:val="6"/>
        </w:numPr>
        <w:ind w:left="0" w:leftChars="0" w:firstLine="562" w:firstLineChars="200"/>
        <w:rPr>
          <w:rFonts w:hint="eastAsia"/>
          <w:b/>
          <w:bCs w:val="0"/>
          <w:sz w:val="28"/>
          <w:szCs w:val="21"/>
          <w:highlight w:val="none"/>
          <w:lang w:eastAsia="zh-CN"/>
        </w:rPr>
      </w:pPr>
      <w:r>
        <w:rPr>
          <w:rFonts w:hint="eastAsia" w:ascii="宋体" w:hAnsi="宋体"/>
          <w:b/>
          <w:bCs w:val="0"/>
          <w:sz w:val="28"/>
          <w:szCs w:val="22"/>
          <w:highlight w:val="none"/>
        </w:rPr>
        <w:t>项目概况</w:t>
      </w:r>
    </w:p>
    <w:p w14:paraId="65E59985">
      <w:pPr>
        <w:keepNext w:val="0"/>
        <w:keepLines w:val="0"/>
        <w:pageBreakBefore w:val="0"/>
        <w:kinsoku/>
        <w:wordWrap/>
        <w:overflowPunct/>
        <w:topLinePunct w:val="0"/>
        <w:autoSpaceDE/>
        <w:autoSpaceDN/>
        <w:bidi w:val="0"/>
        <w:adjustRightInd w:val="0"/>
        <w:snapToGrid w:val="0"/>
        <w:ind w:firstLine="480" w:firstLineChars="200"/>
        <w:textAlignment w:val="auto"/>
        <w:rPr>
          <w:rFonts w:hint="eastAsia"/>
          <w:highlight w:val="none"/>
        </w:rPr>
      </w:pPr>
      <w:r>
        <w:rPr>
          <w:rFonts w:hint="eastAsia"/>
          <w:highlight w:val="none"/>
        </w:rPr>
        <w:t>为满足病人及职工的日常用餐需求，</w:t>
      </w:r>
      <w:r>
        <w:rPr>
          <w:rFonts w:hint="eastAsia"/>
          <w:highlight w:val="none"/>
          <w:lang w:eastAsia="zh-CN"/>
        </w:rPr>
        <w:t>采购人</w:t>
      </w:r>
      <w:r>
        <w:rPr>
          <w:rFonts w:hint="eastAsia"/>
          <w:highlight w:val="none"/>
        </w:rPr>
        <w:t>在3号楼6、7楼设置职工餐厅，其中后厨约750㎡，6楼餐厅约250㎡，7楼餐厅500㎡，要求具备供应约</w:t>
      </w:r>
      <w:r>
        <w:rPr>
          <w:rFonts w:hint="eastAsia"/>
          <w:highlight w:val="none"/>
          <w:lang w:val="en-US" w:eastAsia="zh-CN"/>
        </w:rPr>
        <w:t>30</w:t>
      </w:r>
      <w:r>
        <w:rPr>
          <w:rFonts w:hint="eastAsia"/>
          <w:highlight w:val="none"/>
        </w:rPr>
        <w:t>00名职工</w:t>
      </w:r>
      <w:r>
        <w:rPr>
          <w:rFonts w:hint="eastAsia"/>
          <w:highlight w:val="none"/>
          <w:lang w:val="en-US" w:eastAsia="zh-CN"/>
        </w:rPr>
        <w:t>及1700名患者</w:t>
      </w:r>
      <w:r>
        <w:rPr>
          <w:rFonts w:hint="eastAsia"/>
          <w:highlight w:val="none"/>
        </w:rPr>
        <w:t>用餐的供餐能力。职工用餐采取堂食及送餐等模式，患者及家属主要采取配送模式，</w:t>
      </w:r>
      <w:r>
        <w:rPr>
          <w:rFonts w:hint="eastAsia"/>
          <w:highlight w:val="none"/>
          <w:lang w:eastAsia="zh-CN"/>
        </w:rPr>
        <w:t>采购人</w:t>
      </w:r>
      <w:r>
        <w:rPr>
          <w:rFonts w:hint="eastAsia"/>
          <w:highlight w:val="none"/>
        </w:rPr>
        <w:t>提供场地及后厨完整配套的厨房设施，要求供应商自负盈亏自主经营，为职工及病人提供</w:t>
      </w:r>
      <w:r>
        <w:rPr>
          <w:rFonts w:hint="eastAsia"/>
          <w:highlight w:val="none"/>
          <w:lang w:eastAsia="zh-CN"/>
        </w:rPr>
        <w:t>科学合理</w:t>
      </w:r>
      <w:r>
        <w:rPr>
          <w:rFonts w:hint="eastAsia"/>
          <w:highlight w:val="none"/>
        </w:rPr>
        <w:t>高性价</w:t>
      </w:r>
      <w:r>
        <w:rPr>
          <w:rFonts w:hint="eastAsia"/>
          <w:highlight w:val="none"/>
          <w:lang w:eastAsia="zh-CN"/>
        </w:rPr>
        <w:t>比</w:t>
      </w:r>
      <w:r>
        <w:rPr>
          <w:rFonts w:hint="eastAsia"/>
          <w:highlight w:val="none"/>
        </w:rPr>
        <w:t>的餐饮服务。</w:t>
      </w:r>
    </w:p>
    <w:p w14:paraId="70453471">
      <w:pPr>
        <w:pStyle w:val="2"/>
        <w:rPr>
          <w:rFonts w:hint="eastAsia"/>
          <w:highlight w:val="none"/>
        </w:rPr>
      </w:pPr>
    </w:p>
    <w:p w14:paraId="3FD11315">
      <w:pPr>
        <w:pStyle w:val="2"/>
        <w:numPr>
          <w:ilvl w:val="0"/>
          <w:numId w:val="6"/>
        </w:numPr>
        <w:ind w:left="0" w:leftChars="0" w:firstLine="562" w:firstLineChars="200"/>
        <w:rPr>
          <w:rFonts w:hint="eastAsia" w:ascii="宋体" w:hAnsi="宋体"/>
          <w:b/>
          <w:bCs w:val="0"/>
          <w:sz w:val="28"/>
          <w:szCs w:val="22"/>
          <w:highlight w:val="none"/>
        </w:rPr>
      </w:pPr>
      <w:r>
        <w:rPr>
          <w:rFonts w:hint="eastAsia" w:ascii="宋体" w:hAnsi="宋体"/>
          <w:b/>
          <w:bCs w:val="0"/>
          <w:sz w:val="28"/>
          <w:szCs w:val="22"/>
          <w:highlight w:val="none"/>
        </w:rPr>
        <w:t>服务方式</w:t>
      </w:r>
    </w:p>
    <w:p w14:paraId="04DDDF45">
      <w:pPr>
        <w:keepNext w:val="0"/>
        <w:keepLines w:val="0"/>
        <w:pageBreakBefore w:val="0"/>
        <w:kinsoku/>
        <w:wordWrap/>
        <w:overflowPunct/>
        <w:topLinePunct w:val="0"/>
        <w:autoSpaceDE/>
        <w:autoSpaceDN/>
        <w:bidi w:val="0"/>
        <w:adjustRightInd w:val="0"/>
        <w:snapToGrid w:val="0"/>
        <w:ind w:firstLine="480" w:firstLineChars="200"/>
        <w:textAlignment w:val="auto"/>
        <w:rPr>
          <w:rFonts w:hint="eastAsia"/>
          <w:highlight w:val="none"/>
        </w:rPr>
      </w:pPr>
      <w:r>
        <w:rPr>
          <w:rFonts w:hint="eastAsia"/>
          <w:highlight w:val="none"/>
        </w:rPr>
        <w:t>独立经营，自负盈亏</w:t>
      </w:r>
      <w:r>
        <w:rPr>
          <w:rFonts w:hint="eastAsia"/>
          <w:highlight w:val="none"/>
          <w:lang w:eastAsia="zh-CN"/>
        </w:rPr>
        <w:t>，</w:t>
      </w:r>
      <w:r>
        <w:rPr>
          <w:rFonts w:hint="eastAsia"/>
          <w:highlight w:val="none"/>
          <w:lang w:val="en-US" w:eastAsia="zh-CN"/>
        </w:rPr>
        <w:t>投标人</w:t>
      </w:r>
      <w:r>
        <w:rPr>
          <w:rFonts w:hint="eastAsia"/>
          <w:highlight w:val="none"/>
        </w:rPr>
        <w:t>承担一切经营风险和责任。</w:t>
      </w:r>
      <w:r>
        <w:rPr>
          <w:rFonts w:hint="eastAsia"/>
          <w:highlight w:val="none"/>
          <w:lang w:val="en-US" w:eastAsia="zh-CN"/>
        </w:rPr>
        <w:t>投标人承担</w:t>
      </w:r>
      <w:r>
        <w:rPr>
          <w:rFonts w:hint="eastAsia"/>
          <w:highlight w:val="none"/>
        </w:rPr>
        <w:t>包括但不限于以下费用：服务期内食材（包括肉、米、油、盐、酱料、蔬菜等）成本费用；服务期内从业人员费用；服务期内厨余垃圾清运费用、隔油池改造维修保养、管道堵塞疏通或更换费、炉灶排烟监测系统、油烟净化排风系统维护、四害消杀费、水电气燃料费、厨房用具损耗</w:t>
      </w:r>
      <w:r>
        <w:rPr>
          <w:rFonts w:hint="eastAsia"/>
          <w:highlight w:val="none"/>
          <w:lang w:eastAsia="zh-CN"/>
        </w:rPr>
        <w:t>、设备更新</w:t>
      </w:r>
      <w:r>
        <w:rPr>
          <w:rFonts w:hint="eastAsia"/>
          <w:highlight w:val="none"/>
          <w:lang w:val="en-US" w:eastAsia="zh-CN"/>
        </w:rPr>
        <w:t>、绿色食堂和全电厨房的建设</w:t>
      </w:r>
      <w:r>
        <w:rPr>
          <w:rFonts w:hint="eastAsia"/>
          <w:highlight w:val="none"/>
        </w:rPr>
        <w:t>等费用。</w:t>
      </w:r>
    </w:p>
    <w:p w14:paraId="5073A399">
      <w:pPr>
        <w:pStyle w:val="2"/>
        <w:rPr>
          <w:rFonts w:hint="eastAsia"/>
          <w:highlight w:val="none"/>
        </w:rPr>
      </w:pPr>
    </w:p>
    <w:p w14:paraId="02CA0556">
      <w:pPr>
        <w:pStyle w:val="2"/>
        <w:numPr>
          <w:ilvl w:val="0"/>
          <w:numId w:val="6"/>
        </w:numPr>
        <w:ind w:left="0" w:leftChars="0" w:firstLine="562" w:firstLineChars="200"/>
        <w:rPr>
          <w:rFonts w:hint="eastAsia"/>
          <w:b/>
          <w:bCs w:val="0"/>
          <w:sz w:val="28"/>
          <w:szCs w:val="21"/>
          <w:highlight w:val="none"/>
        </w:rPr>
      </w:pPr>
      <w:r>
        <w:rPr>
          <w:rFonts w:hint="eastAsia" w:ascii="宋体" w:hAnsi="宋体"/>
          <w:b/>
          <w:bCs w:val="0"/>
          <w:sz w:val="28"/>
          <w:szCs w:val="22"/>
          <w:highlight w:val="none"/>
        </w:rPr>
        <w:t>服务</w:t>
      </w:r>
      <w:r>
        <w:rPr>
          <w:rFonts w:hint="eastAsia"/>
          <w:b/>
          <w:bCs w:val="0"/>
          <w:sz w:val="28"/>
          <w:szCs w:val="21"/>
          <w:highlight w:val="none"/>
        </w:rPr>
        <w:t>范围</w:t>
      </w:r>
    </w:p>
    <w:p w14:paraId="1FED25FC">
      <w:pPr>
        <w:keepNext w:val="0"/>
        <w:keepLines w:val="0"/>
        <w:pageBreakBefore w:val="0"/>
        <w:numPr>
          <w:ilvl w:val="0"/>
          <w:numId w:val="7"/>
        </w:numPr>
        <w:kinsoku/>
        <w:wordWrap/>
        <w:overflowPunct/>
        <w:topLinePunct w:val="0"/>
        <w:autoSpaceDE/>
        <w:autoSpaceDN/>
        <w:bidi w:val="0"/>
        <w:adjustRightInd w:val="0"/>
        <w:snapToGrid w:val="0"/>
        <w:ind w:left="0" w:leftChars="0" w:firstLine="480" w:firstLineChars="200"/>
        <w:textAlignment w:val="auto"/>
        <w:rPr>
          <w:rFonts w:hint="eastAsia"/>
          <w:highlight w:val="none"/>
        </w:rPr>
      </w:pPr>
      <w:r>
        <w:rPr>
          <w:rFonts w:hint="eastAsia"/>
          <w:highlight w:val="none"/>
        </w:rPr>
        <w:t>用餐</w:t>
      </w:r>
      <w:r>
        <w:rPr>
          <w:rFonts w:hint="eastAsia"/>
          <w:highlight w:val="none"/>
          <w:lang w:val="en-US" w:eastAsia="zh-CN"/>
        </w:rPr>
        <w:t>类别</w:t>
      </w:r>
      <w:r>
        <w:rPr>
          <w:rFonts w:hint="eastAsia"/>
          <w:highlight w:val="none"/>
        </w:rPr>
        <w:t>（含工作餐、手术室用餐）</w:t>
      </w:r>
    </w:p>
    <w:p w14:paraId="406E7AE0">
      <w:pPr>
        <w:keepNext w:val="0"/>
        <w:keepLines w:val="0"/>
        <w:pageBreakBefore w:val="0"/>
        <w:numPr>
          <w:ilvl w:val="2"/>
          <w:numId w:val="8"/>
        </w:numPr>
        <w:kinsoku/>
        <w:wordWrap/>
        <w:overflowPunct/>
        <w:topLinePunct w:val="0"/>
        <w:autoSpaceDE/>
        <w:autoSpaceDN/>
        <w:bidi w:val="0"/>
        <w:adjustRightInd w:val="0"/>
        <w:snapToGrid w:val="0"/>
        <w:ind w:left="0" w:leftChars="0" w:firstLine="402" w:firstLineChars="0"/>
        <w:textAlignment w:val="auto"/>
        <w:rPr>
          <w:rFonts w:hint="eastAsia"/>
          <w:highlight w:val="none"/>
        </w:rPr>
      </w:pPr>
      <w:r>
        <w:rPr>
          <w:rFonts w:hint="eastAsia"/>
          <w:highlight w:val="none"/>
          <w:lang w:val="en-US" w:eastAsia="zh-CN"/>
        </w:rPr>
        <w:t>员工工作餐</w:t>
      </w:r>
    </w:p>
    <w:p w14:paraId="7673BCD7">
      <w:pPr>
        <w:keepNext w:val="0"/>
        <w:keepLines w:val="0"/>
        <w:pageBreakBefore w:val="0"/>
        <w:numPr>
          <w:ilvl w:val="2"/>
          <w:numId w:val="8"/>
        </w:numPr>
        <w:kinsoku/>
        <w:wordWrap/>
        <w:overflowPunct/>
        <w:topLinePunct w:val="0"/>
        <w:autoSpaceDE/>
        <w:autoSpaceDN/>
        <w:bidi w:val="0"/>
        <w:adjustRightInd w:val="0"/>
        <w:snapToGrid w:val="0"/>
        <w:ind w:left="0" w:leftChars="0" w:firstLine="402" w:firstLineChars="0"/>
        <w:textAlignment w:val="auto"/>
        <w:rPr>
          <w:rFonts w:hint="eastAsia"/>
          <w:highlight w:val="none"/>
        </w:rPr>
      </w:pPr>
      <w:r>
        <w:rPr>
          <w:rFonts w:hint="eastAsia"/>
          <w:highlight w:val="none"/>
        </w:rPr>
        <w:t>营养餐（糖尿病及肾病餐、高血压餐、手术餐、流质餐、软食餐、月子餐），需提供病房送餐及肠内配制室的肠内营养制剂配送，协助营养科做好肠内营养制剂的收费等相关工作。</w:t>
      </w:r>
    </w:p>
    <w:p w14:paraId="7A09A880">
      <w:pPr>
        <w:keepNext w:val="0"/>
        <w:keepLines w:val="0"/>
        <w:pageBreakBefore w:val="0"/>
        <w:numPr>
          <w:ilvl w:val="2"/>
          <w:numId w:val="8"/>
        </w:numPr>
        <w:kinsoku/>
        <w:wordWrap/>
        <w:overflowPunct/>
        <w:topLinePunct w:val="0"/>
        <w:autoSpaceDE/>
        <w:autoSpaceDN/>
        <w:bidi w:val="0"/>
        <w:adjustRightInd w:val="0"/>
        <w:snapToGrid w:val="0"/>
        <w:ind w:left="0" w:leftChars="0" w:firstLine="402" w:firstLineChars="0"/>
        <w:textAlignment w:val="auto"/>
        <w:rPr>
          <w:rFonts w:hint="eastAsia"/>
          <w:highlight w:val="none"/>
        </w:rPr>
      </w:pPr>
      <w:r>
        <w:rPr>
          <w:rFonts w:hint="eastAsia"/>
          <w:highlight w:val="none"/>
        </w:rPr>
        <w:t>病人普通餐及家属用餐</w:t>
      </w:r>
    </w:p>
    <w:p w14:paraId="045EA635">
      <w:pPr>
        <w:keepNext w:val="0"/>
        <w:keepLines w:val="0"/>
        <w:pageBreakBefore w:val="0"/>
        <w:numPr>
          <w:ilvl w:val="2"/>
          <w:numId w:val="8"/>
        </w:numPr>
        <w:kinsoku/>
        <w:wordWrap/>
        <w:overflowPunct/>
        <w:topLinePunct w:val="0"/>
        <w:autoSpaceDE/>
        <w:autoSpaceDN/>
        <w:bidi w:val="0"/>
        <w:adjustRightInd w:val="0"/>
        <w:snapToGrid w:val="0"/>
        <w:ind w:left="0" w:leftChars="0" w:firstLine="402" w:firstLineChars="0"/>
        <w:textAlignment w:val="auto"/>
        <w:rPr>
          <w:rFonts w:hint="eastAsia"/>
          <w:highlight w:val="none"/>
        </w:rPr>
      </w:pPr>
      <w:r>
        <w:rPr>
          <w:rFonts w:hint="eastAsia"/>
          <w:highlight w:val="none"/>
        </w:rPr>
        <w:t>商务接待餐</w:t>
      </w:r>
    </w:p>
    <w:p w14:paraId="0D736DC4">
      <w:pPr>
        <w:keepNext w:val="0"/>
        <w:keepLines w:val="0"/>
        <w:pageBreakBefore w:val="0"/>
        <w:numPr>
          <w:ilvl w:val="2"/>
          <w:numId w:val="8"/>
        </w:numPr>
        <w:kinsoku/>
        <w:wordWrap/>
        <w:overflowPunct/>
        <w:topLinePunct w:val="0"/>
        <w:autoSpaceDE/>
        <w:autoSpaceDN/>
        <w:bidi w:val="0"/>
        <w:adjustRightInd w:val="0"/>
        <w:snapToGrid w:val="0"/>
        <w:ind w:left="0" w:leftChars="0" w:firstLine="402" w:firstLineChars="0"/>
        <w:textAlignment w:val="auto"/>
        <w:rPr>
          <w:rFonts w:hint="eastAsia"/>
          <w:highlight w:val="none"/>
        </w:rPr>
      </w:pPr>
      <w:r>
        <w:rPr>
          <w:rFonts w:hint="eastAsia"/>
          <w:highlight w:val="none"/>
        </w:rPr>
        <w:t>体检科早餐</w:t>
      </w:r>
    </w:p>
    <w:p w14:paraId="7071F4B3">
      <w:pPr>
        <w:keepNext w:val="0"/>
        <w:keepLines w:val="0"/>
        <w:pageBreakBefore w:val="0"/>
        <w:numPr>
          <w:ilvl w:val="2"/>
          <w:numId w:val="8"/>
        </w:numPr>
        <w:kinsoku/>
        <w:wordWrap/>
        <w:overflowPunct/>
        <w:topLinePunct w:val="0"/>
        <w:autoSpaceDE/>
        <w:autoSpaceDN/>
        <w:bidi w:val="0"/>
        <w:adjustRightInd w:val="0"/>
        <w:snapToGrid w:val="0"/>
        <w:ind w:left="0" w:leftChars="0" w:firstLine="402" w:firstLineChars="0"/>
        <w:textAlignment w:val="auto"/>
        <w:rPr>
          <w:rFonts w:hint="eastAsia"/>
          <w:highlight w:val="none"/>
        </w:rPr>
      </w:pPr>
      <w:r>
        <w:rPr>
          <w:rFonts w:hint="eastAsia"/>
          <w:highlight w:val="none"/>
          <w:lang w:val="en-US" w:eastAsia="zh-CN"/>
        </w:rPr>
        <w:t>特色</w:t>
      </w:r>
      <w:r>
        <w:rPr>
          <w:rFonts w:hint="eastAsia"/>
          <w:highlight w:val="none"/>
        </w:rPr>
        <w:t>餐</w:t>
      </w:r>
    </w:p>
    <w:p w14:paraId="14584FC0">
      <w:pPr>
        <w:keepNext w:val="0"/>
        <w:keepLines w:val="0"/>
        <w:pageBreakBefore w:val="0"/>
        <w:numPr>
          <w:ilvl w:val="0"/>
          <w:numId w:val="7"/>
        </w:numPr>
        <w:kinsoku/>
        <w:wordWrap/>
        <w:overflowPunct/>
        <w:topLinePunct w:val="0"/>
        <w:autoSpaceDE/>
        <w:autoSpaceDN/>
        <w:bidi w:val="0"/>
        <w:adjustRightInd w:val="0"/>
        <w:snapToGrid w:val="0"/>
        <w:ind w:left="0" w:leftChars="0" w:firstLine="480" w:firstLineChars="200"/>
        <w:textAlignment w:val="auto"/>
        <w:rPr>
          <w:rFonts w:hint="eastAsia"/>
          <w:highlight w:val="none"/>
        </w:rPr>
      </w:pPr>
      <w:r>
        <w:rPr>
          <w:rFonts w:hint="eastAsia"/>
          <w:highlight w:val="none"/>
        </w:rPr>
        <w:t>服务人次</w:t>
      </w:r>
    </w:p>
    <w:p w14:paraId="3EAF3396">
      <w:pPr>
        <w:keepNext w:val="0"/>
        <w:keepLines w:val="0"/>
        <w:pageBreakBefore w:val="0"/>
        <w:kinsoku/>
        <w:wordWrap/>
        <w:overflowPunct/>
        <w:topLinePunct w:val="0"/>
        <w:autoSpaceDE/>
        <w:autoSpaceDN/>
        <w:bidi w:val="0"/>
        <w:adjustRightInd w:val="0"/>
        <w:snapToGrid w:val="0"/>
        <w:ind w:firstLine="480" w:firstLineChars="200"/>
        <w:textAlignment w:val="auto"/>
        <w:rPr>
          <w:rFonts w:hint="eastAsia"/>
          <w:highlight w:val="none"/>
        </w:rPr>
      </w:pPr>
      <w:r>
        <w:rPr>
          <w:rFonts w:hint="eastAsia"/>
          <w:highlight w:val="none"/>
        </w:rPr>
        <w:t>目前，</w:t>
      </w:r>
      <w:r>
        <w:rPr>
          <w:rFonts w:hint="eastAsia"/>
          <w:highlight w:val="none"/>
          <w:lang w:eastAsia="zh-CN"/>
        </w:rPr>
        <w:t>采购人</w:t>
      </w:r>
      <w:r>
        <w:rPr>
          <w:rFonts w:hint="eastAsia"/>
          <w:highlight w:val="none"/>
        </w:rPr>
        <w:t>职工约</w:t>
      </w:r>
      <w:r>
        <w:rPr>
          <w:rFonts w:hint="eastAsia"/>
          <w:highlight w:val="none"/>
          <w:lang w:val="en-US" w:eastAsia="zh-CN"/>
        </w:rPr>
        <w:t>27</w:t>
      </w:r>
      <w:r>
        <w:rPr>
          <w:rFonts w:hint="eastAsia"/>
          <w:highlight w:val="none"/>
        </w:rPr>
        <w:t>00人，门诊日均人流量约4000人次，1350张病床，未来预计</w:t>
      </w:r>
      <w:r>
        <w:rPr>
          <w:rFonts w:hint="eastAsia"/>
          <w:highlight w:val="none"/>
          <w:lang w:eastAsia="zh-CN"/>
        </w:rPr>
        <w:t>采购人</w:t>
      </w:r>
      <w:r>
        <w:rPr>
          <w:rFonts w:hint="eastAsia"/>
          <w:highlight w:val="none"/>
        </w:rPr>
        <w:t>职工约</w:t>
      </w:r>
      <w:r>
        <w:rPr>
          <w:rFonts w:hint="eastAsia"/>
          <w:highlight w:val="none"/>
          <w:lang w:val="en-US" w:eastAsia="zh-CN"/>
        </w:rPr>
        <w:t>30</w:t>
      </w:r>
      <w:r>
        <w:rPr>
          <w:rFonts w:hint="eastAsia"/>
          <w:highlight w:val="none"/>
        </w:rPr>
        <w:t>00人，病床约2000张，门诊日均流量约</w:t>
      </w:r>
      <w:r>
        <w:rPr>
          <w:rFonts w:hint="eastAsia"/>
          <w:highlight w:val="none"/>
          <w:lang w:val="en-US" w:eastAsia="zh-CN"/>
        </w:rPr>
        <w:t>8</w:t>
      </w:r>
      <w:r>
        <w:rPr>
          <w:rFonts w:hint="eastAsia"/>
          <w:highlight w:val="none"/>
        </w:rPr>
        <w:t>000人次。</w:t>
      </w:r>
    </w:p>
    <w:p w14:paraId="30C3DB24">
      <w:pPr>
        <w:keepNext w:val="0"/>
        <w:keepLines w:val="0"/>
        <w:pageBreakBefore w:val="0"/>
        <w:numPr>
          <w:ilvl w:val="0"/>
          <w:numId w:val="7"/>
        </w:numPr>
        <w:kinsoku/>
        <w:wordWrap/>
        <w:overflowPunct/>
        <w:topLinePunct w:val="0"/>
        <w:autoSpaceDE/>
        <w:autoSpaceDN/>
        <w:bidi w:val="0"/>
        <w:adjustRightInd w:val="0"/>
        <w:snapToGrid w:val="0"/>
        <w:ind w:left="0" w:leftChars="0" w:firstLine="480" w:firstLineChars="200"/>
        <w:textAlignment w:val="auto"/>
        <w:rPr>
          <w:rFonts w:hint="eastAsia"/>
          <w:highlight w:val="none"/>
        </w:rPr>
      </w:pPr>
      <w:r>
        <w:rPr>
          <w:rFonts w:hint="eastAsia"/>
          <w:highlight w:val="none"/>
        </w:rPr>
        <w:t>服务时间</w:t>
      </w:r>
    </w:p>
    <w:p w14:paraId="35BF4BC8">
      <w:pPr>
        <w:pStyle w:val="2"/>
        <w:numPr>
          <w:ilvl w:val="0"/>
          <w:numId w:val="0"/>
        </w:numPr>
        <w:ind w:firstLine="480" w:firstLineChars="200"/>
        <w:rPr>
          <w:rFonts w:hint="eastAsia"/>
          <w:highlight w:val="none"/>
        </w:rPr>
      </w:pPr>
      <w:r>
        <w:rPr>
          <w:rFonts w:hint="eastAsia"/>
          <w:highlight w:val="none"/>
        </w:rPr>
        <w:t>一年365天均需提供供餐服务，供餐时间：早餐7:00-9:00，午餐10:30-13:30，晚餐17:00-19:00,供应商按采购人要求提供下午茶、宵夜、或24小时送餐服务。</w:t>
      </w:r>
    </w:p>
    <w:p w14:paraId="6959CE62">
      <w:pPr>
        <w:rPr>
          <w:rFonts w:hint="eastAsia"/>
          <w:highlight w:val="none"/>
        </w:rPr>
      </w:pPr>
    </w:p>
    <w:p w14:paraId="4339293B">
      <w:pPr>
        <w:pStyle w:val="2"/>
        <w:numPr>
          <w:ilvl w:val="0"/>
          <w:numId w:val="6"/>
        </w:numPr>
        <w:ind w:left="0" w:leftChars="0" w:firstLine="562" w:firstLineChars="200"/>
        <w:rPr>
          <w:rFonts w:hint="eastAsia"/>
          <w:b/>
          <w:bCs/>
          <w:sz w:val="28"/>
          <w:szCs w:val="21"/>
          <w:highlight w:val="none"/>
        </w:rPr>
      </w:pPr>
      <w:r>
        <w:rPr>
          <w:rFonts w:hint="eastAsia"/>
          <w:b/>
          <w:bCs/>
          <w:sz w:val="28"/>
          <w:szCs w:val="21"/>
          <w:highlight w:val="none"/>
          <w:lang w:val="en-US" w:eastAsia="zh-CN"/>
        </w:rPr>
        <w:t>服务要求</w:t>
      </w:r>
    </w:p>
    <w:p w14:paraId="4771BE7B">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就餐方式以自选餐模式为主，套餐和量贩自助为辅，并根据</w:t>
      </w:r>
      <w:r>
        <w:rPr>
          <w:rFonts w:hint="eastAsia" w:ascii="宋体" w:hAnsi="宋体" w:cs="宋体"/>
          <w:szCs w:val="21"/>
          <w:highlight w:val="none"/>
          <w:lang w:eastAsia="zh-CN"/>
        </w:rPr>
        <w:t>采购人</w:t>
      </w:r>
      <w:r>
        <w:rPr>
          <w:rFonts w:hint="eastAsia" w:ascii="宋体" w:hAnsi="宋体" w:cs="宋体"/>
          <w:szCs w:val="21"/>
          <w:highlight w:val="none"/>
        </w:rPr>
        <w:t>实际情况和要求，可以改变职工就餐消费模式，丰俭由人，就餐人员自由搭配菜式，以实际选择菜式价格结算消费，投标人须提供不同品种不同价格的自选菜式供就餐人员选择。职工饭卡补贴可在职工食堂购买副食品，所有商品价格</w:t>
      </w:r>
      <w:r>
        <w:rPr>
          <w:rFonts w:hint="eastAsia" w:ascii="宋体" w:hAnsi="宋体" w:cs="宋体"/>
          <w:szCs w:val="21"/>
          <w:highlight w:val="none"/>
          <w:lang w:val="en-US" w:eastAsia="zh-CN"/>
        </w:rPr>
        <w:t>不得高于</w:t>
      </w:r>
      <w:r>
        <w:rPr>
          <w:rFonts w:hint="eastAsia" w:ascii="宋体" w:hAnsi="宋体" w:cs="宋体"/>
          <w:szCs w:val="21"/>
          <w:highlight w:val="none"/>
        </w:rPr>
        <w:t>天虹、华润、沃尔玛等大型商超或</w:t>
      </w:r>
      <w:r>
        <w:rPr>
          <w:rFonts w:hint="eastAsia" w:ascii="宋体" w:hAnsi="宋体" w:cs="宋体"/>
          <w:szCs w:val="21"/>
          <w:highlight w:val="none"/>
          <w:lang w:eastAsia="zh-CN"/>
        </w:rPr>
        <w:t>采购人</w:t>
      </w:r>
      <w:r>
        <w:rPr>
          <w:rFonts w:hint="eastAsia" w:ascii="宋体" w:hAnsi="宋体" w:cs="宋体"/>
          <w:szCs w:val="21"/>
          <w:highlight w:val="none"/>
        </w:rPr>
        <w:t>附近美宜佳等全国品牌连锁便利店门市价（特价商品除外）。</w:t>
      </w:r>
    </w:p>
    <w:p w14:paraId="004B3E20">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根据</w:t>
      </w:r>
      <w:r>
        <w:rPr>
          <w:rFonts w:hint="eastAsia" w:ascii="宋体" w:hAnsi="宋体" w:cs="宋体"/>
          <w:szCs w:val="21"/>
          <w:highlight w:val="none"/>
          <w:lang w:eastAsia="zh-CN"/>
        </w:rPr>
        <w:t>采购人</w:t>
      </w:r>
      <w:r>
        <w:rPr>
          <w:rFonts w:hint="eastAsia" w:ascii="宋体" w:hAnsi="宋体" w:cs="宋体"/>
          <w:szCs w:val="21"/>
          <w:highlight w:val="none"/>
        </w:rPr>
        <w:t>要求在经营场所内开设汤粉、面点、粥、煲仔饭、套餐、单个菜、老火汤/生滚汤、特色风味等多样化档口,粥、粉、面、糕点、包类供应时间为早、午、晚餐，其他饭类、汤供应时间为中、晚餐、宵夜。</w:t>
      </w:r>
    </w:p>
    <w:p w14:paraId="62AE45DB">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早餐供应品种必须包括中西式面点、粥粉面类、粗粮、肠粉等，营养搭配均衡，品种多样。所有品种均为自制，不准外购销售。</w:t>
      </w:r>
    </w:p>
    <w:p w14:paraId="1EEF50D7">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饭菜兼顾南北方特色口味（粤菜为主，川菜、湘菜等多种口味），品种要齐全，保证正餐有新鲜鱼、肉、禽、蛋、蔬菜等菜品供应。</w:t>
      </w:r>
    </w:p>
    <w:p w14:paraId="1C19753B">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投标人制定的菜单须经</w:t>
      </w:r>
      <w:r>
        <w:rPr>
          <w:rFonts w:hint="eastAsia" w:ascii="宋体" w:hAnsi="宋体" w:cs="宋体"/>
          <w:szCs w:val="21"/>
          <w:highlight w:val="none"/>
          <w:lang w:val="en-US" w:eastAsia="zh-CN"/>
        </w:rPr>
        <w:t>采购人</w:t>
      </w:r>
      <w:r>
        <w:rPr>
          <w:rFonts w:hint="eastAsia" w:ascii="宋体" w:hAnsi="宋体" w:cs="宋体"/>
          <w:szCs w:val="21"/>
          <w:highlight w:val="none"/>
        </w:rPr>
        <w:t>相关部门审核同意，根据</w:t>
      </w:r>
      <w:r>
        <w:rPr>
          <w:rFonts w:hint="eastAsia" w:ascii="宋体" w:hAnsi="宋体" w:cs="宋体"/>
          <w:szCs w:val="21"/>
          <w:highlight w:val="none"/>
          <w:lang w:eastAsia="zh-CN"/>
        </w:rPr>
        <w:t>采购人</w:t>
      </w:r>
      <w:r>
        <w:rPr>
          <w:rFonts w:hint="eastAsia" w:ascii="宋体" w:hAnsi="宋体" w:cs="宋体"/>
          <w:szCs w:val="21"/>
          <w:highlight w:val="none"/>
        </w:rPr>
        <w:t>实际要求补充或修改。饭菜样式要</w:t>
      </w:r>
      <w:r>
        <w:rPr>
          <w:rFonts w:hint="eastAsia" w:ascii="宋体" w:hAnsi="宋体" w:cs="宋体"/>
          <w:szCs w:val="21"/>
          <w:highlight w:val="none"/>
          <w:lang w:eastAsia="zh-CN"/>
        </w:rPr>
        <w:t>定期</w:t>
      </w:r>
      <w:r>
        <w:rPr>
          <w:rFonts w:hint="eastAsia" w:ascii="宋体" w:hAnsi="宋体" w:cs="宋体"/>
          <w:szCs w:val="21"/>
          <w:highlight w:val="none"/>
        </w:rPr>
        <w:t>更新，菜式不少于100种,每周至少推出1款新菜品。每周提前公示菜单，滚动推出新菜品，确保满足职工和住院患者的饮食需要。</w:t>
      </w:r>
    </w:p>
    <w:p w14:paraId="4DDD9341">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根据</w:t>
      </w:r>
      <w:r>
        <w:rPr>
          <w:rFonts w:hint="eastAsia" w:ascii="宋体" w:hAnsi="宋体" w:cs="宋体"/>
          <w:szCs w:val="21"/>
          <w:highlight w:val="none"/>
          <w:lang w:eastAsia="zh-CN"/>
        </w:rPr>
        <w:t>采购人</w:t>
      </w:r>
      <w:r>
        <w:rPr>
          <w:rFonts w:hint="eastAsia" w:ascii="宋体" w:hAnsi="宋体" w:cs="宋体"/>
          <w:szCs w:val="21"/>
          <w:highlight w:val="none"/>
        </w:rPr>
        <w:t>需求，</w:t>
      </w:r>
      <w:r>
        <w:rPr>
          <w:rFonts w:hint="eastAsia" w:ascii="宋体" w:hAnsi="宋体" w:cs="宋体"/>
          <w:szCs w:val="21"/>
          <w:highlight w:val="none"/>
          <w:lang w:val="en-US" w:eastAsia="zh-CN"/>
        </w:rPr>
        <w:t>投标人</w:t>
      </w:r>
      <w:r>
        <w:rPr>
          <w:rFonts w:hint="eastAsia" w:ascii="宋体" w:hAnsi="宋体" w:cs="宋体"/>
          <w:szCs w:val="21"/>
          <w:highlight w:val="none"/>
        </w:rPr>
        <w:t>在食堂开设净菜</w:t>
      </w:r>
      <w:r>
        <w:rPr>
          <w:rFonts w:hint="eastAsia" w:ascii="宋体" w:hAnsi="宋体" w:cs="宋体"/>
          <w:szCs w:val="21"/>
          <w:highlight w:val="none"/>
          <w:lang w:val="en-US" w:eastAsia="zh-CN"/>
        </w:rPr>
        <w:t>的</w:t>
      </w:r>
      <w:r>
        <w:rPr>
          <w:rFonts w:hint="eastAsia" w:ascii="宋体" w:hAnsi="宋体" w:cs="宋体"/>
          <w:szCs w:val="21"/>
          <w:highlight w:val="none"/>
        </w:rPr>
        <w:t>售卖点，为</w:t>
      </w:r>
      <w:r>
        <w:rPr>
          <w:rFonts w:hint="eastAsia" w:ascii="宋体" w:hAnsi="宋体" w:cs="宋体"/>
          <w:szCs w:val="21"/>
          <w:highlight w:val="none"/>
          <w:lang w:eastAsia="zh-CN"/>
        </w:rPr>
        <w:t>采购人</w:t>
      </w:r>
      <w:r>
        <w:rPr>
          <w:rFonts w:hint="eastAsia" w:ascii="宋体" w:hAnsi="宋体" w:cs="宋体"/>
          <w:szCs w:val="21"/>
          <w:highlight w:val="none"/>
        </w:rPr>
        <w:t>职工提供便利性服务。</w:t>
      </w:r>
    </w:p>
    <w:p w14:paraId="41A6C398">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积极响应和满足</w:t>
      </w:r>
      <w:r>
        <w:rPr>
          <w:rFonts w:hint="eastAsia" w:ascii="宋体" w:hAnsi="宋体" w:cs="宋体"/>
          <w:szCs w:val="21"/>
          <w:highlight w:val="none"/>
          <w:lang w:eastAsia="zh-CN"/>
        </w:rPr>
        <w:t>采购</w:t>
      </w:r>
      <w:r>
        <w:rPr>
          <w:rFonts w:hint="eastAsia" w:ascii="宋体" w:hAnsi="宋体" w:cs="宋体"/>
          <w:szCs w:val="21"/>
          <w:highlight w:val="none"/>
        </w:rPr>
        <w:t>提出的其他膳食要求或开膳方式，完成</w:t>
      </w:r>
      <w:r>
        <w:rPr>
          <w:rFonts w:hint="eastAsia" w:ascii="宋体" w:hAnsi="宋体" w:cs="宋体"/>
          <w:szCs w:val="21"/>
          <w:highlight w:val="none"/>
          <w:lang w:eastAsia="zh-CN"/>
        </w:rPr>
        <w:t>采购</w:t>
      </w:r>
      <w:r>
        <w:rPr>
          <w:rFonts w:hint="eastAsia" w:ascii="宋体" w:hAnsi="宋体" w:cs="宋体"/>
          <w:szCs w:val="21"/>
          <w:highlight w:val="none"/>
        </w:rPr>
        <w:t>的饮食服务需求。</w:t>
      </w:r>
    </w:p>
    <w:p w14:paraId="165BD190">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投标人应做好经营场地的安全、卫生（门前实行三包）、防火、防盗、防水、防毒、秩序</w:t>
      </w:r>
      <w:r>
        <w:rPr>
          <w:rFonts w:hint="eastAsia" w:ascii="宋体" w:hAnsi="宋体" w:cs="宋体"/>
          <w:szCs w:val="21"/>
          <w:highlight w:val="none"/>
          <w:lang w:val="en-US" w:eastAsia="zh-CN"/>
        </w:rPr>
        <w:t>维持</w:t>
      </w:r>
      <w:r>
        <w:rPr>
          <w:rFonts w:hint="eastAsia" w:ascii="宋体" w:hAnsi="宋体" w:cs="宋体"/>
          <w:szCs w:val="21"/>
          <w:highlight w:val="none"/>
        </w:rPr>
        <w:t>等工作，</w:t>
      </w:r>
      <w:r>
        <w:rPr>
          <w:rFonts w:hint="eastAsia" w:ascii="宋体" w:hAnsi="宋体" w:cs="宋体"/>
          <w:szCs w:val="21"/>
          <w:highlight w:val="none"/>
          <w:lang w:val="en-US" w:eastAsia="zh-CN"/>
        </w:rPr>
        <w:t>否则</w:t>
      </w:r>
      <w:r>
        <w:rPr>
          <w:rFonts w:hint="eastAsia" w:ascii="宋体" w:hAnsi="宋体" w:cs="宋体"/>
          <w:szCs w:val="21"/>
          <w:highlight w:val="none"/>
        </w:rPr>
        <w:t>由此</w:t>
      </w:r>
      <w:r>
        <w:rPr>
          <w:rFonts w:hint="eastAsia" w:ascii="宋体" w:hAnsi="宋体" w:cs="宋体"/>
          <w:szCs w:val="21"/>
          <w:highlight w:val="none"/>
          <w:lang w:val="en-US" w:eastAsia="zh-CN"/>
        </w:rPr>
        <w:t>造成</w:t>
      </w:r>
      <w:r>
        <w:rPr>
          <w:rFonts w:hint="eastAsia" w:ascii="宋体" w:hAnsi="宋体" w:cs="宋体"/>
          <w:szCs w:val="21"/>
          <w:highlight w:val="none"/>
        </w:rPr>
        <w:t>的一切</w:t>
      </w:r>
      <w:r>
        <w:rPr>
          <w:rFonts w:hint="eastAsia" w:ascii="宋体" w:hAnsi="宋体" w:cs="宋体"/>
          <w:szCs w:val="21"/>
          <w:highlight w:val="none"/>
          <w:lang w:val="en-US" w:eastAsia="zh-CN"/>
        </w:rPr>
        <w:t>损失</w:t>
      </w:r>
      <w:r>
        <w:rPr>
          <w:rFonts w:hint="eastAsia" w:ascii="宋体" w:hAnsi="宋体" w:cs="宋体"/>
          <w:szCs w:val="21"/>
          <w:highlight w:val="none"/>
        </w:rPr>
        <w:t>由投标人</w:t>
      </w:r>
      <w:r>
        <w:rPr>
          <w:rFonts w:hint="eastAsia" w:ascii="宋体" w:hAnsi="宋体" w:cs="宋体"/>
          <w:szCs w:val="21"/>
          <w:highlight w:val="none"/>
          <w:lang w:val="en-US" w:eastAsia="zh-CN"/>
        </w:rPr>
        <w:t>承担</w:t>
      </w:r>
      <w:r>
        <w:rPr>
          <w:rFonts w:hint="eastAsia" w:ascii="宋体" w:hAnsi="宋体" w:cs="宋体"/>
          <w:szCs w:val="21"/>
          <w:highlight w:val="none"/>
        </w:rPr>
        <w:t>。</w:t>
      </w:r>
    </w:p>
    <w:p w14:paraId="3672C9A9">
      <w:pPr>
        <w:numPr>
          <w:ilvl w:val="0"/>
          <w:numId w:val="9"/>
        </w:numPr>
        <w:ind w:firstLine="480"/>
        <w:rPr>
          <w:rFonts w:hint="eastAsia" w:eastAsia="宋体"/>
          <w:highlight w:val="none"/>
          <w:lang w:eastAsia="zh-CN"/>
        </w:rPr>
      </w:pPr>
      <w:r>
        <w:rPr>
          <w:rFonts w:hint="eastAsia" w:ascii="宋体" w:hAnsi="宋体" w:cs="宋体"/>
          <w:szCs w:val="21"/>
          <w:highlight w:val="none"/>
        </w:rPr>
        <w:t>投标人负责本项目所属餐厅的食品原材料采购、加工、烹饪、供餐、清洁卫生及其他服务工作</w:t>
      </w:r>
      <w:r>
        <w:rPr>
          <w:rFonts w:hint="eastAsia" w:ascii="宋体" w:hAnsi="宋体" w:cs="宋体"/>
          <w:szCs w:val="21"/>
          <w:highlight w:val="none"/>
          <w:lang w:eastAsia="zh-CN"/>
        </w:rPr>
        <w:t>，</w:t>
      </w:r>
      <w:r>
        <w:rPr>
          <w:rFonts w:hint="eastAsia"/>
          <w:highlight w:val="none"/>
          <w:lang w:eastAsia="zh-CN"/>
        </w:rPr>
        <w:t>采购人依据国家法律法规及医院规章制度实施监督管理。</w:t>
      </w:r>
    </w:p>
    <w:p w14:paraId="65DB6656">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确保</w:t>
      </w:r>
      <w:r>
        <w:rPr>
          <w:rFonts w:hint="eastAsia" w:ascii="宋体" w:hAnsi="宋体" w:cs="宋体"/>
          <w:szCs w:val="21"/>
          <w:highlight w:val="none"/>
          <w:lang w:eastAsia="zh-CN"/>
        </w:rPr>
        <w:t>采购人</w:t>
      </w:r>
      <w:r>
        <w:rPr>
          <w:rFonts w:hint="eastAsia" w:ascii="宋体" w:hAnsi="宋体" w:cs="宋体"/>
          <w:szCs w:val="21"/>
          <w:highlight w:val="none"/>
        </w:rPr>
        <w:t>早、中、晚餐的正常膳食供应，并根据需要提供送餐服务，对</w:t>
      </w:r>
      <w:r>
        <w:rPr>
          <w:rFonts w:hint="eastAsia" w:ascii="宋体" w:hAnsi="宋体" w:cs="宋体"/>
          <w:szCs w:val="21"/>
          <w:highlight w:val="none"/>
          <w:lang w:eastAsia="zh-CN"/>
        </w:rPr>
        <w:t>采购人</w:t>
      </w:r>
      <w:r>
        <w:rPr>
          <w:rFonts w:hint="eastAsia" w:ascii="宋体" w:hAnsi="宋体" w:cs="宋体"/>
          <w:szCs w:val="21"/>
          <w:highlight w:val="none"/>
        </w:rPr>
        <w:t>提出的接待餐、会议供餐、过时餐</w:t>
      </w:r>
      <w:r>
        <w:rPr>
          <w:rFonts w:hint="eastAsia" w:ascii="宋体" w:hAnsi="宋体" w:cs="宋体"/>
          <w:szCs w:val="21"/>
          <w:highlight w:val="none"/>
          <w:lang w:eastAsia="zh-CN"/>
        </w:rPr>
        <w:t>、</w:t>
      </w:r>
      <w:r>
        <w:rPr>
          <w:rFonts w:hint="eastAsia" w:ascii="宋体" w:hAnsi="宋体" w:cs="宋体"/>
          <w:szCs w:val="21"/>
          <w:highlight w:val="none"/>
          <w:lang w:val="en-US" w:eastAsia="zh-CN"/>
        </w:rPr>
        <w:t>包餐</w:t>
      </w:r>
      <w:r>
        <w:rPr>
          <w:rFonts w:hint="eastAsia" w:ascii="宋体" w:hAnsi="宋体" w:cs="宋体"/>
          <w:szCs w:val="21"/>
          <w:highlight w:val="none"/>
        </w:rPr>
        <w:t>等无条件服从，并按时、按质完成。值班医务人员工作餐或手术加班餐，免费提供环保饭盒，免费配送。</w:t>
      </w:r>
    </w:p>
    <w:p w14:paraId="6B085AF9">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投标人全部员工以优质的服务按星级酒店的标准进行专业素质培训，做到礼貌待客，统一服装，微笑服务。</w:t>
      </w:r>
    </w:p>
    <w:p w14:paraId="1D7550ED">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投标人须严格</w:t>
      </w:r>
      <w:r>
        <w:rPr>
          <w:rFonts w:hint="eastAsia" w:ascii="宋体" w:hAnsi="宋体" w:cs="宋体"/>
          <w:szCs w:val="21"/>
          <w:highlight w:val="none"/>
          <w:lang w:val="en-US" w:eastAsia="zh-CN"/>
        </w:rPr>
        <w:t>按照</w:t>
      </w:r>
      <w:r>
        <w:rPr>
          <w:rFonts w:hint="eastAsia" w:ascii="宋体" w:hAnsi="宋体" w:cs="宋体"/>
          <w:szCs w:val="21"/>
          <w:highlight w:val="none"/>
        </w:rPr>
        <w:t>《国家食品安全法》</w:t>
      </w:r>
      <w:r>
        <w:rPr>
          <w:rFonts w:hint="eastAsia" w:ascii="宋体" w:hAnsi="宋体" w:cs="宋体"/>
          <w:szCs w:val="21"/>
          <w:highlight w:val="none"/>
          <w:lang w:val="en-US" w:eastAsia="zh-CN"/>
        </w:rPr>
        <w:t>进行</w:t>
      </w:r>
      <w:r>
        <w:rPr>
          <w:rFonts w:hint="eastAsia" w:ascii="宋体" w:hAnsi="宋体" w:cs="宋体"/>
          <w:szCs w:val="21"/>
          <w:highlight w:val="none"/>
        </w:rPr>
        <w:t>食品加工、销售</w:t>
      </w:r>
      <w:r>
        <w:rPr>
          <w:rFonts w:hint="eastAsia" w:ascii="宋体" w:hAnsi="宋体" w:cs="宋体"/>
          <w:szCs w:val="21"/>
          <w:highlight w:val="none"/>
          <w:lang w:eastAsia="zh-CN"/>
        </w:rPr>
        <w:t>，</w:t>
      </w:r>
      <w:r>
        <w:rPr>
          <w:rFonts w:hint="eastAsia" w:ascii="宋体" w:hAnsi="宋体" w:cs="宋体"/>
          <w:szCs w:val="21"/>
          <w:highlight w:val="none"/>
        </w:rPr>
        <w:t>合理经营和守法经营。</w:t>
      </w:r>
    </w:p>
    <w:p w14:paraId="54F5F90F">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投标人必须保证餐具均经过严格的消毒清洗工序，不得将未经消毒的餐具供给</w:t>
      </w:r>
      <w:r>
        <w:rPr>
          <w:rFonts w:hint="eastAsia" w:ascii="宋体" w:hAnsi="宋体" w:cs="宋体"/>
          <w:szCs w:val="21"/>
          <w:highlight w:val="none"/>
          <w:lang w:val="en-US" w:eastAsia="zh-CN"/>
        </w:rPr>
        <w:t>职</w:t>
      </w:r>
      <w:r>
        <w:rPr>
          <w:rFonts w:hint="eastAsia" w:ascii="宋体" w:hAnsi="宋体" w:cs="宋体"/>
          <w:szCs w:val="21"/>
          <w:highlight w:val="none"/>
        </w:rPr>
        <w:t>工使用，餐具清洗消毒后无污渍、无异物、无异味，符合卫生要求。餐具消毒做到一冲、二洗、三漂、四烘干、五消毒。专人负责餐具的清洗和消毒，餐具使用前必须经过彻底清洁消毒，并符合国家食(饮)具消毒卫生标准等相关规定。</w:t>
      </w:r>
    </w:p>
    <w:p w14:paraId="31F06C8C">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送餐使用的</w:t>
      </w:r>
      <w:r>
        <w:rPr>
          <w:rFonts w:hint="eastAsia" w:ascii="宋体" w:hAnsi="宋体" w:cs="宋体"/>
          <w:szCs w:val="21"/>
          <w:highlight w:val="none"/>
          <w:lang w:val="en-US" w:eastAsia="zh-CN"/>
        </w:rPr>
        <w:t>可降解</w:t>
      </w:r>
      <w:r>
        <w:rPr>
          <w:rFonts w:hint="eastAsia" w:ascii="宋体" w:hAnsi="宋体" w:cs="宋体"/>
          <w:szCs w:val="21"/>
          <w:highlight w:val="none"/>
        </w:rPr>
        <w:t>一次性餐用具（至少提供三种一次性餐具由</w:t>
      </w:r>
      <w:r>
        <w:rPr>
          <w:rFonts w:hint="eastAsia" w:ascii="宋体" w:hAnsi="宋体" w:cs="宋体"/>
          <w:szCs w:val="21"/>
          <w:highlight w:val="none"/>
          <w:lang w:eastAsia="zh-CN"/>
        </w:rPr>
        <w:t>采购人</w:t>
      </w:r>
      <w:r>
        <w:rPr>
          <w:rFonts w:hint="eastAsia" w:ascii="宋体" w:hAnsi="宋体" w:cs="宋体"/>
          <w:szCs w:val="21"/>
          <w:highlight w:val="none"/>
        </w:rPr>
        <w:t>确定款式）符合GB18006.1-2009塑料一次性餐饮具通用技术要求标准要求</w:t>
      </w:r>
      <w:r>
        <w:rPr>
          <w:rFonts w:hint="eastAsia" w:ascii="宋体" w:hAnsi="宋体" w:cs="宋体"/>
          <w:szCs w:val="21"/>
          <w:highlight w:val="none"/>
          <w:lang w:eastAsia="zh-CN"/>
        </w:rPr>
        <w:t>。</w:t>
      </w:r>
    </w:p>
    <w:p w14:paraId="17B50151">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投标人要加强食品卫生，食品质量的管理，确保食品质量，所有原材料与制成品必须符合食品卫生检疫标准。同时，必须接受</w:t>
      </w:r>
      <w:r>
        <w:rPr>
          <w:rFonts w:hint="eastAsia" w:ascii="宋体" w:hAnsi="宋体" w:cs="宋体"/>
          <w:szCs w:val="21"/>
          <w:highlight w:val="none"/>
          <w:lang w:eastAsia="zh-CN"/>
        </w:rPr>
        <w:t>市场监督</w:t>
      </w:r>
      <w:r>
        <w:rPr>
          <w:rFonts w:hint="eastAsia" w:ascii="宋体" w:hAnsi="宋体" w:cs="宋体"/>
          <w:szCs w:val="21"/>
          <w:highlight w:val="none"/>
        </w:rPr>
        <w:t>管理局</w:t>
      </w:r>
      <w:r>
        <w:rPr>
          <w:rFonts w:hint="eastAsia" w:ascii="宋体" w:hAnsi="宋体" w:cs="宋体"/>
          <w:szCs w:val="21"/>
          <w:highlight w:val="none"/>
          <w:lang w:eastAsia="zh-CN"/>
        </w:rPr>
        <w:t>及</w:t>
      </w:r>
      <w:r>
        <w:rPr>
          <w:rFonts w:hint="eastAsia" w:ascii="宋体" w:hAnsi="宋体" w:cs="宋体"/>
          <w:szCs w:val="21"/>
          <w:highlight w:val="none"/>
        </w:rPr>
        <w:t>各级单位的卫生监督检查，并按检查结果进行整改。</w:t>
      </w:r>
    </w:p>
    <w:p w14:paraId="47D9E8FD">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投标人要加强节</w:t>
      </w:r>
      <w:r>
        <w:rPr>
          <w:rFonts w:hint="eastAsia" w:ascii="宋体" w:hAnsi="宋体" w:cs="宋体"/>
          <w:szCs w:val="21"/>
          <w:highlight w:val="none"/>
          <w:lang w:eastAsia="zh-CN"/>
        </w:rPr>
        <w:t>能</w:t>
      </w:r>
      <w:r>
        <w:rPr>
          <w:rFonts w:hint="eastAsia" w:ascii="宋体" w:hAnsi="宋体" w:cs="宋体"/>
          <w:szCs w:val="21"/>
          <w:highlight w:val="none"/>
        </w:rPr>
        <w:t>管理，做到人离关水、关电、关气，杜绝长流水、长明灯、漏气等现象。爱护餐具、厨具、设备等，尽最大努力减少人为或自然损耗。</w:t>
      </w:r>
    </w:p>
    <w:p w14:paraId="47879829">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投标人负责餐厅经营所需的水、电、煤气等能源费用，每月按时缴费至</w:t>
      </w:r>
      <w:r>
        <w:rPr>
          <w:rFonts w:hint="eastAsia" w:ascii="宋体" w:hAnsi="宋体" w:cs="宋体"/>
          <w:szCs w:val="21"/>
          <w:highlight w:val="none"/>
          <w:lang w:eastAsia="zh-CN"/>
        </w:rPr>
        <w:t>采购人</w:t>
      </w:r>
      <w:r>
        <w:rPr>
          <w:rFonts w:hint="eastAsia" w:ascii="宋体" w:hAnsi="宋体" w:cs="宋体"/>
          <w:szCs w:val="21"/>
          <w:highlight w:val="none"/>
        </w:rPr>
        <w:t>财务部门；</w:t>
      </w:r>
    </w:p>
    <w:p w14:paraId="13BED600">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投标人需自主投入后厨所需的锅、刀具、砧板等工作散件用具；</w:t>
      </w:r>
      <w:r>
        <w:rPr>
          <w:rFonts w:hint="eastAsia" w:ascii="宋体" w:hAnsi="宋体" w:cs="宋体"/>
          <w:szCs w:val="21"/>
          <w:highlight w:val="none"/>
          <w:lang w:eastAsia="zh-CN"/>
        </w:rPr>
        <w:t>分区分色使用。</w:t>
      </w:r>
    </w:p>
    <w:p w14:paraId="0D08D44A">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投标人需自主投入餐厅打饭窗口上方的菜品展示标识及负责所有饭堂的各类标识牌（可采用电子显示屏）。</w:t>
      </w:r>
    </w:p>
    <w:p w14:paraId="01DF217E">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投标人需自主投入餐具，需按照</w:t>
      </w:r>
      <w:r>
        <w:rPr>
          <w:rFonts w:hint="eastAsia" w:ascii="宋体" w:hAnsi="宋体" w:cs="宋体"/>
          <w:szCs w:val="21"/>
          <w:highlight w:val="none"/>
          <w:lang w:eastAsia="zh-CN"/>
        </w:rPr>
        <w:t>采购人</w:t>
      </w:r>
      <w:r>
        <w:rPr>
          <w:rFonts w:hint="eastAsia" w:ascii="宋体" w:hAnsi="宋体" w:cs="宋体"/>
          <w:szCs w:val="21"/>
          <w:highlight w:val="none"/>
        </w:rPr>
        <w:t>需求定制餐具标识；</w:t>
      </w:r>
    </w:p>
    <w:p w14:paraId="3243F439">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按照</w:t>
      </w:r>
      <w:r>
        <w:rPr>
          <w:rFonts w:hint="eastAsia" w:ascii="宋体" w:hAnsi="宋体" w:cs="宋体"/>
          <w:szCs w:val="21"/>
          <w:highlight w:val="none"/>
          <w:lang w:eastAsia="zh-CN"/>
        </w:rPr>
        <w:t>采购人</w:t>
      </w:r>
      <w:r>
        <w:rPr>
          <w:rFonts w:hint="eastAsia" w:ascii="宋体" w:hAnsi="宋体" w:cs="宋体"/>
          <w:szCs w:val="21"/>
          <w:highlight w:val="none"/>
        </w:rPr>
        <w:t>需求，提供多样式订餐服务（网络、电话、现场订餐等）。</w:t>
      </w:r>
    </w:p>
    <w:p w14:paraId="5B4DF533">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lang w:eastAsia="zh-CN"/>
        </w:rPr>
        <w:t>采购人</w:t>
      </w:r>
      <w:r>
        <w:rPr>
          <w:rFonts w:hint="eastAsia" w:ascii="宋体" w:hAnsi="宋体" w:cs="宋体"/>
          <w:szCs w:val="21"/>
          <w:highlight w:val="none"/>
        </w:rPr>
        <w:t xml:space="preserve">原有设备无偿转交投标人使用，经营过程中需要添置、维修设备费用或设备的损耗由投标人负责，合同到期撤场时必须保证厨房设备能够正常运转。不得私自改变厨房布局。 </w:t>
      </w:r>
    </w:p>
    <w:p w14:paraId="70143C43">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微软雅黑" w:hAnsi="微软雅黑" w:eastAsia="微软雅黑" w:cs="微软雅黑"/>
          <w:szCs w:val="21"/>
          <w:highlight w:val="none"/>
        </w:rPr>
        <w:t>▲</w:t>
      </w:r>
      <w:r>
        <w:rPr>
          <w:rFonts w:hint="eastAsia" w:ascii="宋体" w:hAnsi="宋体" w:cs="宋体"/>
          <w:szCs w:val="21"/>
          <w:highlight w:val="none"/>
        </w:rPr>
        <w:t>投标人需协助</w:t>
      </w:r>
      <w:r>
        <w:rPr>
          <w:rFonts w:hint="eastAsia" w:ascii="宋体" w:hAnsi="宋体" w:cs="宋体"/>
          <w:szCs w:val="21"/>
          <w:highlight w:val="none"/>
          <w:lang w:eastAsia="zh-CN"/>
        </w:rPr>
        <w:t>采购人</w:t>
      </w:r>
      <w:r>
        <w:rPr>
          <w:rFonts w:hint="eastAsia" w:ascii="宋体" w:hAnsi="宋体" w:cs="宋体"/>
          <w:szCs w:val="21"/>
          <w:highlight w:val="none"/>
        </w:rPr>
        <w:t>保持食品安全量化等级A级的工作（</w:t>
      </w:r>
      <w:r>
        <w:rPr>
          <w:rFonts w:hint="eastAsia" w:ascii="宋体" w:hAnsi="宋体" w:cs="宋体"/>
          <w:szCs w:val="21"/>
          <w:highlight w:val="none"/>
          <w:lang w:val="en-US" w:eastAsia="zh-CN"/>
        </w:rPr>
        <w:t>投标人出具</w:t>
      </w:r>
      <w:r>
        <w:rPr>
          <w:rFonts w:hint="eastAsia" w:ascii="宋体" w:hAnsi="宋体" w:cs="宋体"/>
          <w:szCs w:val="21"/>
          <w:highlight w:val="none"/>
        </w:rPr>
        <w:t>承诺</w:t>
      </w:r>
      <w:r>
        <w:rPr>
          <w:rFonts w:hint="eastAsia" w:ascii="宋体" w:hAnsi="宋体" w:cs="宋体"/>
          <w:szCs w:val="21"/>
          <w:highlight w:val="none"/>
          <w:lang w:val="en-US" w:eastAsia="zh-CN"/>
        </w:rPr>
        <w:t>函复印件并加盖公章，格式自拟</w:t>
      </w:r>
      <w:r>
        <w:rPr>
          <w:rFonts w:hint="eastAsia" w:ascii="宋体" w:hAnsi="宋体" w:cs="宋体"/>
          <w:szCs w:val="21"/>
          <w:highlight w:val="none"/>
        </w:rPr>
        <w:t>）。</w:t>
      </w:r>
    </w:p>
    <w:p w14:paraId="64E676B1">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投标人按照深圳市环保局要求自主安装或租赁油烟在线监控系统</w:t>
      </w:r>
      <w:r>
        <w:rPr>
          <w:rFonts w:hint="eastAsia" w:ascii="宋体" w:hAnsi="宋体" w:cs="宋体"/>
          <w:szCs w:val="21"/>
          <w:highlight w:val="none"/>
          <w:lang w:eastAsia="zh-CN"/>
        </w:rPr>
        <w:t>，</w:t>
      </w:r>
      <w:r>
        <w:rPr>
          <w:rFonts w:hint="eastAsia" w:ascii="宋体" w:hAnsi="宋体" w:cs="宋体"/>
          <w:szCs w:val="21"/>
          <w:highlight w:val="none"/>
          <w:lang w:val="en-US" w:eastAsia="zh-CN"/>
        </w:rPr>
        <w:t>相关费用由投标人负责。</w:t>
      </w:r>
    </w:p>
    <w:p w14:paraId="60F2DB4E">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合同期间</w:t>
      </w:r>
      <w:r>
        <w:rPr>
          <w:rFonts w:hint="eastAsia" w:ascii="宋体" w:hAnsi="宋体" w:cs="宋体"/>
          <w:szCs w:val="21"/>
          <w:highlight w:val="none"/>
          <w:lang w:eastAsia="zh-CN"/>
        </w:rPr>
        <w:t>，</w:t>
      </w:r>
      <w:r>
        <w:rPr>
          <w:rFonts w:hint="eastAsia" w:ascii="宋体" w:hAnsi="宋体" w:cs="宋体"/>
          <w:szCs w:val="21"/>
          <w:highlight w:val="none"/>
          <w:lang w:val="en-US" w:eastAsia="zh-CN"/>
        </w:rPr>
        <w:t>因投标人原因在</w:t>
      </w:r>
      <w:r>
        <w:rPr>
          <w:rFonts w:hint="eastAsia" w:ascii="宋体" w:hAnsi="宋体" w:cs="宋体"/>
          <w:szCs w:val="21"/>
          <w:highlight w:val="none"/>
        </w:rPr>
        <w:t>相关部</w:t>
      </w:r>
      <w:r>
        <w:rPr>
          <w:rFonts w:hint="eastAsia" w:ascii="宋体" w:hAnsi="宋体" w:cs="宋体"/>
          <w:szCs w:val="21"/>
          <w:highlight w:val="none"/>
          <w:lang w:val="en-US" w:eastAsia="zh-CN"/>
        </w:rPr>
        <w:t>门</w:t>
      </w:r>
      <w:r>
        <w:rPr>
          <w:rFonts w:hint="eastAsia" w:ascii="宋体" w:hAnsi="宋体" w:cs="宋体"/>
          <w:szCs w:val="21"/>
          <w:highlight w:val="none"/>
        </w:rPr>
        <w:t>检查</w:t>
      </w:r>
      <w:r>
        <w:rPr>
          <w:rFonts w:hint="eastAsia" w:ascii="宋体" w:hAnsi="宋体" w:cs="宋体"/>
          <w:szCs w:val="21"/>
          <w:highlight w:val="none"/>
          <w:lang w:val="en-US" w:eastAsia="zh-CN"/>
        </w:rPr>
        <w:t>过程中</w:t>
      </w:r>
      <w:r>
        <w:rPr>
          <w:rFonts w:hint="eastAsia" w:ascii="宋体" w:hAnsi="宋体" w:cs="宋体"/>
          <w:szCs w:val="21"/>
          <w:highlight w:val="none"/>
        </w:rPr>
        <w:t>导致</w:t>
      </w:r>
      <w:r>
        <w:rPr>
          <w:rFonts w:hint="eastAsia" w:ascii="宋体" w:hAnsi="宋体" w:cs="宋体"/>
          <w:szCs w:val="21"/>
          <w:highlight w:val="none"/>
          <w:lang w:val="en-US" w:eastAsia="zh-CN"/>
        </w:rPr>
        <w:t>检查不通过、被通报或遭受</w:t>
      </w:r>
      <w:r>
        <w:rPr>
          <w:rFonts w:hint="eastAsia" w:ascii="宋体" w:hAnsi="宋体" w:cs="宋体"/>
          <w:szCs w:val="21"/>
          <w:highlight w:val="none"/>
        </w:rPr>
        <w:t>处罚</w:t>
      </w:r>
      <w:r>
        <w:rPr>
          <w:rFonts w:hint="eastAsia" w:ascii="宋体" w:hAnsi="宋体" w:cs="宋体"/>
          <w:szCs w:val="21"/>
          <w:highlight w:val="none"/>
          <w:lang w:val="en-US" w:eastAsia="zh-CN"/>
        </w:rPr>
        <w:t>等，</w:t>
      </w:r>
      <w:r>
        <w:rPr>
          <w:rFonts w:hint="eastAsia" w:ascii="宋体" w:hAnsi="宋体" w:cs="宋体"/>
          <w:szCs w:val="21"/>
          <w:highlight w:val="none"/>
        </w:rPr>
        <w:t>产生的相关费用</w:t>
      </w:r>
      <w:r>
        <w:rPr>
          <w:rFonts w:hint="eastAsia" w:ascii="宋体" w:hAnsi="宋体" w:cs="宋体"/>
          <w:szCs w:val="21"/>
          <w:highlight w:val="none"/>
          <w:lang w:val="en-US" w:eastAsia="zh-CN"/>
        </w:rPr>
        <w:t>及损失</w:t>
      </w:r>
      <w:r>
        <w:rPr>
          <w:rFonts w:hint="eastAsia" w:ascii="宋体" w:hAnsi="宋体" w:cs="宋体"/>
          <w:szCs w:val="21"/>
          <w:highlight w:val="none"/>
        </w:rPr>
        <w:t>一律由投标人承担。</w:t>
      </w:r>
    </w:p>
    <w:p w14:paraId="4FF6AC09">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投标人需每月对员工进行1次以上的培训，并有书面培训资料及培训记录。投标人每年对关键岗位员工进行4次以上岗位相关工作培训，并提交培训记录及公司确认等相关资料。投标人需每年对员工进行2次以上的与食物中毒、火灾等安全生产相关的应急预案的培训及演练，并提交应急演练记录等相关资料。</w:t>
      </w:r>
    </w:p>
    <w:p w14:paraId="4ADDC6BE">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投标人应保证病人餐的配送规范应符合《中华人民共和国食品安全法》及相关餐饮行业的相关规定。应使用专用的保温设备运输病人餐，并保证送达时食品的表面温度不低于70℃。运输与配送期间应做好有效措施预防食物受污染。</w:t>
      </w:r>
    </w:p>
    <w:p w14:paraId="2319EB58">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对经营范围内发生的食品安全事故由投标人负全责，对经营范围内因人为操作失误引起的其它安全事故由投标人负全责；</w:t>
      </w:r>
    </w:p>
    <w:p w14:paraId="5B2FCDB1">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如食用由投标人配送的病人餐造成腹泻、过敏、食物中毒等食品安全事故，所有的法律责任和经济损失由投标人全部负责。</w:t>
      </w:r>
    </w:p>
    <w:p w14:paraId="1003EABE">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投标人应建立健全各项规章制度及有关岗位责任制和操作规程，并严格按制度和规程工作。制度建立主要包括：防火、防毒、防盗、卫生管理、物流采购和供应等方面。投标人应切实做好防火、防盗、食品卫生安全工作，若发生责任事故，后果由投标人全部承担，且</w:t>
      </w:r>
      <w:r>
        <w:rPr>
          <w:rFonts w:hint="eastAsia" w:ascii="宋体" w:hAnsi="宋体" w:cs="宋体"/>
          <w:szCs w:val="21"/>
          <w:highlight w:val="none"/>
          <w:lang w:eastAsia="zh-CN"/>
        </w:rPr>
        <w:t>采购人</w:t>
      </w:r>
      <w:r>
        <w:rPr>
          <w:rFonts w:hint="eastAsia" w:ascii="宋体" w:hAnsi="宋体" w:cs="宋体"/>
          <w:szCs w:val="21"/>
          <w:highlight w:val="none"/>
        </w:rPr>
        <w:t>有权解除合同，要求赔偿并且追究法律责任。</w:t>
      </w:r>
    </w:p>
    <w:p w14:paraId="69BA98D9">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所有食材不得使用转基因产品，如若发现，扣除履约保证金</w:t>
      </w:r>
      <w:r>
        <w:rPr>
          <w:rFonts w:hint="eastAsia" w:ascii="宋体" w:hAnsi="宋体" w:cs="宋体"/>
          <w:szCs w:val="21"/>
          <w:highlight w:val="none"/>
          <w:lang w:val="en-US" w:eastAsia="zh-CN"/>
        </w:rPr>
        <w:t>5</w:t>
      </w:r>
      <w:r>
        <w:rPr>
          <w:rFonts w:hint="eastAsia" w:ascii="宋体" w:hAnsi="宋体" w:cs="宋体"/>
          <w:szCs w:val="21"/>
          <w:highlight w:val="none"/>
        </w:rPr>
        <w:t>0万元，并且</w:t>
      </w:r>
      <w:r>
        <w:rPr>
          <w:rFonts w:hint="eastAsia" w:ascii="宋体" w:hAnsi="宋体" w:cs="宋体"/>
          <w:szCs w:val="21"/>
          <w:highlight w:val="none"/>
          <w:lang w:eastAsia="zh-CN"/>
        </w:rPr>
        <w:t>采购人</w:t>
      </w:r>
      <w:r>
        <w:rPr>
          <w:rFonts w:hint="eastAsia" w:ascii="宋体" w:hAnsi="宋体" w:cs="宋体"/>
          <w:szCs w:val="21"/>
          <w:highlight w:val="none"/>
        </w:rPr>
        <w:t>有权解除合同，要求赔偿并且追究法律责任。</w:t>
      </w:r>
    </w:p>
    <w:p w14:paraId="25D7DFCC">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设专门人员负责留样，每餐食品按相关规定的份量、时间、保存条件等做好留样工作。至少保存48小时，留样份量每样至少150克，</w:t>
      </w:r>
      <w:r>
        <w:rPr>
          <w:rFonts w:hint="eastAsia" w:ascii="宋体" w:hAnsi="宋体" w:cs="宋体"/>
          <w:szCs w:val="21"/>
          <w:highlight w:val="none"/>
          <w:lang w:val="en-US" w:eastAsia="zh-CN"/>
        </w:rPr>
        <w:t>按标准放置在</w:t>
      </w:r>
      <w:r>
        <w:rPr>
          <w:rFonts w:hint="eastAsia" w:ascii="宋体" w:hAnsi="宋体" w:cs="宋体"/>
          <w:szCs w:val="21"/>
          <w:highlight w:val="none"/>
        </w:rPr>
        <w:t>冷藏专柜专放</w:t>
      </w:r>
      <w:r>
        <w:rPr>
          <w:rFonts w:hint="eastAsia" w:ascii="宋体" w:hAnsi="宋体" w:cs="宋体"/>
          <w:szCs w:val="21"/>
          <w:highlight w:val="none"/>
          <w:lang w:eastAsia="zh-CN"/>
        </w:rPr>
        <w:t>，</w:t>
      </w:r>
      <w:r>
        <w:rPr>
          <w:rFonts w:hint="eastAsia" w:ascii="宋体" w:hAnsi="宋体" w:cs="宋体"/>
          <w:szCs w:val="21"/>
          <w:highlight w:val="none"/>
        </w:rPr>
        <w:t>并按要求做好食品留样管理工作等，具体根据相关规定实施。如接到食品安全投诉或发生食品安全事故，因投标人未按约定留样导致责任无法认定的，由投标人承担全部责任及因此给采购人造成的全部损失。</w:t>
      </w:r>
    </w:p>
    <w:p w14:paraId="4CB65490">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投标人负责维持饭堂（含手术室餐厅及体检餐厅）的环境卫生、灭‘四害’等工作，费用由投标人承担。配餐间整洁，用具、食品摆放有序，生、熟食品要分区摆放，工作完成后要立即做好卫生清洁工作；就餐区用具干净、整洁，桌椅要摆放整齐，就餐前要做好卫生清洁和易耗品摆放。</w:t>
      </w:r>
    </w:p>
    <w:p w14:paraId="3295964E">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对于厨余垃圾处理必须实行专人管理，实行垃圾有机处理。建立台账。</w:t>
      </w:r>
    </w:p>
    <w:p w14:paraId="6B44B6EB">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投标人建立突发情况的应急预案，每年至少一次演习，在出现无法正常供餐的突发情况下，30分钟内提供价格相当的应急供餐保障，保证员工正常的饮食需要。</w:t>
      </w:r>
    </w:p>
    <w:p w14:paraId="43AE50D4">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未经</w:t>
      </w:r>
      <w:r>
        <w:rPr>
          <w:rFonts w:hint="eastAsia" w:ascii="宋体" w:hAnsi="宋体" w:cs="宋体"/>
          <w:szCs w:val="21"/>
          <w:highlight w:val="none"/>
          <w:lang w:eastAsia="zh-CN"/>
        </w:rPr>
        <w:t>采购人</w:t>
      </w:r>
      <w:r>
        <w:rPr>
          <w:rFonts w:hint="eastAsia" w:ascii="宋体" w:hAnsi="宋体" w:cs="宋体"/>
          <w:szCs w:val="21"/>
          <w:highlight w:val="none"/>
        </w:rPr>
        <w:t>书面同意，投标人不可将经营位置分租给第三方经营；或转包给第三方。否则，</w:t>
      </w:r>
      <w:r>
        <w:rPr>
          <w:rFonts w:hint="eastAsia" w:ascii="宋体" w:hAnsi="宋体" w:cs="宋体"/>
          <w:szCs w:val="21"/>
          <w:highlight w:val="none"/>
          <w:lang w:eastAsia="zh-CN"/>
        </w:rPr>
        <w:t>采购人</w:t>
      </w:r>
      <w:r>
        <w:rPr>
          <w:rFonts w:hint="eastAsia" w:ascii="宋体" w:hAnsi="宋体" w:cs="宋体"/>
          <w:szCs w:val="21"/>
          <w:highlight w:val="none"/>
        </w:rPr>
        <w:t>可单方面解除合同，并扣除全部的履约保证金（</w:t>
      </w:r>
      <w:r>
        <w:rPr>
          <w:rFonts w:hint="eastAsia" w:ascii="宋体" w:hAnsi="宋体" w:cs="宋体"/>
          <w:szCs w:val="21"/>
          <w:highlight w:val="none"/>
          <w:lang w:val="en-US" w:eastAsia="zh-CN"/>
        </w:rPr>
        <w:t>5</w:t>
      </w:r>
      <w:r>
        <w:rPr>
          <w:rFonts w:hint="eastAsia" w:ascii="宋体" w:hAnsi="宋体" w:cs="宋体"/>
          <w:szCs w:val="21"/>
          <w:highlight w:val="none"/>
        </w:rPr>
        <w:t>0万元人民币）。</w:t>
      </w:r>
    </w:p>
    <w:p w14:paraId="029B9645">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投标人负责每季度收集员工的意见和信息，制作食堂服务意见采集表，定期发放，定期收回，如实将意见收集归类分析。</w:t>
      </w:r>
    </w:p>
    <w:p w14:paraId="45776F16">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投标人须接受</w:t>
      </w:r>
      <w:r>
        <w:rPr>
          <w:rFonts w:hint="eastAsia" w:ascii="宋体" w:hAnsi="宋体" w:cs="宋体"/>
          <w:szCs w:val="21"/>
          <w:highlight w:val="none"/>
          <w:lang w:eastAsia="zh-CN"/>
        </w:rPr>
        <w:t>采购人</w:t>
      </w:r>
      <w:r>
        <w:rPr>
          <w:rFonts w:hint="eastAsia" w:ascii="宋体" w:hAnsi="宋体" w:cs="宋体"/>
          <w:szCs w:val="21"/>
          <w:highlight w:val="none"/>
        </w:rPr>
        <w:t>管理部门及全院职工的监督，每</w:t>
      </w:r>
      <w:r>
        <w:rPr>
          <w:rFonts w:hint="eastAsia" w:ascii="宋体" w:hAnsi="宋体" w:cs="宋体"/>
          <w:szCs w:val="21"/>
          <w:highlight w:val="none"/>
          <w:lang w:val="en-US" w:eastAsia="zh-CN"/>
        </w:rPr>
        <w:t>月至少进行一次全院性的满意度调查，平均分低于85分口头警告，低于80分，每分按1000元人民币进行扣除</w:t>
      </w:r>
      <w:r>
        <w:rPr>
          <w:rFonts w:hint="eastAsia" w:ascii="宋体" w:hAnsi="宋体" w:cs="宋体"/>
          <w:szCs w:val="21"/>
          <w:highlight w:val="none"/>
        </w:rPr>
        <w:t>。</w:t>
      </w:r>
    </w:p>
    <w:p w14:paraId="187E7DC6">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投标人通过打造智慧食堂服务，提供智慧后厨改造（KMS系统、物联网硬件）、智慧前厅改造（点餐、结算、聚餐）、食安监控方案（食材、人员、环境监控）、智慧经营管理（</w:t>
      </w:r>
      <w:r>
        <w:rPr>
          <w:rFonts w:hint="eastAsia" w:ascii="宋体" w:hAnsi="宋体" w:cs="宋体"/>
          <w:szCs w:val="21"/>
          <w:highlight w:val="none"/>
          <w:lang w:eastAsia="zh-CN"/>
        </w:rPr>
        <w:t>采购人</w:t>
      </w:r>
      <w:r>
        <w:rPr>
          <w:rFonts w:hint="eastAsia" w:ascii="宋体" w:hAnsi="宋体" w:cs="宋体"/>
          <w:szCs w:val="21"/>
          <w:highlight w:val="none"/>
        </w:rPr>
        <w:t>负责人可线上查看真实经营数据）等信息化手段。实现人脸识别消费、指纹识别消费、刷卡消费等方式，为医患提供便捷高效服务的同时，</w:t>
      </w:r>
      <w:r>
        <w:rPr>
          <w:rFonts w:hint="eastAsia" w:ascii="宋体" w:hAnsi="宋体" w:cs="宋体"/>
          <w:szCs w:val="21"/>
          <w:highlight w:val="none"/>
          <w:lang w:eastAsia="zh-CN"/>
        </w:rPr>
        <w:t>采购人</w:t>
      </w:r>
      <w:r>
        <w:rPr>
          <w:rFonts w:hint="eastAsia" w:ascii="宋体" w:hAnsi="宋体" w:cs="宋体"/>
          <w:szCs w:val="21"/>
          <w:highlight w:val="none"/>
        </w:rPr>
        <w:t>能掌握真实运营数据，有效控制利润水平，实现线上监管。</w:t>
      </w:r>
    </w:p>
    <w:p w14:paraId="77090F1E">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微软雅黑" w:hAnsi="微软雅黑" w:eastAsia="微软雅黑" w:cs="微软雅黑"/>
          <w:szCs w:val="21"/>
          <w:highlight w:val="none"/>
        </w:rPr>
        <w:t>▲</w:t>
      </w:r>
      <w:r>
        <w:rPr>
          <w:rFonts w:hint="eastAsia" w:ascii="宋体" w:hAnsi="宋体" w:cs="宋体"/>
          <w:szCs w:val="21"/>
          <w:highlight w:val="none"/>
          <w:lang w:val="en-US" w:eastAsia="zh-CN"/>
        </w:rPr>
        <w:t>采购人职工食堂的《食品经营许可证》由投标人负责无条件协助办理。因不及时办理由此造成的一切损失由投标人承担</w:t>
      </w:r>
      <w:r>
        <w:rPr>
          <w:rFonts w:hint="eastAsia" w:ascii="宋体" w:hAnsi="宋体" w:cs="宋体"/>
          <w:szCs w:val="21"/>
          <w:highlight w:val="none"/>
        </w:rPr>
        <w:t>（</w:t>
      </w:r>
      <w:r>
        <w:rPr>
          <w:rFonts w:hint="eastAsia" w:ascii="宋体" w:hAnsi="宋体" w:cs="宋体"/>
          <w:szCs w:val="21"/>
          <w:highlight w:val="none"/>
          <w:lang w:val="en-US" w:eastAsia="zh-CN"/>
        </w:rPr>
        <w:t>投标人出具</w:t>
      </w:r>
      <w:r>
        <w:rPr>
          <w:rFonts w:hint="eastAsia" w:ascii="宋体" w:hAnsi="宋体" w:cs="宋体"/>
          <w:szCs w:val="21"/>
          <w:highlight w:val="none"/>
        </w:rPr>
        <w:t>承诺</w:t>
      </w:r>
      <w:r>
        <w:rPr>
          <w:rFonts w:hint="eastAsia" w:ascii="宋体" w:hAnsi="宋体" w:cs="宋体"/>
          <w:szCs w:val="21"/>
          <w:highlight w:val="none"/>
          <w:lang w:val="en-US" w:eastAsia="zh-CN"/>
        </w:rPr>
        <w:t>函复印件并加盖公章，格式自拟</w:t>
      </w:r>
      <w:r>
        <w:rPr>
          <w:rFonts w:hint="eastAsia" w:ascii="宋体" w:hAnsi="宋体" w:cs="宋体"/>
          <w:szCs w:val="21"/>
          <w:highlight w:val="none"/>
        </w:rPr>
        <w:t>）</w:t>
      </w:r>
      <w:r>
        <w:rPr>
          <w:rFonts w:hint="eastAsia" w:ascii="宋体" w:hAnsi="宋体" w:cs="宋体"/>
          <w:szCs w:val="21"/>
          <w:highlight w:val="none"/>
          <w:lang w:val="en-US" w:eastAsia="zh-CN"/>
        </w:rPr>
        <w:t>。</w:t>
      </w:r>
    </w:p>
    <w:p w14:paraId="78C8D993">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default" w:ascii="宋体" w:hAnsi="宋体" w:cs="宋体"/>
          <w:szCs w:val="21"/>
          <w:highlight w:val="yellow"/>
          <w:lang w:val="en-US" w:eastAsia="zh-CN"/>
        </w:rPr>
      </w:pPr>
      <w:r>
        <w:rPr>
          <w:rFonts w:hint="eastAsia" w:ascii="宋体" w:hAnsi="宋体" w:cs="宋体"/>
          <w:szCs w:val="21"/>
          <w:highlight w:val="yellow"/>
        </w:rPr>
        <w:t>★</w:t>
      </w:r>
      <w:r>
        <w:rPr>
          <w:rFonts w:hint="eastAsia" w:ascii="宋体" w:hAnsi="宋体" w:cs="宋体"/>
          <w:szCs w:val="21"/>
          <w:highlight w:val="yellow"/>
          <w:lang w:val="en-US" w:eastAsia="zh-CN"/>
        </w:rPr>
        <w:t>根据《深圳市公共机构节约能源资源工作“十四五”规划》，以高效电磁灶具替代燃气灶具，普及高效油烟净化设备，建设全电厨房和绿色食堂。同时根据设备设施使用情况，采购人提供的</w:t>
      </w:r>
      <w:r>
        <w:rPr>
          <w:rFonts w:hint="eastAsia" w:ascii="宋体" w:hAnsi="宋体" w:cs="宋体"/>
          <w:szCs w:val="21"/>
          <w:highlight w:val="yellow"/>
        </w:rPr>
        <w:t>厨房设施设备</w:t>
      </w:r>
      <w:r>
        <w:rPr>
          <w:rFonts w:hint="eastAsia" w:ascii="宋体" w:hAnsi="宋体" w:cs="宋体"/>
          <w:szCs w:val="21"/>
          <w:highlight w:val="yellow"/>
          <w:lang w:eastAsia="zh-CN"/>
        </w:rPr>
        <w:t>（</w:t>
      </w:r>
      <w:r>
        <w:rPr>
          <w:rFonts w:hint="eastAsia" w:ascii="宋体" w:hAnsi="宋体" w:cs="宋体"/>
          <w:szCs w:val="21"/>
          <w:highlight w:val="yellow"/>
          <w:lang w:val="en-US" w:eastAsia="zh-CN"/>
        </w:rPr>
        <w:t>包含但不限于炉头、冰箱、蒸炉、保温车、消毒箱、冷库、货架、操作台、排油烟系统等，原采购人配备厨房设备，花费259.29万元。）现已到报废年限，投标人承诺本合同期内进行更换，更换品牌和质量不得低于原有品牌和质量，</w:t>
      </w:r>
      <w:r>
        <w:rPr>
          <w:rFonts w:hint="eastAsia" w:ascii="宋体" w:hAnsi="宋体" w:cs="宋体"/>
          <w:szCs w:val="21"/>
          <w:highlight w:val="yellow"/>
        </w:rPr>
        <w:t>合同</w:t>
      </w:r>
      <w:r>
        <w:rPr>
          <w:rFonts w:hint="eastAsia" w:ascii="宋体" w:hAnsi="宋体" w:cs="宋体"/>
          <w:szCs w:val="21"/>
          <w:highlight w:val="yellow"/>
          <w:lang w:val="en-US" w:eastAsia="zh-CN"/>
        </w:rPr>
        <w:t>期限届满后，更新的设备设施等全部投入均归采购人所有。</w:t>
      </w:r>
      <w:r>
        <w:rPr>
          <w:rFonts w:hint="eastAsia" w:ascii="宋体" w:hAnsi="宋体" w:cs="宋体"/>
          <w:szCs w:val="21"/>
          <w:highlight w:val="yellow"/>
        </w:rPr>
        <w:t>（</w:t>
      </w:r>
      <w:r>
        <w:rPr>
          <w:rFonts w:hint="eastAsia" w:ascii="宋体" w:hAnsi="宋体" w:cs="宋体"/>
          <w:szCs w:val="21"/>
          <w:highlight w:val="yellow"/>
          <w:lang w:val="en-US" w:eastAsia="zh-CN"/>
        </w:rPr>
        <w:t>投标人出具</w:t>
      </w:r>
      <w:r>
        <w:rPr>
          <w:rFonts w:hint="eastAsia" w:ascii="宋体" w:hAnsi="宋体" w:cs="宋体"/>
          <w:szCs w:val="21"/>
          <w:highlight w:val="yellow"/>
        </w:rPr>
        <w:t>承诺</w:t>
      </w:r>
      <w:r>
        <w:rPr>
          <w:rFonts w:hint="eastAsia" w:ascii="宋体" w:hAnsi="宋体" w:cs="宋体"/>
          <w:szCs w:val="21"/>
          <w:highlight w:val="yellow"/>
          <w:lang w:val="en-US" w:eastAsia="zh-CN"/>
        </w:rPr>
        <w:t>函复印件并加盖公章，格式自拟</w:t>
      </w:r>
      <w:r>
        <w:rPr>
          <w:rFonts w:hint="eastAsia" w:ascii="宋体" w:hAnsi="宋体" w:cs="宋体"/>
          <w:szCs w:val="21"/>
          <w:highlight w:val="yellow"/>
        </w:rPr>
        <w:t>）</w:t>
      </w:r>
    </w:p>
    <w:p w14:paraId="21ECA92D">
      <w:pPr>
        <w:numPr>
          <w:ilvl w:val="0"/>
          <w:numId w:val="9"/>
        </w:numPr>
        <w:ind w:firstLine="480"/>
        <w:rPr>
          <w:rFonts w:hint="default"/>
          <w:highlight w:val="yellow"/>
          <w:lang w:val="en-US" w:eastAsia="zh-CN"/>
        </w:rPr>
      </w:pPr>
      <w:r>
        <w:rPr>
          <w:rFonts w:hint="eastAsia" w:ascii="宋体" w:hAnsi="宋体" w:cs="宋体"/>
          <w:szCs w:val="21"/>
          <w:highlight w:val="yellow"/>
        </w:rPr>
        <w:t>★</w:t>
      </w:r>
      <w:r>
        <w:rPr>
          <w:rFonts w:hint="eastAsia" w:ascii="宋体" w:hAnsi="宋体" w:cs="宋体"/>
          <w:szCs w:val="21"/>
          <w:highlight w:val="yellow"/>
          <w:lang w:val="en-US" w:eastAsia="zh-CN"/>
        </w:rPr>
        <w:t>投标人承诺根据采购人需求，在本合同期内，按采购人要求，在指定地点改造患者餐厅，配套附属设备及电器等由投标人提供，</w:t>
      </w:r>
      <w:r>
        <w:rPr>
          <w:rFonts w:hint="eastAsia" w:ascii="宋体" w:hAnsi="宋体" w:cs="宋体"/>
          <w:szCs w:val="21"/>
          <w:highlight w:val="yellow"/>
        </w:rPr>
        <w:t>合同</w:t>
      </w:r>
      <w:r>
        <w:rPr>
          <w:rFonts w:hint="eastAsia" w:ascii="宋体" w:hAnsi="宋体" w:cs="宋体"/>
          <w:szCs w:val="21"/>
          <w:highlight w:val="yellow"/>
          <w:lang w:val="en-US" w:eastAsia="zh-CN"/>
        </w:rPr>
        <w:t>期限届满后，配套的设备设施等全部投入均归采购人所有。</w:t>
      </w:r>
      <w:r>
        <w:rPr>
          <w:rFonts w:hint="eastAsia" w:ascii="宋体" w:hAnsi="宋体" w:cs="宋体"/>
          <w:szCs w:val="21"/>
          <w:highlight w:val="yellow"/>
        </w:rPr>
        <w:t>（</w:t>
      </w:r>
      <w:r>
        <w:rPr>
          <w:rFonts w:hint="eastAsia" w:ascii="宋体" w:hAnsi="宋体" w:cs="宋体"/>
          <w:szCs w:val="21"/>
          <w:highlight w:val="yellow"/>
          <w:lang w:val="en-US" w:eastAsia="zh-CN"/>
        </w:rPr>
        <w:t>投标人出具</w:t>
      </w:r>
      <w:r>
        <w:rPr>
          <w:rFonts w:hint="eastAsia" w:ascii="宋体" w:hAnsi="宋体" w:cs="宋体"/>
          <w:szCs w:val="21"/>
          <w:highlight w:val="yellow"/>
        </w:rPr>
        <w:t>承诺</w:t>
      </w:r>
      <w:r>
        <w:rPr>
          <w:rFonts w:hint="eastAsia" w:ascii="宋体" w:hAnsi="宋体" w:cs="宋体"/>
          <w:szCs w:val="21"/>
          <w:highlight w:val="yellow"/>
          <w:lang w:val="en-US" w:eastAsia="zh-CN"/>
        </w:rPr>
        <w:t>函复印件并加盖公章，格式自拟</w:t>
      </w:r>
      <w:r>
        <w:rPr>
          <w:rFonts w:hint="eastAsia" w:ascii="宋体" w:hAnsi="宋体" w:cs="宋体"/>
          <w:szCs w:val="21"/>
          <w:highlight w:val="yellow"/>
        </w:rPr>
        <w:t>）</w:t>
      </w:r>
    </w:p>
    <w:p w14:paraId="046B494A">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default" w:ascii="宋体" w:hAnsi="宋体" w:cs="宋体"/>
          <w:szCs w:val="21"/>
          <w:highlight w:val="yellow"/>
          <w:lang w:val="en-US" w:eastAsia="zh-CN"/>
        </w:rPr>
      </w:pPr>
      <w:r>
        <w:rPr>
          <w:rFonts w:hint="eastAsia" w:ascii="宋体" w:hAnsi="宋体" w:cs="宋体"/>
          <w:szCs w:val="21"/>
          <w:highlight w:val="yellow"/>
        </w:rPr>
        <w:t>★</w:t>
      </w:r>
      <w:bookmarkStart w:id="1" w:name="_GoBack"/>
      <w:r>
        <w:rPr>
          <w:rFonts w:hint="eastAsia" w:ascii="宋体" w:hAnsi="宋体" w:cs="宋体"/>
          <w:szCs w:val="21"/>
          <w:highlight w:val="yellow"/>
          <w:lang w:val="en-US" w:eastAsia="zh-CN"/>
        </w:rPr>
        <w:t>投标人承诺，在三年合同期内，包含更换厨房设备及装修改造费用，总投资不得低于324万元。</w:t>
      </w:r>
      <w:bookmarkEnd w:id="1"/>
      <w:r>
        <w:rPr>
          <w:rFonts w:hint="eastAsia" w:ascii="宋体" w:hAnsi="宋体" w:cs="宋体"/>
          <w:szCs w:val="21"/>
          <w:highlight w:val="yellow"/>
        </w:rPr>
        <w:t>（</w:t>
      </w:r>
      <w:r>
        <w:rPr>
          <w:rFonts w:hint="eastAsia" w:ascii="宋体" w:hAnsi="宋体" w:cs="宋体"/>
          <w:szCs w:val="21"/>
          <w:highlight w:val="yellow"/>
          <w:lang w:val="en-US" w:eastAsia="zh-CN"/>
        </w:rPr>
        <w:t>投标人出具</w:t>
      </w:r>
      <w:r>
        <w:rPr>
          <w:rFonts w:hint="eastAsia" w:ascii="宋体" w:hAnsi="宋体" w:cs="宋体"/>
          <w:szCs w:val="21"/>
          <w:highlight w:val="yellow"/>
        </w:rPr>
        <w:t>承诺</w:t>
      </w:r>
      <w:r>
        <w:rPr>
          <w:rFonts w:hint="eastAsia" w:ascii="宋体" w:hAnsi="宋体" w:cs="宋体"/>
          <w:szCs w:val="21"/>
          <w:highlight w:val="yellow"/>
          <w:lang w:val="en-US" w:eastAsia="zh-CN"/>
        </w:rPr>
        <w:t>函复印件并加盖公章，格式自拟</w:t>
      </w:r>
      <w:r>
        <w:rPr>
          <w:rFonts w:hint="eastAsia" w:ascii="宋体" w:hAnsi="宋体" w:cs="宋体"/>
          <w:szCs w:val="21"/>
          <w:highlight w:val="yellow"/>
        </w:rPr>
        <w:t>）</w:t>
      </w:r>
    </w:p>
    <w:p w14:paraId="52A84E3A">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default" w:ascii="宋体" w:hAnsi="宋体" w:eastAsia="宋体" w:cs="宋体"/>
          <w:szCs w:val="21"/>
          <w:highlight w:val="yellow"/>
          <w:lang w:val="en-US" w:eastAsia="zh-CN"/>
        </w:rPr>
      </w:pPr>
      <w:r>
        <w:rPr>
          <w:rFonts w:hint="eastAsia" w:ascii="宋体" w:hAnsi="宋体" w:cs="宋体"/>
          <w:szCs w:val="21"/>
          <w:highlight w:val="yellow"/>
        </w:rPr>
        <w:t>★</w:t>
      </w:r>
      <w:r>
        <w:rPr>
          <w:rFonts w:hint="default" w:ascii="宋体" w:hAnsi="宋体" w:eastAsia="宋体" w:cs="宋体"/>
          <w:szCs w:val="21"/>
          <w:highlight w:val="yellow"/>
        </w:rPr>
        <w:t>医院职工享受优惠折扣</w:t>
      </w:r>
      <w:r>
        <w:rPr>
          <w:rFonts w:hint="eastAsia" w:ascii="宋体" w:hAnsi="宋体" w:cs="宋体"/>
          <w:szCs w:val="21"/>
          <w:highlight w:val="yellow"/>
          <w:lang w:eastAsia="zh-CN"/>
        </w:rPr>
        <w:t>（</w:t>
      </w:r>
      <w:r>
        <w:rPr>
          <w:rFonts w:hint="eastAsia" w:ascii="宋体" w:hAnsi="宋体" w:cs="宋体"/>
          <w:szCs w:val="21"/>
          <w:highlight w:val="yellow"/>
          <w:lang w:val="en-US" w:eastAsia="zh-CN"/>
        </w:rPr>
        <w:t>仅限职工餐补部份，并在餐线点餐和订餐的）</w:t>
      </w:r>
      <w:r>
        <w:rPr>
          <w:rFonts w:hint="eastAsia" w:ascii="宋体" w:hAnsi="宋体" w:eastAsia="宋体" w:cs="宋体"/>
          <w:szCs w:val="21"/>
          <w:highlight w:val="yellow"/>
        </w:rPr>
        <w:t>。</w:t>
      </w:r>
      <w:r>
        <w:rPr>
          <w:rFonts w:hint="default" w:ascii="宋体" w:hAnsi="宋体" w:eastAsia="宋体" w:cs="宋体"/>
          <w:szCs w:val="21"/>
          <w:highlight w:val="yellow"/>
          <w:lang w:val="en-US" w:eastAsia="zh-CN"/>
        </w:rPr>
        <w:t>具体折扣率以最终</w:t>
      </w:r>
      <w:r>
        <w:rPr>
          <w:rFonts w:hint="eastAsia" w:ascii="宋体" w:hAnsi="宋体" w:eastAsia="宋体" w:cs="宋体"/>
          <w:szCs w:val="21"/>
          <w:highlight w:val="yellow"/>
          <w:lang w:val="en-US" w:eastAsia="zh-CN"/>
        </w:rPr>
        <w:t>招标</w:t>
      </w:r>
      <w:r>
        <w:rPr>
          <w:rFonts w:hint="default" w:ascii="宋体" w:hAnsi="宋体" w:eastAsia="宋体" w:cs="宋体"/>
          <w:szCs w:val="21"/>
          <w:highlight w:val="yellow"/>
          <w:lang w:val="en-US" w:eastAsia="zh-CN"/>
        </w:rPr>
        <w:t>为准。</w:t>
      </w:r>
    </w:p>
    <w:p w14:paraId="473A00DC">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default" w:ascii="宋体" w:hAnsi="宋体" w:cs="宋体"/>
          <w:szCs w:val="21"/>
          <w:highlight w:val="yellow"/>
          <w:lang w:val="en-US" w:eastAsia="zh-CN"/>
        </w:rPr>
      </w:pPr>
      <w:r>
        <w:rPr>
          <w:rFonts w:hint="eastAsia" w:ascii="宋体" w:hAnsi="宋体" w:cs="宋体"/>
          <w:szCs w:val="21"/>
          <w:highlight w:val="yellow"/>
        </w:rPr>
        <w:t>★投标人承诺中标后以公司名义为采购人购买食品安全责任险</w:t>
      </w:r>
      <w:r>
        <w:rPr>
          <w:rFonts w:hint="eastAsia" w:ascii="宋体" w:hAnsi="宋体" w:cs="宋体"/>
          <w:szCs w:val="21"/>
          <w:highlight w:val="yellow"/>
          <w:lang w:eastAsia="zh-CN"/>
        </w:rPr>
        <w:t>，</w:t>
      </w:r>
      <w:r>
        <w:rPr>
          <w:rFonts w:hint="eastAsia" w:ascii="宋体" w:hAnsi="宋体" w:cs="宋体"/>
          <w:szCs w:val="21"/>
          <w:highlight w:val="yellow"/>
          <w:lang w:val="en-US" w:eastAsia="zh-CN"/>
        </w:rPr>
        <w:t>险额不低于1000万元</w:t>
      </w:r>
      <w:r>
        <w:rPr>
          <w:rFonts w:hint="eastAsia" w:ascii="宋体" w:hAnsi="宋体" w:cs="宋体"/>
          <w:szCs w:val="21"/>
          <w:highlight w:val="yellow"/>
        </w:rPr>
        <w:t>。</w:t>
      </w:r>
    </w:p>
    <w:p w14:paraId="7528A586">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在</w:t>
      </w:r>
      <w:r>
        <w:rPr>
          <w:rFonts w:hint="eastAsia" w:ascii="宋体" w:hAnsi="宋体" w:cs="宋体"/>
          <w:szCs w:val="21"/>
          <w:highlight w:val="none"/>
          <w:lang w:eastAsia="zh-CN"/>
        </w:rPr>
        <w:t>采购人</w:t>
      </w:r>
      <w:r>
        <w:rPr>
          <w:rFonts w:hint="eastAsia" w:ascii="宋体" w:hAnsi="宋体" w:cs="宋体"/>
          <w:szCs w:val="21"/>
          <w:highlight w:val="none"/>
        </w:rPr>
        <w:t>营养科的指导和监督下，根据《临床营养技术操作规范》等有关法规进行治疗饮食的制作及配送。配备营养师和成立治疗膳食小组，定期对治疗膳食小组及相关人员进行专业知识培训。</w:t>
      </w:r>
    </w:p>
    <w:p w14:paraId="7F8F869A">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营养餐需由相对独立的厨师团队负责。制作、配送等相关人员要接受营养科的监督及定期培训。投标人应配合营养科保证病人餐的出品质量，菜单每月变动一次，提交营养科审核后方可执行。菜式搭配绿色健康，需提供多种不同口味、不同菜式的餐品，且每餐均需提供流质、半流质、软食、糖尿病饮食、低盐低脂饮食、高蛋白质饮食等特殊餐饮需求服务（特殊餐饮服务根据采购人临床患者的需求变动而变动）。</w:t>
      </w:r>
    </w:p>
    <w:p w14:paraId="4D3A10F7">
      <w:pPr>
        <w:numPr>
          <w:ilvl w:val="0"/>
          <w:numId w:val="9"/>
        </w:numPr>
        <w:ind w:firstLine="480" w:firstLineChars="200"/>
        <w:rPr>
          <w:rFonts w:hint="eastAsia"/>
          <w:highlight w:val="none"/>
        </w:rPr>
      </w:pPr>
      <w:r>
        <w:rPr>
          <w:rFonts w:hint="eastAsia" w:ascii="宋体" w:hAnsi="宋体" w:cs="宋体"/>
          <w:szCs w:val="21"/>
          <w:highlight w:val="none"/>
        </w:rPr>
        <w:t>营养餐的送餐盒上须贴明详细打印的营养配比标签，配合</w:t>
      </w:r>
      <w:r>
        <w:rPr>
          <w:rFonts w:hint="eastAsia" w:ascii="宋体" w:hAnsi="宋体" w:cs="宋体"/>
          <w:szCs w:val="21"/>
          <w:highlight w:val="none"/>
          <w:lang w:eastAsia="zh-CN"/>
        </w:rPr>
        <w:t>采购人</w:t>
      </w:r>
      <w:r>
        <w:rPr>
          <w:rFonts w:hint="eastAsia" w:ascii="宋体" w:hAnsi="宋体" w:cs="宋体"/>
          <w:szCs w:val="21"/>
          <w:highlight w:val="none"/>
        </w:rPr>
        <w:t>随时查验配餐情况。</w:t>
      </w:r>
    </w:p>
    <w:p w14:paraId="425AB288">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每次餐前、餐中、餐后应及时擦洗饭桌上的残渣、剩饭、油污。餐厨产生垃圾由投标人按环保要求每天自行处理。</w:t>
      </w:r>
    </w:p>
    <w:p w14:paraId="08912761">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做好饭堂的消防安全工作，按照国家消防安全标准安装和配置必要的性能完好的消防设施设备，并定期接受招标人及相关机构的监督检查。饭堂内的消防安全及工具、油烟系统、电源（炉灶、各种炊事设备）等操作事故责任均由投标人承担。</w:t>
      </w:r>
    </w:p>
    <w:p w14:paraId="0EB2A134">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生产、运输及院内食品分送场所的设施与卫生条件符合国家食品卫生法规要求；餐具符合国家食品卫生标准，使用不锈钢筷子、餐盘、蒸笼等，所有不锈钢筷子、餐盘等餐具必须经高温消毒柜消毒后才能使用。</w:t>
      </w:r>
    </w:p>
    <w:p w14:paraId="6DE23876">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冰箱、冰柜所有食物须分开分类放置，熟食品须专用冰箱放置，其他的严格按食品种类分隔的标准独立存放（生食品、与半成品、干货类独立），所有存储容器外均贴上食物资料标签。</w:t>
      </w:r>
    </w:p>
    <w:p w14:paraId="3369307E">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严格区别使用生食、熟食的刀具、砧板，必须分开专用专位放置，并有一定距离。</w:t>
      </w:r>
    </w:p>
    <w:p w14:paraId="7A4A4863">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微软雅黑" w:hAnsi="微软雅黑" w:eastAsia="微软雅黑" w:cs="微软雅黑"/>
          <w:szCs w:val="21"/>
          <w:highlight w:val="none"/>
        </w:rPr>
        <w:t>▲</w:t>
      </w:r>
      <w:r>
        <w:rPr>
          <w:rFonts w:hint="eastAsia" w:ascii="宋体" w:hAnsi="宋体" w:cs="宋体"/>
          <w:szCs w:val="21"/>
          <w:highlight w:val="none"/>
        </w:rPr>
        <w:t>投标人须制订紧急供餐方案，遇到突发事件（如断水、断电）时，保证30分钟内提供就餐。</w:t>
      </w:r>
      <w:r>
        <w:rPr>
          <w:rFonts w:hint="eastAsia" w:ascii="宋体" w:hAnsi="宋体" w:cs="宋体"/>
          <w:szCs w:val="21"/>
          <w:highlight w:val="none"/>
          <w:lang w:eastAsia="zh-CN"/>
        </w:rPr>
        <w:t>（提供承诺函</w:t>
      </w:r>
      <w:r>
        <w:rPr>
          <w:rFonts w:hint="eastAsia" w:ascii="宋体" w:hAnsi="宋体" w:cs="宋体"/>
          <w:szCs w:val="21"/>
          <w:highlight w:val="none"/>
          <w:lang w:val="en-US" w:eastAsia="zh-CN"/>
        </w:rPr>
        <w:t>复印件并加盖公章</w:t>
      </w:r>
      <w:r>
        <w:rPr>
          <w:rFonts w:hint="eastAsia" w:ascii="宋体" w:hAnsi="宋体" w:cs="宋体"/>
          <w:szCs w:val="21"/>
          <w:highlight w:val="none"/>
          <w:lang w:eastAsia="zh-CN"/>
        </w:rPr>
        <w:t>，</w:t>
      </w:r>
      <w:r>
        <w:rPr>
          <w:rFonts w:hint="eastAsia" w:ascii="宋体" w:hAnsi="宋体" w:cs="宋体"/>
          <w:szCs w:val="21"/>
          <w:highlight w:val="none"/>
          <w:lang w:val="en-US" w:eastAsia="zh-CN"/>
        </w:rPr>
        <w:t>格式自拟</w:t>
      </w:r>
      <w:r>
        <w:rPr>
          <w:rFonts w:hint="eastAsia" w:ascii="宋体" w:hAnsi="宋体" w:cs="宋体"/>
          <w:szCs w:val="21"/>
          <w:highlight w:val="none"/>
          <w:lang w:eastAsia="zh-CN"/>
        </w:rPr>
        <w:t>）</w:t>
      </w:r>
    </w:p>
    <w:p w14:paraId="37FF8483">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由投标人自付水、电、燃气费用，实行逐月抄表按当时价格计价收费。</w:t>
      </w:r>
      <w:r>
        <w:rPr>
          <w:rFonts w:hint="eastAsia" w:ascii="宋体" w:hAnsi="宋体" w:cs="宋体"/>
          <w:szCs w:val="21"/>
          <w:highlight w:val="none"/>
          <w:lang w:eastAsia="zh-CN"/>
        </w:rPr>
        <w:t>采购人</w:t>
      </w:r>
      <w:r>
        <w:rPr>
          <w:rFonts w:hint="eastAsia" w:ascii="宋体" w:hAnsi="宋体" w:cs="宋体"/>
          <w:szCs w:val="21"/>
          <w:highlight w:val="none"/>
        </w:rPr>
        <w:t>收到费用后应向投标人开具票据凭证。逾期缴纳，每逾期一天，投标人须按应交纳费用总额的0.5％，向</w:t>
      </w:r>
      <w:r>
        <w:rPr>
          <w:rFonts w:hint="eastAsia" w:ascii="宋体" w:hAnsi="宋体" w:cs="宋体"/>
          <w:szCs w:val="21"/>
          <w:highlight w:val="none"/>
          <w:lang w:eastAsia="zh-CN"/>
        </w:rPr>
        <w:t>采购人</w:t>
      </w:r>
      <w:r>
        <w:rPr>
          <w:rFonts w:hint="eastAsia" w:ascii="宋体" w:hAnsi="宋体" w:cs="宋体"/>
          <w:szCs w:val="21"/>
          <w:highlight w:val="none"/>
        </w:rPr>
        <w:t>交纳滞纳金。</w:t>
      </w:r>
    </w:p>
    <w:p w14:paraId="7D303B9A">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投标人承担食堂经营范围内的安全管理工作，包含但不限于定期（具体清洗次数应按相关政策法规执行）清洗油烟管道工作；清洗油烟管道</w:t>
      </w:r>
      <w:r>
        <w:rPr>
          <w:rFonts w:hint="eastAsia" w:ascii="宋体" w:hAnsi="宋体" w:cs="宋体"/>
          <w:szCs w:val="21"/>
          <w:highlight w:val="none"/>
          <w:lang w:eastAsia="zh-CN"/>
        </w:rPr>
        <w:t>等维修</w:t>
      </w:r>
      <w:r>
        <w:rPr>
          <w:rFonts w:hint="eastAsia" w:ascii="宋体" w:hAnsi="宋体" w:cs="宋体"/>
          <w:szCs w:val="21"/>
          <w:highlight w:val="none"/>
        </w:rPr>
        <w:t>须由具备专业资质的服务公司进行，并向</w:t>
      </w:r>
      <w:r>
        <w:rPr>
          <w:rFonts w:hint="eastAsia" w:ascii="宋体" w:hAnsi="宋体" w:cs="宋体"/>
          <w:szCs w:val="21"/>
          <w:highlight w:val="none"/>
          <w:lang w:eastAsia="zh-CN"/>
        </w:rPr>
        <w:t>采购人</w:t>
      </w:r>
      <w:r>
        <w:rPr>
          <w:rFonts w:hint="eastAsia" w:ascii="宋体" w:hAnsi="宋体" w:cs="宋体"/>
          <w:szCs w:val="21"/>
          <w:highlight w:val="none"/>
        </w:rPr>
        <w:t>提供服务合同等资料备案</w:t>
      </w:r>
      <w:r>
        <w:rPr>
          <w:rFonts w:hint="eastAsia" w:ascii="宋体" w:hAnsi="宋体" w:cs="宋体"/>
          <w:szCs w:val="21"/>
          <w:highlight w:val="none"/>
          <w:lang w:eastAsia="zh-CN"/>
        </w:rPr>
        <w:t>，</w:t>
      </w:r>
      <w:r>
        <w:rPr>
          <w:rFonts w:hint="eastAsia" w:ascii="宋体" w:hAnsi="宋体" w:cs="宋体"/>
          <w:szCs w:val="21"/>
          <w:highlight w:val="none"/>
          <w:lang w:val="en-US" w:eastAsia="zh-CN"/>
        </w:rPr>
        <w:t>费用由投标负责</w:t>
      </w:r>
      <w:r>
        <w:rPr>
          <w:rFonts w:hint="eastAsia" w:ascii="宋体" w:hAnsi="宋体" w:cs="宋体"/>
          <w:szCs w:val="21"/>
          <w:highlight w:val="none"/>
        </w:rPr>
        <w:t>。</w:t>
      </w:r>
    </w:p>
    <w:p w14:paraId="6590D72D">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根据三甲</w:t>
      </w:r>
      <w:r>
        <w:rPr>
          <w:rFonts w:hint="eastAsia" w:ascii="宋体" w:hAnsi="宋体" w:cs="宋体"/>
          <w:szCs w:val="21"/>
          <w:highlight w:val="none"/>
          <w:lang w:eastAsia="zh-CN"/>
        </w:rPr>
        <w:t>采购人</w:t>
      </w:r>
      <w:r>
        <w:rPr>
          <w:rFonts w:hint="eastAsia" w:ascii="宋体" w:hAnsi="宋体" w:cs="宋体"/>
          <w:szCs w:val="21"/>
          <w:highlight w:val="none"/>
          <w:lang w:val="en-US" w:eastAsia="zh-CN"/>
        </w:rPr>
        <w:t>复</w:t>
      </w:r>
      <w:r>
        <w:rPr>
          <w:rFonts w:hint="eastAsia" w:ascii="宋体" w:hAnsi="宋体" w:cs="宋体"/>
          <w:szCs w:val="21"/>
          <w:highlight w:val="none"/>
        </w:rPr>
        <w:t>审的要求，制定食品安全管理制度，员工岗位职责，供应商生产、运输及机构内分送场所的设施与卫生条件符合国家食品卫生法规要求，有食品原料采购、仓储、加工的卫生管理相关制度和规范，有食品留样相关制度，根据相关法律法规制订的突发食品安全事件应急预案，有根据预案开展的应急演练，有</w:t>
      </w:r>
      <w:r>
        <w:rPr>
          <w:rFonts w:hint="eastAsia" w:ascii="宋体" w:hAnsi="宋体" w:cs="宋体"/>
          <w:szCs w:val="21"/>
          <w:highlight w:val="none"/>
          <w:lang w:eastAsia="zh-CN"/>
        </w:rPr>
        <w:t>脚本、照片、</w:t>
      </w:r>
      <w:r>
        <w:rPr>
          <w:rFonts w:hint="eastAsia" w:ascii="宋体" w:hAnsi="宋体" w:cs="宋体"/>
          <w:szCs w:val="21"/>
          <w:highlight w:val="none"/>
        </w:rPr>
        <w:t>记录、总结和改进措施（每年最少两次），符合卫生管理要求。</w:t>
      </w:r>
      <w:r>
        <w:rPr>
          <w:rFonts w:hint="eastAsia" w:ascii="宋体" w:hAnsi="宋体" w:cs="宋体"/>
          <w:szCs w:val="21"/>
          <w:highlight w:val="none"/>
          <w:lang w:eastAsia="zh-CN"/>
        </w:rPr>
        <w:t>建立完善的台账资料。</w:t>
      </w:r>
    </w:p>
    <w:p w14:paraId="1BCA0B3F">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highlight w:val="none"/>
        </w:rPr>
      </w:pPr>
      <w:r>
        <w:rPr>
          <w:rFonts w:hint="eastAsia" w:ascii="微软雅黑" w:hAnsi="微软雅黑" w:eastAsia="微软雅黑" w:cs="微软雅黑"/>
          <w:szCs w:val="21"/>
          <w:highlight w:val="none"/>
        </w:rPr>
        <w:t>▲</w:t>
      </w:r>
      <w:r>
        <w:rPr>
          <w:rFonts w:hint="eastAsia" w:ascii="宋体" w:hAnsi="宋体" w:eastAsia="宋体" w:cs="宋体"/>
          <w:kern w:val="2"/>
          <w:sz w:val="24"/>
          <w:szCs w:val="21"/>
          <w:highlight w:val="none"/>
          <w:lang w:val="en-US" w:eastAsia="zh-CN" w:bidi="ar-SA"/>
        </w:rPr>
        <w:t>本项目服务期满后，承诺配合后续职工食堂的交接，交接期间不影响采购人正常的餐饮供应，投标人投标时需提供明确承诺函并加盖公章。</w:t>
      </w:r>
      <w:r>
        <w:rPr>
          <w:rFonts w:hint="eastAsia" w:ascii="宋体" w:hAnsi="宋体" w:eastAsia="宋体" w:cs="宋体"/>
          <w:b/>
          <w:bCs/>
          <w:szCs w:val="21"/>
          <w:highlight w:val="none"/>
          <w:lang w:eastAsia="zh-CN"/>
        </w:rPr>
        <w:t xml:space="preserve"> </w:t>
      </w:r>
    </w:p>
    <w:p w14:paraId="451B93E6">
      <w:pPr>
        <w:pStyle w:val="2"/>
        <w:rPr>
          <w:rFonts w:hint="eastAsia"/>
          <w:highlight w:val="none"/>
        </w:rPr>
      </w:pPr>
    </w:p>
    <w:p w14:paraId="38BD818A">
      <w:pPr>
        <w:pStyle w:val="2"/>
        <w:numPr>
          <w:ilvl w:val="0"/>
          <w:numId w:val="6"/>
        </w:numPr>
        <w:ind w:left="0" w:leftChars="0" w:firstLine="562" w:firstLineChars="200"/>
        <w:rPr>
          <w:rFonts w:hint="eastAsia"/>
          <w:b/>
          <w:bCs/>
          <w:sz w:val="28"/>
          <w:szCs w:val="21"/>
          <w:highlight w:val="none"/>
          <w:lang w:val="en-US" w:eastAsia="zh-CN"/>
        </w:rPr>
      </w:pPr>
      <w:r>
        <w:rPr>
          <w:rFonts w:hint="eastAsia"/>
          <w:b/>
          <w:bCs/>
          <w:sz w:val="28"/>
          <w:szCs w:val="21"/>
          <w:highlight w:val="none"/>
          <w:lang w:val="en-US" w:eastAsia="zh-CN"/>
        </w:rPr>
        <w:t>点餐配送要求</w:t>
      </w:r>
    </w:p>
    <w:p w14:paraId="2C7EABB3">
      <w:pPr>
        <w:keepNext w:val="0"/>
        <w:keepLines w:val="0"/>
        <w:pageBreakBefore w:val="0"/>
        <w:numPr>
          <w:ilvl w:val="0"/>
          <w:numId w:val="10"/>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根据</w:t>
      </w:r>
      <w:r>
        <w:rPr>
          <w:rFonts w:hint="eastAsia" w:ascii="宋体" w:hAnsi="宋体" w:cs="宋体"/>
          <w:szCs w:val="21"/>
          <w:highlight w:val="none"/>
          <w:lang w:eastAsia="zh-CN"/>
        </w:rPr>
        <w:t>采购人</w:t>
      </w:r>
      <w:r>
        <w:rPr>
          <w:rFonts w:hint="eastAsia" w:ascii="宋体" w:hAnsi="宋体" w:cs="宋体"/>
          <w:szCs w:val="21"/>
          <w:highlight w:val="none"/>
        </w:rPr>
        <w:t>要求应用智慧食堂系统，实现在线点餐支付，免费提供配送服务。</w:t>
      </w:r>
      <w:r>
        <w:rPr>
          <w:rFonts w:hint="eastAsia" w:ascii="宋体" w:hAnsi="宋体" w:cs="宋体"/>
          <w:szCs w:val="21"/>
          <w:highlight w:val="none"/>
          <w:lang w:val="en-US" w:eastAsia="zh-CN"/>
        </w:rPr>
        <w:t>职工和患者可按每日、每周计划点餐并支付。</w:t>
      </w:r>
    </w:p>
    <w:p w14:paraId="4BE9FC4F">
      <w:pPr>
        <w:keepNext w:val="0"/>
        <w:keepLines w:val="0"/>
        <w:pageBreakBefore w:val="0"/>
        <w:numPr>
          <w:ilvl w:val="0"/>
          <w:numId w:val="10"/>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根据</w:t>
      </w:r>
      <w:r>
        <w:rPr>
          <w:rFonts w:hint="eastAsia" w:ascii="宋体" w:hAnsi="宋体" w:cs="宋体"/>
          <w:szCs w:val="21"/>
          <w:highlight w:val="none"/>
          <w:lang w:eastAsia="zh-CN"/>
        </w:rPr>
        <w:t>采购人</w:t>
      </w:r>
      <w:r>
        <w:rPr>
          <w:rFonts w:hint="eastAsia" w:ascii="宋体" w:hAnsi="宋体" w:cs="宋体"/>
          <w:szCs w:val="21"/>
          <w:highlight w:val="none"/>
        </w:rPr>
        <w:t>要求定时配送至</w:t>
      </w:r>
      <w:r>
        <w:rPr>
          <w:rFonts w:hint="eastAsia" w:ascii="宋体" w:hAnsi="宋体" w:cs="宋体"/>
          <w:szCs w:val="21"/>
          <w:highlight w:val="none"/>
          <w:lang w:eastAsia="zh-CN"/>
        </w:rPr>
        <w:t>采购人</w:t>
      </w:r>
      <w:r>
        <w:rPr>
          <w:rFonts w:hint="eastAsia" w:ascii="宋体" w:hAnsi="宋体" w:cs="宋体"/>
          <w:szCs w:val="21"/>
          <w:highlight w:val="none"/>
        </w:rPr>
        <w:t>各区域</w:t>
      </w:r>
      <w:r>
        <w:rPr>
          <w:rFonts w:hint="eastAsia" w:ascii="宋体" w:hAnsi="宋体" w:cs="宋体"/>
          <w:szCs w:val="21"/>
          <w:highlight w:val="none"/>
          <w:lang w:eastAsia="zh-CN"/>
        </w:rPr>
        <w:t>，</w:t>
      </w:r>
      <w:r>
        <w:rPr>
          <w:rFonts w:hint="eastAsia" w:ascii="宋体" w:hAnsi="宋体" w:cs="宋体"/>
          <w:szCs w:val="21"/>
          <w:highlight w:val="none"/>
          <w:lang w:val="en-US" w:eastAsia="zh-CN"/>
        </w:rPr>
        <w:t>并配</w:t>
      </w:r>
      <w:r>
        <w:rPr>
          <w:rFonts w:hint="eastAsia" w:ascii="宋体" w:hAnsi="宋体" w:cs="宋体"/>
          <w:szCs w:val="21"/>
          <w:highlight w:val="none"/>
        </w:rPr>
        <w:t>置自取保温配餐柜</w:t>
      </w:r>
      <w:r>
        <w:rPr>
          <w:rFonts w:hint="eastAsia" w:ascii="宋体" w:hAnsi="宋体" w:cs="宋体"/>
          <w:szCs w:val="21"/>
          <w:highlight w:val="none"/>
          <w:lang w:val="en-US" w:eastAsia="zh-CN"/>
        </w:rPr>
        <w:t>/箱</w:t>
      </w:r>
      <w:r>
        <w:rPr>
          <w:rFonts w:hint="eastAsia" w:ascii="宋体" w:hAnsi="宋体" w:cs="宋体"/>
          <w:szCs w:val="21"/>
          <w:highlight w:val="none"/>
        </w:rPr>
        <w:t>，供在线点餐人员就近取餐。</w:t>
      </w:r>
    </w:p>
    <w:p w14:paraId="745C605F">
      <w:pPr>
        <w:keepNext w:val="0"/>
        <w:keepLines w:val="0"/>
        <w:pageBreakBefore w:val="0"/>
        <w:numPr>
          <w:ilvl w:val="0"/>
          <w:numId w:val="10"/>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投标人根据</w:t>
      </w:r>
      <w:r>
        <w:rPr>
          <w:rFonts w:hint="eastAsia" w:ascii="宋体" w:hAnsi="宋体" w:cs="宋体"/>
          <w:szCs w:val="21"/>
          <w:highlight w:val="none"/>
          <w:lang w:eastAsia="zh-CN"/>
        </w:rPr>
        <w:t>采购人</w:t>
      </w:r>
      <w:r>
        <w:rPr>
          <w:rFonts w:hint="eastAsia" w:ascii="宋体" w:hAnsi="宋体" w:cs="宋体"/>
          <w:szCs w:val="21"/>
          <w:highlight w:val="none"/>
        </w:rPr>
        <w:t>各科工作特点和病人服务需求，按要求的时间、地点、路线、保温措施提供点餐配送服务（含营养餐）。</w:t>
      </w:r>
    </w:p>
    <w:p w14:paraId="53C79CDD">
      <w:pPr>
        <w:keepNext w:val="0"/>
        <w:keepLines w:val="0"/>
        <w:pageBreakBefore w:val="0"/>
        <w:numPr>
          <w:ilvl w:val="0"/>
          <w:numId w:val="10"/>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投标人根据我院</w:t>
      </w:r>
      <w:r>
        <w:rPr>
          <w:rFonts w:hint="eastAsia" w:ascii="宋体" w:hAnsi="宋体" w:cs="宋体"/>
          <w:szCs w:val="21"/>
          <w:highlight w:val="none"/>
          <w:lang w:val="en-US" w:eastAsia="zh-CN"/>
        </w:rPr>
        <w:t>32</w:t>
      </w:r>
      <w:r>
        <w:rPr>
          <w:rFonts w:hint="eastAsia" w:ascii="宋体" w:hAnsi="宋体" w:cs="宋体"/>
          <w:szCs w:val="21"/>
          <w:highlight w:val="none"/>
        </w:rPr>
        <w:t>家社康的要求，按要求的时间、地点、路线、保温措施提供点餐配送服务</w:t>
      </w:r>
      <w:r>
        <w:rPr>
          <w:rFonts w:hint="eastAsia" w:ascii="宋体" w:hAnsi="宋体" w:cs="宋体"/>
          <w:szCs w:val="21"/>
          <w:highlight w:val="none"/>
          <w:lang w:eastAsia="zh-CN"/>
        </w:rPr>
        <w:t>（配送费用由点餐人员自付）（</w:t>
      </w:r>
      <w:r>
        <w:rPr>
          <w:rFonts w:hint="eastAsia" w:ascii="宋体" w:hAnsi="宋体" w:cs="宋体"/>
          <w:szCs w:val="21"/>
          <w:highlight w:val="none"/>
          <w:lang w:val="en-US" w:eastAsia="zh-CN"/>
        </w:rPr>
        <w:t>各社康配送点见附件1，因各社康点分散，后期由投标人与社康周边餐饮服务供应商合作配餐，投标人自主提供执行方案供采购人参考</w:t>
      </w:r>
      <w:r>
        <w:rPr>
          <w:rFonts w:hint="eastAsia" w:ascii="宋体" w:hAnsi="宋体" w:cs="宋体"/>
          <w:szCs w:val="21"/>
          <w:highlight w:val="none"/>
          <w:lang w:eastAsia="zh-CN"/>
        </w:rPr>
        <w:t>）。</w:t>
      </w:r>
    </w:p>
    <w:p w14:paraId="002F4DD3">
      <w:pPr>
        <w:pStyle w:val="8"/>
        <w:keepNext w:val="0"/>
        <w:keepLines w:val="0"/>
        <w:pageBreakBefore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szCs w:val="21"/>
          <w:highlight w:val="none"/>
        </w:rPr>
      </w:pPr>
    </w:p>
    <w:p w14:paraId="17AB5A30">
      <w:pPr>
        <w:pStyle w:val="2"/>
        <w:numPr>
          <w:ilvl w:val="0"/>
          <w:numId w:val="6"/>
        </w:numPr>
        <w:ind w:left="0" w:leftChars="0" w:firstLine="562" w:firstLineChars="200"/>
        <w:rPr>
          <w:rFonts w:hint="eastAsia"/>
          <w:b/>
          <w:bCs/>
          <w:sz w:val="28"/>
          <w:szCs w:val="21"/>
          <w:highlight w:val="none"/>
          <w:lang w:val="en-US" w:eastAsia="zh-CN"/>
        </w:rPr>
      </w:pPr>
      <w:r>
        <w:rPr>
          <w:rFonts w:hint="eastAsia"/>
          <w:b/>
          <w:bCs/>
          <w:sz w:val="28"/>
          <w:szCs w:val="21"/>
          <w:highlight w:val="none"/>
          <w:lang w:val="en-US" w:eastAsia="zh-CN"/>
        </w:rPr>
        <w:t>食品质量安全保障</w:t>
      </w:r>
    </w:p>
    <w:p w14:paraId="1FA19D80">
      <w:pPr>
        <w:keepNext w:val="0"/>
        <w:keepLines w:val="0"/>
        <w:pageBreakBefore w:val="0"/>
        <w:numPr>
          <w:ilvl w:val="0"/>
          <w:numId w:val="11"/>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投标人承担食品安全和经营安全责任，严格按照《中华人民共和国食品卫生法》、《餐饮业食品卫生管理办法》、《餐饮业和集体用餐配送单位卫生规范》等相关法律法规，及市场监督管理局等相关部门推荐的食品安全管理、餐饮服务场所设施配置等管理要求，以及</w:t>
      </w:r>
      <w:r>
        <w:rPr>
          <w:rFonts w:hint="eastAsia" w:ascii="宋体" w:hAnsi="宋体" w:cs="宋体"/>
          <w:szCs w:val="21"/>
          <w:highlight w:val="none"/>
          <w:lang w:eastAsia="zh-CN"/>
        </w:rPr>
        <w:t>采购人</w:t>
      </w:r>
      <w:r>
        <w:rPr>
          <w:rFonts w:hint="eastAsia" w:ascii="宋体" w:hAnsi="宋体" w:cs="宋体"/>
          <w:szCs w:val="21"/>
          <w:highlight w:val="none"/>
        </w:rPr>
        <w:t>的相关管理规定，加强食品安全卫生管理，规范</w:t>
      </w:r>
      <w:r>
        <w:rPr>
          <w:rFonts w:hint="eastAsia" w:ascii="宋体" w:hAnsi="宋体" w:cs="宋体"/>
          <w:szCs w:val="21"/>
          <w:highlight w:val="none"/>
          <w:lang w:eastAsia="zh-CN"/>
        </w:rPr>
        <w:t>采购人</w:t>
      </w:r>
      <w:r>
        <w:rPr>
          <w:rFonts w:hint="eastAsia" w:ascii="宋体" w:hAnsi="宋体" w:cs="宋体"/>
          <w:szCs w:val="21"/>
          <w:highlight w:val="none"/>
        </w:rPr>
        <w:t>饭堂经营行为，保障就餐人员的就餐安全。食品安全实行一票否决，凡因违反《中华人民共和国食品安全法》的行为和事件，</w:t>
      </w:r>
      <w:r>
        <w:rPr>
          <w:rFonts w:hint="eastAsia" w:ascii="宋体" w:hAnsi="宋体" w:cs="宋体"/>
          <w:szCs w:val="21"/>
          <w:highlight w:val="none"/>
          <w:lang w:val="en-US" w:eastAsia="zh-CN"/>
        </w:rPr>
        <w:t>采购人</w:t>
      </w:r>
      <w:r>
        <w:rPr>
          <w:rFonts w:hint="eastAsia" w:ascii="宋体" w:hAnsi="宋体" w:cs="宋体"/>
          <w:szCs w:val="21"/>
          <w:highlight w:val="none"/>
        </w:rPr>
        <w:t>有权单方面中止合同。</w:t>
      </w:r>
    </w:p>
    <w:p w14:paraId="6DC22C64">
      <w:pPr>
        <w:keepNext w:val="0"/>
        <w:keepLines w:val="0"/>
        <w:pageBreakBefore w:val="0"/>
        <w:numPr>
          <w:ilvl w:val="0"/>
          <w:numId w:val="11"/>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投标人负责对食堂原材料采购工作、验收工作。提供原材料合格检验证书及其他相关检测记录、检验证明</w:t>
      </w:r>
      <w:r>
        <w:rPr>
          <w:rFonts w:hint="eastAsia" w:ascii="宋体" w:hAnsi="宋体" w:cs="宋体"/>
          <w:szCs w:val="21"/>
          <w:highlight w:val="none"/>
          <w:lang w:eastAsia="zh-CN"/>
        </w:rPr>
        <w:t>。</w:t>
      </w:r>
    </w:p>
    <w:p w14:paraId="5DA937C3">
      <w:pPr>
        <w:keepNext w:val="0"/>
        <w:keepLines w:val="0"/>
        <w:pageBreakBefore w:val="0"/>
        <w:numPr>
          <w:ilvl w:val="0"/>
          <w:numId w:val="11"/>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投标人所选用的食材供应商必须符合国家规定的相关资质要求，投标人须提供其资质资料给</w:t>
      </w:r>
      <w:r>
        <w:rPr>
          <w:rFonts w:hint="eastAsia" w:ascii="宋体" w:hAnsi="宋体" w:cs="宋体"/>
          <w:szCs w:val="21"/>
          <w:highlight w:val="none"/>
          <w:lang w:eastAsia="zh-CN"/>
        </w:rPr>
        <w:t>采购人</w:t>
      </w:r>
      <w:r>
        <w:rPr>
          <w:rFonts w:hint="eastAsia" w:ascii="宋体" w:hAnsi="宋体" w:cs="宋体"/>
          <w:szCs w:val="21"/>
          <w:highlight w:val="none"/>
        </w:rPr>
        <w:t>备案。对服务、供货质量等不能达到招标人要求的供应商，招标人有权提出更换，投标人必须配合执行</w:t>
      </w:r>
      <w:r>
        <w:rPr>
          <w:rFonts w:hint="eastAsia" w:ascii="宋体" w:hAnsi="宋体" w:cs="宋体"/>
          <w:szCs w:val="21"/>
          <w:highlight w:val="none"/>
          <w:lang w:eastAsia="zh-CN"/>
        </w:rPr>
        <w:t>。</w:t>
      </w:r>
    </w:p>
    <w:p w14:paraId="58D80EA7">
      <w:pPr>
        <w:keepNext w:val="0"/>
        <w:keepLines w:val="0"/>
        <w:pageBreakBefore w:val="0"/>
        <w:numPr>
          <w:ilvl w:val="0"/>
          <w:numId w:val="11"/>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从食品原材料入手，建立食品安全追溯体系。所有肉类、蔬菜类、粮油类等由具备供应资格、信誉良好的供应商提供可追溯食品，不能采用散装原料，实行集中统一采购或分大类集中采购，采用无公害食品。</w:t>
      </w:r>
    </w:p>
    <w:p w14:paraId="2605B199">
      <w:pPr>
        <w:keepNext w:val="0"/>
        <w:keepLines w:val="0"/>
        <w:pageBreakBefore w:val="0"/>
        <w:numPr>
          <w:ilvl w:val="0"/>
          <w:numId w:val="11"/>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所有食品必须在大型批发市场或商场采购，或者直接从生产厂家代理商采购，每批次</w:t>
      </w:r>
      <w:r>
        <w:rPr>
          <w:rFonts w:hint="eastAsia" w:ascii="宋体" w:hAnsi="宋体" w:cs="宋体"/>
          <w:szCs w:val="21"/>
          <w:highlight w:val="none"/>
          <w:lang w:val="en-US" w:eastAsia="zh-CN"/>
        </w:rPr>
        <w:t>均有</w:t>
      </w:r>
      <w:r>
        <w:rPr>
          <w:rFonts w:hint="eastAsia" w:ascii="宋体" w:hAnsi="宋体" w:cs="宋体"/>
          <w:szCs w:val="21"/>
          <w:highlight w:val="none"/>
        </w:rPr>
        <w:t>厂家相关检验合格报告，做到各项供应票据清晰，可追根溯源，</w:t>
      </w:r>
      <w:r>
        <w:rPr>
          <w:rFonts w:hint="eastAsia" w:ascii="宋体" w:hAnsi="宋体" w:cs="宋体"/>
          <w:szCs w:val="21"/>
          <w:highlight w:val="none"/>
          <w:lang w:eastAsia="zh-CN"/>
        </w:rPr>
        <w:t>采购人</w:t>
      </w:r>
      <w:r>
        <w:rPr>
          <w:rFonts w:hint="eastAsia" w:ascii="宋体" w:hAnsi="宋体" w:cs="宋体"/>
          <w:szCs w:val="21"/>
          <w:highlight w:val="none"/>
        </w:rPr>
        <w:t>管理部门可随时查验。</w:t>
      </w:r>
    </w:p>
    <w:p w14:paraId="04D3600F">
      <w:pPr>
        <w:keepNext w:val="0"/>
        <w:keepLines w:val="0"/>
        <w:pageBreakBefore w:val="0"/>
        <w:numPr>
          <w:ilvl w:val="0"/>
          <w:numId w:val="11"/>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Cs w:val="21"/>
          <w:highlight w:val="none"/>
        </w:rPr>
      </w:pPr>
      <w:r>
        <w:rPr>
          <w:rFonts w:hint="eastAsia" w:ascii="微软雅黑" w:hAnsi="微软雅黑" w:eastAsia="微软雅黑" w:cs="微软雅黑"/>
          <w:szCs w:val="21"/>
          <w:highlight w:val="none"/>
        </w:rPr>
        <w:t>▲</w:t>
      </w:r>
      <w:r>
        <w:rPr>
          <w:rFonts w:hint="eastAsia" w:ascii="宋体" w:hAnsi="宋体" w:cs="宋体"/>
          <w:szCs w:val="21"/>
          <w:highlight w:val="none"/>
        </w:rPr>
        <w:t>所有的食品、副食品及配料等必须由正常渠道购进，确保食材安全、无农药超标（配检测仪器）、无添加、确保非转基因，投标人在采购粮油、肉蛋类、禽类、鱼类、蔬菜类、副食品类、调味类、食品添加剂等原料和物品必须符合《中华人民共和国食品安全法》、《中华人民共和国动物检疫法》等相关规定，符合卫生标准和营养要求（</w:t>
      </w:r>
      <w:r>
        <w:rPr>
          <w:rFonts w:hint="eastAsia" w:ascii="宋体" w:hAnsi="宋体" w:cs="宋体"/>
          <w:color w:val="FF0000"/>
          <w:szCs w:val="21"/>
          <w:highlight w:val="none"/>
        </w:rPr>
        <w:t>投标人须出具承诺函，格式自拟</w:t>
      </w:r>
      <w:r>
        <w:rPr>
          <w:rFonts w:hint="eastAsia" w:ascii="宋体" w:hAnsi="宋体" w:cs="宋体"/>
          <w:szCs w:val="21"/>
          <w:highlight w:val="none"/>
        </w:rPr>
        <w:t>）。每月结算时，投标人必须提供当月的食材发票，且食材发票必须是投标书中食材供应企业的发票，税务部门直接开具的发票不予认可。同时，</w:t>
      </w:r>
      <w:r>
        <w:rPr>
          <w:rFonts w:hint="eastAsia" w:ascii="宋体" w:hAnsi="宋体" w:cs="宋体"/>
          <w:szCs w:val="21"/>
          <w:highlight w:val="none"/>
          <w:lang w:eastAsia="zh-CN"/>
        </w:rPr>
        <w:t>采购人</w:t>
      </w:r>
      <w:r>
        <w:rPr>
          <w:rFonts w:hint="eastAsia" w:ascii="宋体" w:hAnsi="宋体" w:cs="宋体"/>
          <w:szCs w:val="21"/>
          <w:highlight w:val="none"/>
        </w:rPr>
        <w:t>有权不定期现场考察投标人签约食材供应企业。</w:t>
      </w:r>
    </w:p>
    <w:p w14:paraId="59B2EAC8">
      <w:pPr>
        <w:keepNext w:val="0"/>
        <w:keepLines w:val="0"/>
        <w:pageBreakBefore w:val="0"/>
        <w:numPr>
          <w:ilvl w:val="0"/>
          <w:numId w:val="11"/>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highlight w:val="none"/>
        </w:rPr>
      </w:pPr>
      <w:r>
        <w:rPr>
          <w:rFonts w:hint="eastAsia" w:ascii="微软雅黑" w:hAnsi="微软雅黑" w:eastAsia="微软雅黑" w:cs="微软雅黑"/>
          <w:szCs w:val="21"/>
          <w:highlight w:val="none"/>
        </w:rPr>
        <w:t>▲</w:t>
      </w:r>
      <w:r>
        <w:rPr>
          <w:rFonts w:hint="eastAsia" w:ascii="宋体" w:hAnsi="宋体" w:cs="宋体"/>
          <w:szCs w:val="21"/>
          <w:highlight w:val="none"/>
        </w:rPr>
        <w:t>设有专职采购员,每次采购，严格做好进货验收和索票索证工作，建立采购台账（必须专人规范填写）、索证验收台账、供应商资质证明台账等，索取供应商有效的资质、检验检测合格证明等文件，包括但不仅限于《营业执照》、《食品卫生许可证》、《产品质量检验报告》、《出厂检验报告》、《动物检疫合格证明》、《肉品品质检验合格证》、《送货清单》、《购货凭据》；罐头、调味品等食品，每批次的检验合格证或检验单；蔬菜等散装农副食品及鱼类等鲜活产品检验合格证明；一次性餐具检验合格证；清洁剂检验合格证明等。随时接受招标人及上级部门的检查（</w:t>
      </w:r>
      <w:r>
        <w:rPr>
          <w:rFonts w:hint="eastAsia" w:ascii="宋体" w:hAnsi="宋体" w:cs="宋体"/>
          <w:color w:val="FF0000"/>
          <w:szCs w:val="21"/>
          <w:highlight w:val="none"/>
        </w:rPr>
        <w:t>投标人须出具承诺函，格式自拟</w:t>
      </w:r>
      <w:r>
        <w:rPr>
          <w:rFonts w:hint="eastAsia" w:ascii="宋体" w:hAnsi="宋体" w:cs="宋体"/>
          <w:szCs w:val="21"/>
          <w:highlight w:val="none"/>
        </w:rPr>
        <w:t>）。</w:t>
      </w:r>
    </w:p>
    <w:p w14:paraId="766F705C">
      <w:pPr>
        <w:keepNext w:val="0"/>
        <w:keepLines w:val="0"/>
        <w:pageBreakBefore w:val="0"/>
        <w:numPr>
          <w:ilvl w:val="0"/>
          <w:numId w:val="11"/>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食材资质要求如下：</w:t>
      </w:r>
    </w:p>
    <w:tbl>
      <w:tblPr>
        <w:tblStyle w:val="13"/>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9"/>
        <w:gridCol w:w="7740"/>
      </w:tblGrid>
      <w:tr w14:paraId="7FF1D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779" w:type="dxa"/>
            <w:noWrap w:val="0"/>
            <w:vAlign w:val="center"/>
          </w:tcPr>
          <w:p w14:paraId="62D8D0E1">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品种</w:t>
            </w:r>
          </w:p>
        </w:tc>
        <w:tc>
          <w:tcPr>
            <w:tcW w:w="7740" w:type="dxa"/>
            <w:noWrap w:val="0"/>
            <w:vAlign w:val="center"/>
          </w:tcPr>
          <w:p w14:paraId="1906C3CC">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资质要求</w:t>
            </w:r>
          </w:p>
        </w:tc>
      </w:tr>
      <w:tr w14:paraId="772C9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779" w:type="dxa"/>
            <w:noWrap w:val="0"/>
            <w:vAlign w:val="center"/>
          </w:tcPr>
          <w:p w14:paraId="6E82B26F">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食用油</w:t>
            </w:r>
          </w:p>
        </w:tc>
        <w:tc>
          <w:tcPr>
            <w:tcW w:w="7740" w:type="dxa"/>
            <w:noWrap w:val="0"/>
            <w:vAlign w:val="center"/>
          </w:tcPr>
          <w:p w14:paraId="3AC81F5B">
            <w:pPr>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cs="宋体"/>
                <w:szCs w:val="21"/>
                <w:highlight w:val="none"/>
              </w:rPr>
            </w:pPr>
            <w:r>
              <w:rPr>
                <w:rFonts w:hint="eastAsia" w:ascii="宋体" w:hAnsi="宋体" w:cs="宋体"/>
                <w:szCs w:val="21"/>
                <w:highlight w:val="none"/>
              </w:rPr>
              <w:t>国际知名粮油企业、荣获“中国驰名商标”称号。（参考品牌：中粮、中储粮、胡姬花、鲁花等）</w:t>
            </w:r>
          </w:p>
        </w:tc>
      </w:tr>
      <w:tr w14:paraId="78F68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779" w:type="dxa"/>
            <w:noWrap w:val="0"/>
            <w:vAlign w:val="center"/>
          </w:tcPr>
          <w:p w14:paraId="60A9B011">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盐</w:t>
            </w:r>
          </w:p>
        </w:tc>
        <w:tc>
          <w:tcPr>
            <w:tcW w:w="7740" w:type="dxa"/>
            <w:noWrap w:val="0"/>
            <w:vAlign w:val="center"/>
          </w:tcPr>
          <w:p w14:paraId="2F0E663A">
            <w:pPr>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cs="宋体"/>
                <w:szCs w:val="21"/>
                <w:highlight w:val="none"/>
              </w:rPr>
            </w:pPr>
            <w:r>
              <w:rPr>
                <w:rFonts w:hint="eastAsia" w:ascii="宋体" w:hAnsi="宋体" w:cs="宋体"/>
                <w:szCs w:val="21"/>
                <w:highlight w:val="none"/>
              </w:rPr>
              <w:t>食盐必须是经技术监督部门认可的加碘盐，（参考品牌：粤盐，广东省专卖）</w:t>
            </w:r>
          </w:p>
        </w:tc>
      </w:tr>
      <w:tr w14:paraId="45494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779" w:type="dxa"/>
            <w:noWrap w:val="0"/>
            <w:vAlign w:val="center"/>
          </w:tcPr>
          <w:p w14:paraId="170E0F65">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米</w:t>
            </w:r>
          </w:p>
        </w:tc>
        <w:tc>
          <w:tcPr>
            <w:tcW w:w="7740" w:type="dxa"/>
            <w:noWrap w:val="0"/>
            <w:vAlign w:val="center"/>
          </w:tcPr>
          <w:p w14:paraId="3DCA7FBB">
            <w:pPr>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cs="宋体"/>
                <w:szCs w:val="21"/>
                <w:highlight w:val="none"/>
              </w:rPr>
            </w:pPr>
            <w:r>
              <w:rPr>
                <w:rFonts w:hint="eastAsia" w:ascii="宋体" w:hAnsi="宋体" w:cs="宋体"/>
                <w:szCs w:val="21"/>
                <w:highlight w:val="none"/>
              </w:rPr>
              <w:t>中国知名品牌（参考品牌：中粮、中储粮、益海嘉里等）。由良好大型粮油公司提供，无掺杂、无沙石、碎米少、无黄粒米；大米包装袋上须印有大米品名、等级、数量、出厂名、厂家地址及电话。</w:t>
            </w:r>
          </w:p>
        </w:tc>
      </w:tr>
      <w:tr w14:paraId="5B0D2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779" w:type="dxa"/>
            <w:noWrap w:val="0"/>
            <w:vAlign w:val="center"/>
          </w:tcPr>
          <w:p w14:paraId="22AA2210">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酱油调味料</w:t>
            </w:r>
          </w:p>
        </w:tc>
        <w:tc>
          <w:tcPr>
            <w:tcW w:w="7740" w:type="dxa"/>
            <w:noWrap w:val="0"/>
            <w:vAlign w:val="center"/>
          </w:tcPr>
          <w:p w14:paraId="58FEE1F0">
            <w:pPr>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cs="宋体"/>
                <w:szCs w:val="21"/>
                <w:highlight w:val="none"/>
              </w:rPr>
            </w:pPr>
            <w:r>
              <w:rPr>
                <w:rFonts w:hint="eastAsia" w:ascii="宋体" w:hAnsi="宋体" w:cs="宋体"/>
                <w:szCs w:val="21"/>
                <w:highlight w:val="none"/>
              </w:rPr>
              <w:t>中国知名品牌（参考相应等级品牌型号如下，需求方可根据实际情况进行调整：海天、李锦记、珠江桥牌，质量等级：一级）</w:t>
            </w:r>
          </w:p>
        </w:tc>
      </w:tr>
      <w:tr w14:paraId="68FBE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779" w:type="dxa"/>
            <w:noWrap w:val="0"/>
            <w:vAlign w:val="center"/>
          </w:tcPr>
          <w:p w14:paraId="018A379B">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豆制品、新鲜粉面</w:t>
            </w:r>
          </w:p>
        </w:tc>
        <w:tc>
          <w:tcPr>
            <w:tcW w:w="7740" w:type="dxa"/>
            <w:noWrap w:val="0"/>
            <w:vAlign w:val="center"/>
          </w:tcPr>
          <w:p w14:paraId="53348652">
            <w:pPr>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cs="宋体"/>
                <w:szCs w:val="21"/>
                <w:highlight w:val="none"/>
              </w:rPr>
            </w:pPr>
            <w:r>
              <w:rPr>
                <w:rFonts w:hint="eastAsia" w:ascii="宋体" w:hAnsi="宋体" w:cs="宋体"/>
                <w:szCs w:val="21"/>
                <w:highlight w:val="none"/>
              </w:rPr>
              <w:t>当地政府认可的优质企业，营业执照、检验合格证明：</w:t>
            </w:r>
          </w:p>
          <w:p w14:paraId="1E233DD1">
            <w:pPr>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cs="宋体"/>
                <w:szCs w:val="21"/>
                <w:highlight w:val="none"/>
              </w:rPr>
            </w:pPr>
            <w:r>
              <w:rPr>
                <w:rFonts w:hint="eastAsia" w:ascii="宋体" w:hAnsi="宋体" w:cs="宋体"/>
                <w:szCs w:val="21"/>
                <w:highlight w:val="none"/>
              </w:rPr>
              <w:t>由良好大型粮油公司提供</w:t>
            </w:r>
          </w:p>
        </w:tc>
      </w:tr>
      <w:tr w14:paraId="08A80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79" w:type="dxa"/>
            <w:noWrap w:val="0"/>
            <w:vAlign w:val="center"/>
          </w:tcPr>
          <w:p w14:paraId="228DE495">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鲜肉</w:t>
            </w:r>
          </w:p>
        </w:tc>
        <w:tc>
          <w:tcPr>
            <w:tcW w:w="7740" w:type="dxa"/>
            <w:noWrap w:val="0"/>
            <w:vAlign w:val="center"/>
          </w:tcPr>
          <w:p w14:paraId="2EB3F4C8">
            <w:pPr>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cs="宋体"/>
                <w:szCs w:val="21"/>
                <w:highlight w:val="none"/>
              </w:rPr>
            </w:pPr>
            <w:r>
              <w:rPr>
                <w:rFonts w:hint="eastAsia" w:ascii="宋体" w:hAnsi="宋体" w:cs="宋体"/>
                <w:szCs w:val="21"/>
                <w:highlight w:val="none"/>
              </w:rPr>
              <w:t>政府指定的肉联厂、当地规模最大、信誉好；营业执照、畜产品检验证明。必须在正规的肉食公司采购，不购私宰肉或来路不明的肉。</w:t>
            </w:r>
          </w:p>
        </w:tc>
      </w:tr>
      <w:tr w14:paraId="6A9F3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779" w:type="dxa"/>
            <w:noWrap w:val="0"/>
            <w:vAlign w:val="center"/>
          </w:tcPr>
          <w:p w14:paraId="36DFFFC3">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三鸟</w:t>
            </w:r>
          </w:p>
        </w:tc>
        <w:tc>
          <w:tcPr>
            <w:tcW w:w="7740" w:type="dxa"/>
            <w:noWrap w:val="0"/>
            <w:vAlign w:val="center"/>
          </w:tcPr>
          <w:p w14:paraId="49A7FC87">
            <w:pPr>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cs="宋体"/>
                <w:szCs w:val="21"/>
                <w:highlight w:val="none"/>
              </w:rPr>
            </w:pPr>
            <w:r>
              <w:rPr>
                <w:rFonts w:hint="eastAsia" w:ascii="宋体" w:hAnsi="宋体" w:cs="宋体"/>
                <w:szCs w:val="21"/>
                <w:highlight w:val="none"/>
              </w:rPr>
              <w:t>政府认可的专业企业、当地规模最大、设施齐全、信誉好、营业执照、畜产品检验证明</w:t>
            </w:r>
          </w:p>
        </w:tc>
      </w:tr>
      <w:tr w14:paraId="03E49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779" w:type="dxa"/>
            <w:noWrap w:val="0"/>
            <w:vAlign w:val="center"/>
          </w:tcPr>
          <w:p w14:paraId="7D23D87B">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蔬菜</w:t>
            </w:r>
          </w:p>
        </w:tc>
        <w:tc>
          <w:tcPr>
            <w:tcW w:w="7740" w:type="dxa"/>
            <w:noWrap w:val="0"/>
            <w:vAlign w:val="center"/>
          </w:tcPr>
          <w:p w14:paraId="6FB8E12D">
            <w:pPr>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cs="宋体"/>
                <w:szCs w:val="21"/>
                <w:highlight w:val="none"/>
              </w:rPr>
            </w:pPr>
            <w:r>
              <w:rPr>
                <w:rFonts w:hint="eastAsia" w:ascii="宋体" w:hAnsi="宋体" w:cs="宋体"/>
                <w:szCs w:val="21"/>
                <w:highlight w:val="none"/>
              </w:rPr>
              <w:t>大型农批市场批发或自有合作的种植基地</w:t>
            </w:r>
          </w:p>
        </w:tc>
      </w:tr>
      <w:tr w14:paraId="7A250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779" w:type="dxa"/>
            <w:noWrap w:val="0"/>
            <w:vAlign w:val="center"/>
          </w:tcPr>
          <w:p w14:paraId="01E57017">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奶制品</w:t>
            </w:r>
          </w:p>
        </w:tc>
        <w:tc>
          <w:tcPr>
            <w:tcW w:w="7740" w:type="dxa"/>
            <w:noWrap w:val="0"/>
            <w:vAlign w:val="center"/>
          </w:tcPr>
          <w:p w14:paraId="04EB8198">
            <w:pPr>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cs="宋体"/>
                <w:szCs w:val="21"/>
                <w:highlight w:val="none"/>
              </w:rPr>
            </w:pPr>
            <w:r>
              <w:rPr>
                <w:rFonts w:hint="eastAsia" w:ascii="宋体" w:hAnsi="宋体" w:cs="宋体"/>
                <w:szCs w:val="21"/>
                <w:highlight w:val="none"/>
              </w:rPr>
              <w:t>知名品牌（蒙牛、伊利、维记、天润等）</w:t>
            </w:r>
          </w:p>
        </w:tc>
      </w:tr>
    </w:tbl>
    <w:p w14:paraId="398E2982">
      <w:pPr>
        <w:rPr>
          <w:rFonts w:hint="eastAsia"/>
          <w:highlight w:val="none"/>
        </w:rPr>
      </w:pPr>
    </w:p>
    <w:p w14:paraId="15BDF9DD">
      <w:pPr>
        <w:pStyle w:val="2"/>
        <w:numPr>
          <w:ilvl w:val="0"/>
          <w:numId w:val="6"/>
        </w:numPr>
        <w:ind w:left="0" w:leftChars="0" w:firstLine="562" w:firstLineChars="200"/>
        <w:rPr>
          <w:rFonts w:hint="eastAsia"/>
          <w:b/>
          <w:bCs/>
          <w:sz w:val="28"/>
          <w:szCs w:val="21"/>
          <w:highlight w:val="none"/>
          <w:lang w:val="en-US" w:eastAsia="zh-CN"/>
        </w:rPr>
      </w:pPr>
      <w:r>
        <w:rPr>
          <w:rFonts w:hint="eastAsia"/>
          <w:b/>
          <w:bCs/>
          <w:sz w:val="28"/>
          <w:szCs w:val="21"/>
          <w:highlight w:val="none"/>
          <w:lang w:val="en-US" w:eastAsia="zh-CN"/>
        </w:rPr>
        <w:t>财务及价格管理要求</w:t>
      </w:r>
    </w:p>
    <w:p w14:paraId="354079AD">
      <w:pPr>
        <w:keepNext w:val="0"/>
        <w:keepLines w:val="0"/>
        <w:pageBreakBefore w:val="0"/>
        <w:numPr>
          <w:ilvl w:val="0"/>
          <w:numId w:val="12"/>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投标人所售卖餐食价格不得高于周边同类经营单位或市场经营单位所售卖餐食价格,价格合理，微利经营，同时接受我院监督和审批。菜品价格由投标人核算并报</w:t>
      </w:r>
      <w:r>
        <w:rPr>
          <w:rFonts w:hint="eastAsia" w:ascii="宋体" w:hAnsi="宋体" w:cs="宋体"/>
          <w:szCs w:val="21"/>
          <w:highlight w:val="none"/>
          <w:lang w:eastAsia="zh-CN"/>
        </w:rPr>
        <w:t>采购人</w:t>
      </w:r>
      <w:r>
        <w:rPr>
          <w:rFonts w:hint="eastAsia" w:ascii="宋体" w:hAnsi="宋体" w:cs="宋体"/>
          <w:szCs w:val="21"/>
          <w:highlight w:val="none"/>
          <w:lang w:val="en-US" w:eastAsia="zh-CN"/>
        </w:rPr>
        <w:t>管理科室或</w:t>
      </w:r>
      <w:r>
        <w:rPr>
          <w:rFonts w:hint="eastAsia" w:ascii="宋体" w:hAnsi="宋体" w:cs="宋体"/>
          <w:szCs w:val="21"/>
          <w:highlight w:val="none"/>
        </w:rPr>
        <w:t>饭堂管理小组批准，必须做到定价合理，菜价稳定，保障供应。</w:t>
      </w:r>
    </w:p>
    <w:p w14:paraId="14FF5BF4">
      <w:pPr>
        <w:keepNext w:val="0"/>
        <w:keepLines w:val="0"/>
        <w:pageBreakBefore w:val="0"/>
        <w:numPr>
          <w:ilvl w:val="0"/>
          <w:numId w:val="12"/>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饭菜单价及其调价均由投标人核算后向</w:t>
      </w:r>
      <w:r>
        <w:rPr>
          <w:rFonts w:hint="eastAsia" w:ascii="宋体" w:hAnsi="宋体" w:cs="宋体"/>
          <w:szCs w:val="21"/>
          <w:highlight w:val="none"/>
          <w:lang w:eastAsia="zh-CN"/>
        </w:rPr>
        <w:t>采购人</w:t>
      </w:r>
      <w:r>
        <w:rPr>
          <w:rFonts w:hint="eastAsia" w:ascii="宋体" w:hAnsi="宋体" w:cs="宋体"/>
          <w:szCs w:val="21"/>
          <w:highlight w:val="none"/>
          <w:lang w:val="en-US" w:eastAsia="zh-CN"/>
        </w:rPr>
        <w:t>管理科室或</w:t>
      </w:r>
      <w:r>
        <w:rPr>
          <w:rFonts w:hint="eastAsia" w:ascii="宋体" w:hAnsi="宋体" w:cs="宋体"/>
          <w:szCs w:val="21"/>
          <w:highlight w:val="none"/>
        </w:rPr>
        <w:t>饭堂管理小组申报审批，并按审批意见执行。医院的饭堂管理小组将</w:t>
      </w:r>
      <w:r>
        <w:rPr>
          <w:rFonts w:hint="eastAsia" w:ascii="宋体" w:hAnsi="宋体" w:cs="宋体"/>
          <w:szCs w:val="21"/>
          <w:highlight w:val="none"/>
          <w:lang w:val="en-US" w:eastAsia="zh-CN"/>
        </w:rPr>
        <w:t>不定期</w:t>
      </w:r>
      <w:r>
        <w:rPr>
          <w:rFonts w:hint="eastAsia" w:ascii="宋体" w:hAnsi="宋体" w:cs="宋体"/>
          <w:szCs w:val="21"/>
          <w:highlight w:val="none"/>
        </w:rPr>
        <w:t>对饭菜价格进行审核，职工饭菜的价格不得高于</w:t>
      </w:r>
      <w:r>
        <w:rPr>
          <w:rFonts w:hint="eastAsia" w:ascii="宋体" w:hAnsi="宋体" w:cs="宋体"/>
          <w:szCs w:val="21"/>
          <w:highlight w:val="none"/>
          <w:lang w:eastAsia="zh-CN"/>
        </w:rPr>
        <w:t>所报</w:t>
      </w:r>
      <w:r>
        <w:rPr>
          <w:rFonts w:hint="eastAsia" w:ascii="宋体" w:hAnsi="宋体" w:cs="宋体"/>
          <w:szCs w:val="21"/>
          <w:highlight w:val="none"/>
        </w:rPr>
        <w:t>价格</w:t>
      </w:r>
      <w:r>
        <w:rPr>
          <w:rFonts w:hint="eastAsia" w:ascii="宋体" w:hAnsi="宋体" w:cs="宋体"/>
          <w:color w:val="000000"/>
          <w:szCs w:val="21"/>
          <w:highlight w:val="none"/>
        </w:rPr>
        <w:t>。</w:t>
      </w:r>
    </w:p>
    <w:p w14:paraId="5FF79CEA">
      <w:pPr>
        <w:keepNext w:val="0"/>
        <w:keepLines w:val="0"/>
        <w:pageBreakBefore w:val="0"/>
        <w:numPr>
          <w:ilvl w:val="0"/>
          <w:numId w:val="12"/>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投标人自主负责与病人用餐</w:t>
      </w:r>
      <w:r>
        <w:rPr>
          <w:rFonts w:hint="eastAsia" w:ascii="宋体" w:hAnsi="宋体" w:cs="宋体"/>
          <w:szCs w:val="21"/>
          <w:highlight w:val="none"/>
          <w:lang w:val="en-US" w:eastAsia="zh-CN"/>
        </w:rPr>
        <w:t>费用</w:t>
      </w:r>
      <w:r>
        <w:rPr>
          <w:rFonts w:hint="eastAsia" w:ascii="宋体" w:hAnsi="宋体" w:cs="宋体"/>
          <w:szCs w:val="21"/>
          <w:highlight w:val="none"/>
        </w:rPr>
        <w:t>的结算。</w:t>
      </w:r>
    </w:p>
    <w:p w14:paraId="73E2AD09">
      <w:pPr>
        <w:pStyle w:val="2"/>
        <w:rPr>
          <w:rFonts w:hint="eastAsia"/>
          <w:highlight w:val="none"/>
          <w:lang w:eastAsia="zh-CN"/>
        </w:rPr>
      </w:pPr>
    </w:p>
    <w:p w14:paraId="2BCA4C9B">
      <w:pPr>
        <w:pStyle w:val="2"/>
        <w:numPr>
          <w:ilvl w:val="0"/>
          <w:numId w:val="6"/>
        </w:numPr>
        <w:ind w:left="0" w:leftChars="0" w:firstLine="562" w:firstLineChars="200"/>
        <w:rPr>
          <w:rFonts w:hint="eastAsia"/>
          <w:b/>
          <w:bCs/>
          <w:sz w:val="28"/>
          <w:szCs w:val="21"/>
          <w:highlight w:val="none"/>
          <w:lang w:val="en-US" w:eastAsia="zh-CN"/>
        </w:rPr>
      </w:pPr>
      <w:r>
        <w:rPr>
          <w:rFonts w:hint="eastAsia"/>
          <w:b/>
          <w:bCs/>
          <w:sz w:val="28"/>
          <w:szCs w:val="21"/>
          <w:highlight w:val="none"/>
          <w:lang w:val="en-US" w:eastAsia="zh-CN"/>
        </w:rPr>
        <w:t>食堂场地、设施设备使用要求</w:t>
      </w:r>
    </w:p>
    <w:p w14:paraId="376D0DB5">
      <w:pPr>
        <w:keepNext w:val="0"/>
        <w:keepLines w:val="0"/>
        <w:pageBreakBefore w:val="0"/>
        <w:numPr>
          <w:ilvl w:val="0"/>
          <w:numId w:val="13"/>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招标人负责提供生产工作场地和就餐场地。投标人可自行添置不必拆卸的设备、餐具、餐车等用品， 承租期满后可由投标人自行处理。投标人承租期满后不可拆卸已固定安装的物件，且招标人不承担任何经济补偿责任。</w:t>
      </w:r>
    </w:p>
    <w:p w14:paraId="02AD184D">
      <w:pPr>
        <w:keepNext w:val="0"/>
        <w:keepLines w:val="0"/>
        <w:pageBreakBefore w:val="0"/>
        <w:numPr>
          <w:ilvl w:val="0"/>
          <w:numId w:val="13"/>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采购人的厨房设施设备、餐桌、椅损坏、丢失，投标人应及时报告招标人，属于投标人责任的由投标人赔偿；属于达到使用年限、影响正常使用的，投标人应及时报告采购人，由采购人按流程进行报废。</w:t>
      </w:r>
    </w:p>
    <w:p w14:paraId="60834F32">
      <w:pPr>
        <w:keepNext w:val="0"/>
        <w:keepLines w:val="0"/>
        <w:pageBreakBefore w:val="0"/>
        <w:numPr>
          <w:ilvl w:val="0"/>
          <w:numId w:val="13"/>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投标人应爱护经营场所的相关设施设备，不得自行拆移各种设施、设备。合同期间如需调整，需向采购人提出书面的调整变更申请，经采购人批准后方可实施。如因投标人使用需要对该经营场所进行装修或者增加设备的，须征得采购人书面同意，若有损坏，必须按原样修复，费用由投标人负责。经营场所装修部分的日常维护工作由投标人负责。</w:t>
      </w:r>
    </w:p>
    <w:p w14:paraId="159DF618">
      <w:pPr>
        <w:keepNext w:val="0"/>
        <w:keepLines w:val="0"/>
        <w:pageBreakBefore w:val="0"/>
        <w:numPr>
          <w:ilvl w:val="0"/>
          <w:numId w:val="13"/>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未经采购人同意，投标人不得随意装修各功能用房和改变各功能用房用途，否则投标人必须恢复原状并赔偿招标人遭受的一切损失。投标人如需对场地进行经营性调整（包括隔间、室内外装修等），须经采购人同意并办理相关手续。</w:t>
      </w:r>
    </w:p>
    <w:p w14:paraId="60808DB8">
      <w:pPr>
        <w:keepNext w:val="0"/>
        <w:keepLines w:val="0"/>
        <w:pageBreakBefore w:val="0"/>
        <w:numPr>
          <w:ilvl w:val="0"/>
          <w:numId w:val="13"/>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合同期满或合同终止，投标人必须按时撤出该经营场所，并办理移交手续。投标人移交房屋设施设备时，若对房屋设施有损坏的，投标人应赔偿。合同期内投标人投入的镶嵌在经营场所房屋主体内的设施设备无偿归采购人所有。</w:t>
      </w:r>
    </w:p>
    <w:p w14:paraId="78B56B66">
      <w:pPr>
        <w:keepNext w:val="0"/>
        <w:keepLines w:val="0"/>
        <w:pageBreakBefore w:val="0"/>
        <w:numPr>
          <w:ilvl w:val="0"/>
          <w:numId w:val="13"/>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合同期满投标人应在采购人规定的时间内退出该经营场所。逾期不退出的，每逾期一天采购人按履约保证金的5％收取场地占用费，逾期5天以上（含5天）的全额扣除履约保证金，并有权采取强制措施收回该场所，有关责任和损失由投标人承担。</w:t>
      </w:r>
    </w:p>
    <w:p w14:paraId="28AD57EE">
      <w:pPr>
        <w:numPr>
          <w:ilvl w:val="-1"/>
          <w:numId w:val="0"/>
        </w:numPr>
        <w:ind w:leftChars="200" w:firstLine="0" w:firstLineChars="0"/>
        <w:rPr>
          <w:rFonts w:hint="eastAsia"/>
          <w:highlight w:val="none"/>
          <w:lang w:eastAsia="zh-CN"/>
        </w:rPr>
      </w:pPr>
    </w:p>
    <w:p w14:paraId="370F5091">
      <w:pPr>
        <w:pStyle w:val="2"/>
        <w:numPr>
          <w:ilvl w:val="0"/>
          <w:numId w:val="6"/>
        </w:numPr>
        <w:ind w:left="0" w:leftChars="0" w:firstLine="562" w:firstLineChars="200"/>
        <w:rPr>
          <w:rFonts w:hint="eastAsia"/>
          <w:highlight w:val="none"/>
          <w:lang w:eastAsia="zh-CN"/>
        </w:rPr>
      </w:pPr>
      <w:r>
        <w:rPr>
          <w:rFonts w:hint="eastAsia"/>
          <w:b/>
          <w:bCs/>
          <w:sz w:val="28"/>
          <w:szCs w:val="21"/>
          <w:highlight w:val="none"/>
          <w:lang w:val="en-US" w:eastAsia="zh-CN"/>
        </w:rPr>
        <w:t>菜品价格</w:t>
      </w:r>
    </w:p>
    <w:tbl>
      <w:tblPr>
        <w:tblStyle w:val="13"/>
        <w:tblW w:w="8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1240"/>
        <w:gridCol w:w="1647"/>
        <w:gridCol w:w="1960"/>
        <w:gridCol w:w="1256"/>
        <w:gridCol w:w="1718"/>
      </w:tblGrid>
      <w:tr w14:paraId="329AA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0A1BF75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bCs/>
                <w:kern w:val="0"/>
                <w:sz w:val="20"/>
                <w:szCs w:val="20"/>
                <w:highlight w:val="none"/>
              </w:rPr>
            </w:pPr>
            <w:r>
              <w:rPr>
                <w:rFonts w:hint="eastAsia" w:ascii="宋体" w:hAnsi="宋体" w:cs="宋体"/>
                <w:bCs/>
                <w:kern w:val="0"/>
                <w:sz w:val="20"/>
                <w:szCs w:val="20"/>
                <w:highlight w:val="none"/>
              </w:rPr>
              <w:t>序号</w:t>
            </w:r>
          </w:p>
        </w:tc>
        <w:tc>
          <w:tcPr>
            <w:tcW w:w="1240" w:type="dxa"/>
            <w:noWrap/>
            <w:vAlign w:val="center"/>
          </w:tcPr>
          <w:p w14:paraId="39666A8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bCs/>
                <w:kern w:val="0"/>
                <w:sz w:val="20"/>
                <w:szCs w:val="20"/>
                <w:highlight w:val="none"/>
              </w:rPr>
            </w:pPr>
            <w:r>
              <w:rPr>
                <w:rFonts w:hint="eastAsia" w:ascii="宋体" w:hAnsi="宋体" w:cs="宋体"/>
                <w:bCs/>
                <w:kern w:val="0"/>
                <w:sz w:val="20"/>
                <w:szCs w:val="20"/>
                <w:highlight w:val="none"/>
              </w:rPr>
              <w:t>餐别</w:t>
            </w:r>
          </w:p>
        </w:tc>
        <w:tc>
          <w:tcPr>
            <w:tcW w:w="1647" w:type="dxa"/>
            <w:noWrap/>
            <w:vAlign w:val="center"/>
          </w:tcPr>
          <w:p w14:paraId="4230DA8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bCs/>
                <w:kern w:val="0"/>
                <w:sz w:val="20"/>
                <w:szCs w:val="20"/>
                <w:highlight w:val="none"/>
              </w:rPr>
            </w:pPr>
            <w:r>
              <w:rPr>
                <w:rFonts w:hint="eastAsia" w:ascii="宋体" w:hAnsi="宋体" w:cs="宋体"/>
                <w:bCs/>
                <w:kern w:val="0"/>
                <w:sz w:val="20"/>
                <w:szCs w:val="20"/>
                <w:highlight w:val="none"/>
              </w:rPr>
              <w:t>产品类别</w:t>
            </w:r>
          </w:p>
        </w:tc>
        <w:tc>
          <w:tcPr>
            <w:tcW w:w="1960" w:type="dxa"/>
            <w:noWrap/>
            <w:vAlign w:val="center"/>
          </w:tcPr>
          <w:p w14:paraId="60DC315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bCs/>
                <w:kern w:val="0"/>
                <w:sz w:val="20"/>
                <w:szCs w:val="20"/>
                <w:highlight w:val="none"/>
              </w:rPr>
            </w:pPr>
            <w:r>
              <w:rPr>
                <w:rFonts w:hint="eastAsia" w:ascii="宋体" w:hAnsi="宋体" w:cs="宋体"/>
                <w:bCs/>
                <w:kern w:val="0"/>
                <w:sz w:val="20"/>
                <w:szCs w:val="20"/>
                <w:highlight w:val="none"/>
              </w:rPr>
              <w:t>产品名</w:t>
            </w:r>
          </w:p>
        </w:tc>
        <w:tc>
          <w:tcPr>
            <w:tcW w:w="1256" w:type="dxa"/>
            <w:noWrap/>
            <w:vAlign w:val="center"/>
          </w:tcPr>
          <w:p w14:paraId="7A3638E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bCs/>
                <w:kern w:val="0"/>
                <w:sz w:val="20"/>
                <w:szCs w:val="20"/>
                <w:highlight w:val="none"/>
              </w:rPr>
            </w:pPr>
            <w:r>
              <w:rPr>
                <w:rFonts w:hint="eastAsia" w:ascii="宋体" w:hAnsi="宋体" w:cs="宋体"/>
                <w:bCs/>
                <w:kern w:val="0"/>
                <w:sz w:val="20"/>
                <w:szCs w:val="20"/>
                <w:highlight w:val="none"/>
              </w:rPr>
              <w:t>重量</w:t>
            </w:r>
          </w:p>
        </w:tc>
        <w:tc>
          <w:tcPr>
            <w:tcW w:w="1718" w:type="dxa"/>
            <w:noWrap/>
            <w:vAlign w:val="center"/>
          </w:tcPr>
          <w:p w14:paraId="305AEFC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bCs/>
                <w:kern w:val="0"/>
                <w:sz w:val="20"/>
                <w:szCs w:val="20"/>
                <w:highlight w:val="none"/>
              </w:rPr>
            </w:pPr>
            <w:r>
              <w:rPr>
                <w:rFonts w:hint="eastAsia" w:ascii="宋体" w:hAnsi="宋体" w:cs="宋体"/>
                <w:bCs/>
                <w:kern w:val="0"/>
                <w:sz w:val="20"/>
                <w:szCs w:val="20"/>
                <w:highlight w:val="none"/>
                <w:lang w:val="en-US" w:eastAsia="zh-CN"/>
              </w:rPr>
              <w:t>限标</w:t>
            </w:r>
            <w:r>
              <w:rPr>
                <w:rFonts w:hint="eastAsia" w:ascii="宋体" w:hAnsi="宋体" w:cs="宋体"/>
                <w:bCs/>
                <w:kern w:val="0"/>
                <w:sz w:val="20"/>
                <w:szCs w:val="20"/>
                <w:highlight w:val="none"/>
              </w:rPr>
              <w:t>价格（元）</w:t>
            </w:r>
          </w:p>
        </w:tc>
      </w:tr>
      <w:tr w14:paraId="20954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50F1B16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hint="eastAsia" w:ascii="宋体" w:hAnsi="宋体" w:cs="宋体"/>
                <w:kern w:val="0"/>
                <w:sz w:val="20"/>
                <w:szCs w:val="20"/>
                <w:highlight w:val="none"/>
              </w:rPr>
              <w:t>1</w:t>
            </w:r>
          </w:p>
        </w:tc>
        <w:tc>
          <w:tcPr>
            <w:tcW w:w="1240" w:type="dxa"/>
            <w:vMerge w:val="restart"/>
            <w:noWrap/>
            <w:vAlign w:val="center"/>
          </w:tcPr>
          <w:p w14:paraId="7843441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kern w:val="0"/>
                <w:sz w:val="20"/>
                <w:szCs w:val="20"/>
                <w:highlight w:val="none"/>
                <w:lang w:val="en-US" w:eastAsia="zh-CN"/>
              </w:rPr>
            </w:pPr>
            <w:r>
              <w:rPr>
                <w:rFonts w:hint="eastAsia" w:ascii="宋体" w:hAnsi="宋体" w:cs="宋体"/>
                <w:kern w:val="0"/>
                <w:sz w:val="20"/>
                <w:szCs w:val="20"/>
                <w:highlight w:val="none"/>
              </w:rPr>
              <w:t>早餐</w:t>
            </w:r>
            <w:r>
              <w:rPr>
                <w:rFonts w:hint="eastAsia" w:ascii="宋体" w:hAnsi="宋体" w:cs="宋体"/>
                <w:kern w:val="0"/>
                <w:sz w:val="20"/>
                <w:szCs w:val="20"/>
                <w:highlight w:val="none"/>
                <w:lang w:eastAsia="zh-CN"/>
              </w:rPr>
              <w:t>、</w:t>
            </w:r>
            <w:r>
              <w:rPr>
                <w:rFonts w:hint="eastAsia" w:ascii="宋体" w:hAnsi="宋体" w:cs="宋体"/>
                <w:kern w:val="0"/>
                <w:sz w:val="20"/>
                <w:szCs w:val="20"/>
                <w:highlight w:val="none"/>
                <w:lang w:val="en-US" w:eastAsia="zh-CN"/>
              </w:rPr>
              <w:t>宵夜</w:t>
            </w:r>
          </w:p>
        </w:tc>
        <w:tc>
          <w:tcPr>
            <w:tcW w:w="1647" w:type="dxa"/>
            <w:vMerge w:val="restart"/>
            <w:noWrap w:val="0"/>
            <w:vAlign w:val="center"/>
          </w:tcPr>
          <w:p w14:paraId="04420DA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hint="eastAsia" w:ascii="宋体" w:hAnsi="宋体" w:cs="宋体"/>
                <w:kern w:val="0"/>
                <w:sz w:val="20"/>
                <w:szCs w:val="20"/>
                <w:highlight w:val="none"/>
              </w:rPr>
              <w:t>粥</w:t>
            </w:r>
          </w:p>
        </w:tc>
        <w:tc>
          <w:tcPr>
            <w:tcW w:w="1960" w:type="dxa"/>
            <w:noWrap w:val="0"/>
            <w:vAlign w:val="center"/>
          </w:tcPr>
          <w:p w14:paraId="597C783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南瓜粥</w:t>
            </w:r>
          </w:p>
        </w:tc>
        <w:tc>
          <w:tcPr>
            <w:tcW w:w="1256" w:type="dxa"/>
            <w:noWrap w:val="0"/>
            <w:vAlign w:val="center"/>
          </w:tcPr>
          <w:p w14:paraId="662D044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200g</w:t>
            </w:r>
          </w:p>
        </w:tc>
        <w:tc>
          <w:tcPr>
            <w:tcW w:w="1718" w:type="dxa"/>
            <w:noWrap w:val="0"/>
            <w:vAlign w:val="center"/>
          </w:tcPr>
          <w:p w14:paraId="1DE2A0A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1.5</w:t>
            </w:r>
            <w:r>
              <w:rPr>
                <w:rFonts w:hint="eastAsia" w:ascii="宋体" w:hAnsi="宋体" w:cs="宋体"/>
                <w:color w:val="000000"/>
                <w:kern w:val="0"/>
                <w:sz w:val="20"/>
                <w:szCs w:val="20"/>
                <w:highlight w:val="none"/>
              </w:rPr>
              <w:t>　</w:t>
            </w:r>
          </w:p>
        </w:tc>
      </w:tr>
      <w:tr w14:paraId="73BA7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12A6F3C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hint="eastAsia" w:ascii="宋体" w:hAnsi="宋体" w:cs="宋体"/>
                <w:kern w:val="0"/>
                <w:sz w:val="20"/>
                <w:szCs w:val="20"/>
                <w:highlight w:val="none"/>
              </w:rPr>
              <w:t>2</w:t>
            </w:r>
          </w:p>
        </w:tc>
        <w:tc>
          <w:tcPr>
            <w:tcW w:w="1240" w:type="dxa"/>
            <w:vMerge w:val="continue"/>
            <w:noWrap w:val="0"/>
            <w:vAlign w:val="center"/>
          </w:tcPr>
          <w:p w14:paraId="60DEA8C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647" w:type="dxa"/>
            <w:vMerge w:val="continue"/>
            <w:noWrap w:val="0"/>
            <w:vAlign w:val="center"/>
          </w:tcPr>
          <w:p w14:paraId="2E4796A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960" w:type="dxa"/>
            <w:noWrap w:val="0"/>
            <w:vAlign w:val="center"/>
          </w:tcPr>
          <w:p w14:paraId="1DA6414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白粥</w:t>
            </w:r>
          </w:p>
        </w:tc>
        <w:tc>
          <w:tcPr>
            <w:tcW w:w="1256" w:type="dxa"/>
            <w:noWrap w:val="0"/>
            <w:vAlign w:val="center"/>
          </w:tcPr>
          <w:p w14:paraId="468E277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200g</w:t>
            </w:r>
          </w:p>
        </w:tc>
        <w:tc>
          <w:tcPr>
            <w:tcW w:w="1718" w:type="dxa"/>
            <w:noWrap w:val="0"/>
            <w:vAlign w:val="center"/>
          </w:tcPr>
          <w:p w14:paraId="5ECBFA0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1</w:t>
            </w:r>
            <w:r>
              <w:rPr>
                <w:rFonts w:hint="eastAsia" w:ascii="宋体" w:hAnsi="宋体" w:cs="宋体"/>
                <w:color w:val="000000"/>
                <w:kern w:val="0"/>
                <w:sz w:val="20"/>
                <w:szCs w:val="20"/>
                <w:highlight w:val="none"/>
              </w:rPr>
              <w:t>　</w:t>
            </w:r>
          </w:p>
        </w:tc>
      </w:tr>
      <w:tr w14:paraId="759E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35FFE25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hint="eastAsia" w:ascii="宋体" w:hAnsi="宋体" w:cs="宋体"/>
                <w:kern w:val="0"/>
                <w:sz w:val="20"/>
                <w:szCs w:val="20"/>
                <w:highlight w:val="none"/>
              </w:rPr>
              <w:t>3</w:t>
            </w:r>
          </w:p>
        </w:tc>
        <w:tc>
          <w:tcPr>
            <w:tcW w:w="1240" w:type="dxa"/>
            <w:vMerge w:val="continue"/>
            <w:noWrap w:val="0"/>
            <w:vAlign w:val="center"/>
          </w:tcPr>
          <w:p w14:paraId="725041E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647" w:type="dxa"/>
            <w:vMerge w:val="continue"/>
            <w:noWrap w:val="0"/>
            <w:vAlign w:val="center"/>
          </w:tcPr>
          <w:p w14:paraId="02EB591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960" w:type="dxa"/>
            <w:noWrap w:val="0"/>
            <w:vAlign w:val="center"/>
          </w:tcPr>
          <w:p w14:paraId="139725D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小米粥</w:t>
            </w:r>
          </w:p>
        </w:tc>
        <w:tc>
          <w:tcPr>
            <w:tcW w:w="1256" w:type="dxa"/>
            <w:noWrap w:val="0"/>
            <w:vAlign w:val="center"/>
          </w:tcPr>
          <w:p w14:paraId="7B591DD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200g</w:t>
            </w:r>
          </w:p>
        </w:tc>
        <w:tc>
          <w:tcPr>
            <w:tcW w:w="1718" w:type="dxa"/>
            <w:noWrap w:val="0"/>
            <w:vAlign w:val="center"/>
          </w:tcPr>
          <w:p w14:paraId="0848D45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1.5</w:t>
            </w:r>
            <w:r>
              <w:rPr>
                <w:rFonts w:hint="eastAsia" w:ascii="宋体" w:hAnsi="宋体" w:cs="宋体"/>
                <w:color w:val="000000"/>
                <w:kern w:val="0"/>
                <w:sz w:val="20"/>
                <w:szCs w:val="20"/>
                <w:highlight w:val="none"/>
              </w:rPr>
              <w:t>　</w:t>
            </w:r>
          </w:p>
        </w:tc>
      </w:tr>
      <w:tr w14:paraId="56982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001AE1F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hint="eastAsia" w:ascii="宋体" w:hAnsi="宋体" w:cs="宋体"/>
                <w:kern w:val="0"/>
                <w:sz w:val="20"/>
                <w:szCs w:val="20"/>
                <w:highlight w:val="none"/>
              </w:rPr>
              <w:t>4</w:t>
            </w:r>
          </w:p>
        </w:tc>
        <w:tc>
          <w:tcPr>
            <w:tcW w:w="1240" w:type="dxa"/>
            <w:vMerge w:val="continue"/>
            <w:noWrap w:val="0"/>
            <w:vAlign w:val="center"/>
          </w:tcPr>
          <w:p w14:paraId="0ACE315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647" w:type="dxa"/>
            <w:vMerge w:val="continue"/>
            <w:noWrap w:val="0"/>
            <w:vAlign w:val="center"/>
          </w:tcPr>
          <w:p w14:paraId="03DE60C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960" w:type="dxa"/>
            <w:noWrap w:val="0"/>
            <w:vAlign w:val="center"/>
          </w:tcPr>
          <w:p w14:paraId="5CB1C47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黑米粥</w:t>
            </w:r>
          </w:p>
        </w:tc>
        <w:tc>
          <w:tcPr>
            <w:tcW w:w="1256" w:type="dxa"/>
            <w:noWrap w:val="0"/>
            <w:vAlign w:val="center"/>
          </w:tcPr>
          <w:p w14:paraId="69BE0D9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200g</w:t>
            </w:r>
          </w:p>
        </w:tc>
        <w:tc>
          <w:tcPr>
            <w:tcW w:w="1718" w:type="dxa"/>
            <w:noWrap w:val="0"/>
            <w:vAlign w:val="center"/>
          </w:tcPr>
          <w:p w14:paraId="275C868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1.5</w:t>
            </w:r>
            <w:r>
              <w:rPr>
                <w:rFonts w:hint="eastAsia" w:ascii="宋体" w:hAnsi="宋体" w:cs="宋体"/>
                <w:color w:val="000000"/>
                <w:kern w:val="0"/>
                <w:sz w:val="20"/>
                <w:szCs w:val="20"/>
                <w:highlight w:val="none"/>
              </w:rPr>
              <w:t>　</w:t>
            </w:r>
          </w:p>
        </w:tc>
      </w:tr>
      <w:tr w14:paraId="781FE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262807C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hint="eastAsia" w:ascii="宋体" w:hAnsi="宋体" w:cs="宋体"/>
                <w:kern w:val="0"/>
                <w:sz w:val="20"/>
                <w:szCs w:val="20"/>
                <w:highlight w:val="none"/>
              </w:rPr>
              <w:t>5</w:t>
            </w:r>
          </w:p>
        </w:tc>
        <w:tc>
          <w:tcPr>
            <w:tcW w:w="1240" w:type="dxa"/>
            <w:vMerge w:val="continue"/>
            <w:noWrap w:val="0"/>
            <w:vAlign w:val="center"/>
          </w:tcPr>
          <w:p w14:paraId="3CC3FC7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647" w:type="dxa"/>
            <w:vMerge w:val="continue"/>
            <w:noWrap w:val="0"/>
            <w:vAlign w:val="center"/>
          </w:tcPr>
          <w:p w14:paraId="6F01EEA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960" w:type="dxa"/>
            <w:noWrap w:val="0"/>
            <w:vAlign w:val="center"/>
          </w:tcPr>
          <w:p w14:paraId="5AE4A5F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红枣山芋粥</w:t>
            </w:r>
          </w:p>
        </w:tc>
        <w:tc>
          <w:tcPr>
            <w:tcW w:w="1256" w:type="dxa"/>
            <w:noWrap w:val="0"/>
            <w:vAlign w:val="center"/>
          </w:tcPr>
          <w:p w14:paraId="63384FD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200g</w:t>
            </w:r>
          </w:p>
        </w:tc>
        <w:tc>
          <w:tcPr>
            <w:tcW w:w="1718" w:type="dxa"/>
            <w:noWrap w:val="0"/>
            <w:vAlign w:val="center"/>
          </w:tcPr>
          <w:p w14:paraId="0791C74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1.5</w:t>
            </w:r>
            <w:r>
              <w:rPr>
                <w:rFonts w:hint="eastAsia" w:ascii="宋体" w:hAnsi="宋体" w:cs="宋体"/>
                <w:color w:val="000000"/>
                <w:kern w:val="0"/>
                <w:sz w:val="20"/>
                <w:szCs w:val="20"/>
                <w:highlight w:val="none"/>
              </w:rPr>
              <w:t>　</w:t>
            </w:r>
          </w:p>
        </w:tc>
      </w:tr>
      <w:tr w14:paraId="42DC1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vMerge w:val="restart"/>
            <w:noWrap/>
            <w:vAlign w:val="center"/>
          </w:tcPr>
          <w:p w14:paraId="15DCC4F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hint="eastAsia" w:ascii="宋体" w:hAnsi="宋体" w:cs="宋体"/>
                <w:kern w:val="0"/>
                <w:sz w:val="20"/>
                <w:szCs w:val="20"/>
                <w:highlight w:val="none"/>
              </w:rPr>
              <w:t>6</w:t>
            </w:r>
          </w:p>
        </w:tc>
        <w:tc>
          <w:tcPr>
            <w:tcW w:w="1240" w:type="dxa"/>
            <w:vMerge w:val="continue"/>
            <w:noWrap w:val="0"/>
            <w:vAlign w:val="center"/>
          </w:tcPr>
          <w:p w14:paraId="28BE815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647" w:type="dxa"/>
            <w:vMerge w:val="continue"/>
            <w:noWrap w:val="0"/>
            <w:vAlign w:val="center"/>
          </w:tcPr>
          <w:p w14:paraId="5C35646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960" w:type="dxa"/>
            <w:noWrap w:val="0"/>
            <w:vAlign w:val="center"/>
          </w:tcPr>
          <w:p w14:paraId="212EBB8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绿豆粥</w:t>
            </w:r>
          </w:p>
        </w:tc>
        <w:tc>
          <w:tcPr>
            <w:tcW w:w="1256" w:type="dxa"/>
            <w:noWrap w:val="0"/>
            <w:vAlign w:val="center"/>
          </w:tcPr>
          <w:p w14:paraId="3BB6780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200g</w:t>
            </w:r>
          </w:p>
        </w:tc>
        <w:tc>
          <w:tcPr>
            <w:tcW w:w="1718" w:type="dxa"/>
            <w:noWrap w:val="0"/>
            <w:vAlign w:val="center"/>
          </w:tcPr>
          <w:p w14:paraId="54CF0B5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1.5</w:t>
            </w:r>
            <w:r>
              <w:rPr>
                <w:rFonts w:hint="eastAsia" w:ascii="宋体" w:hAnsi="宋体" w:cs="宋体"/>
                <w:color w:val="000000"/>
                <w:kern w:val="0"/>
                <w:sz w:val="20"/>
                <w:szCs w:val="20"/>
                <w:highlight w:val="none"/>
              </w:rPr>
              <w:t>　</w:t>
            </w:r>
          </w:p>
        </w:tc>
      </w:tr>
      <w:tr w14:paraId="05DC5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vMerge w:val="continue"/>
            <w:noWrap/>
            <w:vAlign w:val="center"/>
          </w:tcPr>
          <w:p w14:paraId="4F278A7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p>
        </w:tc>
        <w:tc>
          <w:tcPr>
            <w:tcW w:w="1240" w:type="dxa"/>
            <w:vMerge w:val="continue"/>
            <w:noWrap w:val="0"/>
            <w:vAlign w:val="center"/>
          </w:tcPr>
          <w:p w14:paraId="4C1B80B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647" w:type="dxa"/>
            <w:vMerge w:val="continue"/>
            <w:noWrap w:val="0"/>
            <w:vAlign w:val="center"/>
          </w:tcPr>
          <w:p w14:paraId="6045E0C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960" w:type="dxa"/>
            <w:noWrap w:val="0"/>
            <w:vAlign w:val="center"/>
          </w:tcPr>
          <w:p w14:paraId="02120087">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hint="eastAsia" w:ascii="宋体" w:hAnsi="宋体" w:cs="宋体"/>
                <w:kern w:val="0"/>
                <w:sz w:val="20"/>
                <w:szCs w:val="20"/>
                <w:highlight w:val="none"/>
              </w:rPr>
              <w:t>肠粉</w:t>
            </w:r>
          </w:p>
        </w:tc>
        <w:tc>
          <w:tcPr>
            <w:tcW w:w="1256" w:type="dxa"/>
            <w:noWrap w:val="0"/>
            <w:vAlign w:val="center"/>
          </w:tcPr>
          <w:p w14:paraId="63461614">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hint="eastAsia" w:ascii="宋体" w:hAnsi="宋体" w:cs="宋体"/>
                <w:kern w:val="0"/>
                <w:sz w:val="20"/>
                <w:szCs w:val="20"/>
                <w:highlight w:val="none"/>
              </w:rPr>
              <w:t>200g</w:t>
            </w:r>
          </w:p>
        </w:tc>
        <w:tc>
          <w:tcPr>
            <w:tcW w:w="1718" w:type="dxa"/>
            <w:noWrap w:val="0"/>
            <w:vAlign w:val="center"/>
          </w:tcPr>
          <w:p w14:paraId="30286F68">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kern w:val="0"/>
                <w:sz w:val="20"/>
                <w:szCs w:val="20"/>
                <w:highlight w:val="none"/>
                <w:lang w:val="en-US" w:eastAsia="zh-CN"/>
              </w:rPr>
            </w:pPr>
            <w:r>
              <w:rPr>
                <w:rFonts w:hint="eastAsia" w:ascii="宋体" w:hAnsi="宋体" w:cs="宋体"/>
                <w:kern w:val="0"/>
                <w:sz w:val="20"/>
                <w:szCs w:val="20"/>
                <w:highlight w:val="none"/>
                <w:lang w:val="en-US" w:eastAsia="zh-CN"/>
              </w:rPr>
              <w:t>4-8</w:t>
            </w:r>
          </w:p>
        </w:tc>
      </w:tr>
      <w:tr w14:paraId="323F5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4E7CCBA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hint="eastAsia" w:ascii="宋体" w:hAnsi="宋体" w:cs="宋体"/>
                <w:kern w:val="0"/>
                <w:sz w:val="20"/>
                <w:szCs w:val="20"/>
                <w:highlight w:val="none"/>
              </w:rPr>
              <w:t>7</w:t>
            </w:r>
          </w:p>
        </w:tc>
        <w:tc>
          <w:tcPr>
            <w:tcW w:w="1240" w:type="dxa"/>
            <w:vMerge w:val="continue"/>
            <w:noWrap w:val="0"/>
            <w:vAlign w:val="center"/>
          </w:tcPr>
          <w:p w14:paraId="17C848A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647" w:type="dxa"/>
            <w:vMerge w:val="continue"/>
            <w:noWrap w:val="0"/>
            <w:vAlign w:val="center"/>
          </w:tcPr>
          <w:p w14:paraId="6522EA2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960" w:type="dxa"/>
            <w:noWrap w:val="0"/>
            <w:vAlign w:val="center"/>
          </w:tcPr>
          <w:p w14:paraId="45ED521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皮蛋瘦肉粥</w:t>
            </w:r>
          </w:p>
        </w:tc>
        <w:tc>
          <w:tcPr>
            <w:tcW w:w="1256" w:type="dxa"/>
            <w:noWrap w:val="0"/>
            <w:vAlign w:val="center"/>
          </w:tcPr>
          <w:p w14:paraId="457450C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200g</w:t>
            </w:r>
          </w:p>
        </w:tc>
        <w:tc>
          <w:tcPr>
            <w:tcW w:w="1718" w:type="dxa"/>
            <w:noWrap w:val="0"/>
            <w:vAlign w:val="center"/>
          </w:tcPr>
          <w:p w14:paraId="2B01C1E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2</w:t>
            </w:r>
            <w:r>
              <w:rPr>
                <w:rFonts w:hint="eastAsia" w:ascii="宋体" w:hAnsi="宋体" w:cs="宋体"/>
                <w:color w:val="000000"/>
                <w:kern w:val="0"/>
                <w:sz w:val="20"/>
                <w:szCs w:val="20"/>
                <w:highlight w:val="none"/>
              </w:rPr>
              <w:t>　</w:t>
            </w:r>
          </w:p>
        </w:tc>
      </w:tr>
      <w:tr w14:paraId="43267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0094621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hint="eastAsia" w:ascii="宋体" w:hAnsi="宋体" w:cs="宋体"/>
                <w:kern w:val="0"/>
                <w:sz w:val="20"/>
                <w:szCs w:val="20"/>
                <w:highlight w:val="none"/>
              </w:rPr>
              <w:t>9</w:t>
            </w:r>
          </w:p>
        </w:tc>
        <w:tc>
          <w:tcPr>
            <w:tcW w:w="1240" w:type="dxa"/>
            <w:vMerge w:val="continue"/>
            <w:noWrap w:val="0"/>
            <w:vAlign w:val="center"/>
          </w:tcPr>
          <w:p w14:paraId="025F9DD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647" w:type="dxa"/>
            <w:vMerge w:val="restart"/>
            <w:noWrap/>
            <w:vAlign w:val="center"/>
          </w:tcPr>
          <w:p w14:paraId="27966B5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hint="eastAsia" w:ascii="宋体" w:hAnsi="宋体" w:cs="宋体"/>
                <w:kern w:val="0"/>
                <w:sz w:val="20"/>
                <w:szCs w:val="20"/>
                <w:highlight w:val="none"/>
              </w:rPr>
              <w:t>点心</w:t>
            </w:r>
          </w:p>
        </w:tc>
        <w:tc>
          <w:tcPr>
            <w:tcW w:w="1960" w:type="dxa"/>
            <w:noWrap w:val="0"/>
            <w:vAlign w:val="center"/>
          </w:tcPr>
          <w:p w14:paraId="55A8B30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油条</w:t>
            </w:r>
          </w:p>
        </w:tc>
        <w:tc>
          <w:tcPr>
            <w:tcW w:w="1256" w:type="dxa"/>
            <w:noWrap w:val="0"/>
            <w:vAlign w:val="center"/>
          </w:tcPr>
          <w:p w14:paraId="20F8F1E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100g</w:t>
            </w:r>
          </w:p>
        </w:tc>
        <w:tc>
          <w:tcPr>
            <w:tcW w:w="1718" w:type="dxa"/>
            <w:noWrap w:val="0"/>
            <w:vAlign w:val="center"/>
          </w:tcPr>
          <w:p w14:paraId="0AB2FBD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2</w:t>
            </w:r>
            <w:r>
              <w:rPr>
                <w:rFonts w:hint="eastAsia" w:ascii="宋体" w:hAnsi="宋体" w:cs="宋体"/>
                <w:color w:val="000000"/>
                <w:kern w:val="0"/>
                <w:sz w:val="20"/>
                <w:szCs w:val="20"/>
                <w:highlight w:val="none"/>
              </w:rPr>
              <w:t>　</w:t>
            </w:r>
          </w:p>
        </w:tc>
      </w:tr>
      <w:tr w14:paraId="33CCC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1EAFB2F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hint="eastAsia" w:ascii="宋体" w:hAnsi="宋体" w:cs="宋体"/>
                <w:kern w:val="0"/>
                <w:sz w:val="20"/>
                <w:szCs w:val="20"/>
                <w:highlight w:val="none"/>
              </w:rPr>
              <w:t>10</w:t>
            </w:r>
          </w:p>
        </w:tc>
        <w:tc>
          <w:tcPr>
            <w:tcW w:w="1240" w:type="dxa"/>
            <w:vMerge w:val="continue"/>
            <w:noWrap w:val="0"/>
            <w:vAlign w:val="center"/>
          </w:tcPr>
          <w:p w14:paraId="73795C9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647" w:type="dxa"/>
            <w:vMerge w:val="continue"/>
            <w:noWrap w:val="0"/>
            <w:vAlign w:val="center"/>
          </w:tcPr>
          <w:p w14:paraId="7E13D40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960" w:type="dxa"/>
            <w:noWrap w:val="0"/>
            <w:vAlign w:val="center"/>
          </w:tcPr>
          <w:p w14:paraId="351CE89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豆腐花</w:t>
            </w:r>
          </w:p>
        </w:tc>
        <w:tc>
          <w:tcPr>
            <w:tcW w:w="1256" w:type="dxa"/>
            <w:noWrap w:val="0"/>
            <w:vAlign w:val="center"/>
          </w:tcPr>
          <w:p w14:paraId="5D6E1C5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150g</w:t>
            </w:r>
          </w:p>
        </w:tc>
        <w:tc>
          <w:tcPr>
            <w:tcW w:w="1718" w:type="dxa"/>
            <w:noWrap w:val="0"/>
            <w:vAlign w:val="center"/>
          </w:tcPr>
          <w:p w14:paraId="7D17E3A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2</w:t>
            </w:r>
            <w:r>
              <w:rPr>
                <w:rFonts w:hint="eastAsia" w:ascii="宋体" w:hAnsi="宋体" w:cs="宋体"/>
                <w:color w:val="000000"/>
                <w:kern w:val="0"/>
                <w:sz w:val="20"/>
                <w:szCs w:val="20"/>
                <w:highlight w:val="none"/>
              </w:rPr>
              <w:t>　</w:t>
            </w:r>
          </w:p>
        </w:tc>
      </w:tr>
      <w:tr w14:paraId="4ABF9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6673C8A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hint="eastAsia" w:ascii="宋体" w:hAnsi="宋体" w:cs="宋体"/>
                <w:kern w:val="0"/>
                <w:sz w:val="20"/>
                <w:szCs w:val="20"/>
                <w:highlight w:val="none"/>
              </w:rPr>
              <w:t>11</w:t>
            </w:r>
          </w:p>
        </w:tc>
        <w:tc>
          <w:tcPr>
            <w:tcW w:w="1240" w:type="dxa"/>
            <w:vMerge w:val="continue"/>
            <w:noWrap w:val="0"/>
            <w:vAlign w:val="center"/>
          </w:tcPr>
          <w:p w14:paraId="225EC47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647" w:type="dxa"/>
            <w:vMerge w:val="continue"/>
            <w:noWrap w:val="0"/>
            <w:vAlign w:val="center"/>
          </w:tcPr>
          <w:p w14:paraId="3850DB6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960" w:type="dxa"/>
            <w:noWrap w:val="0"/>
            <w:vAlign w:val="center"/>
          </w:tcPr>
          <w:p w14:paraId="3C49FDC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荷包蛋</w:t>
            </w:r>
          </w:p>
        </w:tc>
        <w:tc>
          <w:tcPr>
            <w:tcW w:w="1256" w:type="dxa"/>
            <w:noWrap w:val="0"/>
            <w:vAlign w:val="center"/>
          </w:tcPr>
          <w:p w14:paraId="355CF89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100g</w:t>
            </w:r>
          </w:p>
        </w:tc>
        <w:tc>
          <w:tcPr>
            <w:tcW w:w="1718" w:type="dxa"/>
            <w:noWrap w:val="0"/>
            <w:vAlign w:val="center"/>
          </w:tcPr>
          <w:p w14:paraId="4DE2BD9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2</w:t>
            </w:r>
            <w:r>
              <w:rPr>
                <w:rFonts w:hint="eastAsia" w:ascii="宋体" w:hAnsi="宋体" w:cs="宋体"/>
                <w:color w:val="000000"/>
                <w:kern w:val="0"/>
                <w:sz w:val="20"/>
                <w:szCs w:val="20"/>
                <w:highlight w:val="none"/>
              </w:rPr>
              <w:t>　</w:t>
            </w:r>
          </w:p>
        </w:tc>
      </w:tr>
      <w:tr w14:paraId="14164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0340C22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hint="eastAsia" w:ascii="宋体" w:hAnsi="宋体" w:cs="宋体"/>
                <w:kern w:val="0"/>
                <w:sz w:val="20"/>
                <w:szCs w:val="20"/>
                <w:highlight w:val="none"/>
              </w:rPr>
              <w:t>12</w:t>
            </w:r>
          </w:p>
        </w:tc>
        <w:tc>
          <w:tcPr>
            <w:tcW w:w="1240" w:type="dxa"/>
            <w:vMerge w:val="continue"/>
            <w:noWrap w:val="0"/>
            <w:vAlign w:val="center"/>
          </w:tcPr>
          <w:p w14:paraId="7ED0CFB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647" w:type="dxa"/>
            <w:vMerge w:val="continue"/>
            <w:noWrap w:val="0"/>
            <w:vAlign w:val="center"/>
          </w:tcPr>
          <w:p w14:paraId="7E30D15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960" w:type="dxa"/>
            <w:noWrap w:val="0"/>
            <w:vAlign w:val="center"/>
          </w:tcPr>
          <w:p w14:paraId="75C4554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小笼包</w:t>
            </w:r>
          </w:p>
        </w:tc>
        <w:tc>
          <w:tcPr>
            <w:tcW w:w="1256" w:type="dxa"/>
            <w:noWrap w:val="0"/>
            <w:vAlign w:val="center"/>
          </w:tcPr>
          <w:p w14:paraId="36FFF4A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300g</w:t>
            </w:r>
          </w:p>
        </w:tc>
        <w:tc>
          <w:tcPr>
            <w:tcW w:w="1718" w:type="dxa"/>
            <w:noWrap w:val="0"/>
            <w:vAlign w:val="center"/>
          </w:tcPr>
          <w:p w14:paraId="18690DA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4</w:t>
            </w:r>
            <w:r>
              <w:rPr>
                <w:rFonts w:hint="eastAsia" w:ascii="宋体" w:hAnsi="宋体" w:cs="宋体"/>
                <w:color w:val="000000"/>
                <w:kern w:val="0"/>
                <w:sz w:val="20"/>
                <w:szCs w:val="20"/>
                <w:highlight w:val="none"/>
              </w:rPr>
              <w:t>　</w:t>
            </w:r>
          </w:p>
        </w:tc>
      </w:tr>
      <w:tr w14:paraId="14053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156F42C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hint="eastAsia" w:ascii="宋体" w:hAnsi="宋体" w:cs="宋体"/>
                <w:kern w:val="0"/>
                <w:sz w:val="20"/>
                <w:szCs w:val="20"/>
                <w:highlight w:val="none"/>
              </w:rPr>
              <w:t>13</w:t>
            </w:r>
          </w:p>
        </w:tc>
        <w:tc>
          <w:tcPr>
            <w:tcW w:w="1240" w:type="dxa"/>
            <w:vMerge w:val="continue"/>
            <w:noWrap w:val="0"/>
            <w:vAlign w:val="center"/>
          </w:tcPr>
          <w:p w14:paraId="288C7B1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647" w:type="dxa"/>
            <w:vMerge w:val="continue"/>
            <w:noWrap w:val="0"/>
            <w:vAlign w:val="center"/>
          </w:tcPr>
          <w:p w14:paraId="36DB843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960" w:type="dxa"/>
            <w:noWrap w:val="0"/>
            <w:vAlign w:val="center"/>
          </w:tcPr>
          <w:p w14:paraId="6E8D511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奶黄包</w:t>
            </w:r>
          </w:p>
        </w:tc>
        <w:tc>
          <w:tcPr>
            <w:tcW w:w="1256" w:type="dxa"/>
            <w:noWrap w:val="0"/>
            <w:vAlign w:val="center"/>
          </w:tcPr>
          <w:p w14:paraId="056E1C0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200g</w:t>
            </w:r>
          </w:p>
        </w:tc>
        <w:tc>
          <w:tcPr>
            <w:tcW w:w="1718" w:type="dxa"/>
            <w:noWrap w:val="0"/>
            <w:vAlign w:val="center"/>
          </w:tcPr>
          <w:p w14:paraId="297FB50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1.5</w:t>
            </w:r>
            <w:r>
              <w:rPr>
                <w:rFonts w:hint="eastAsia" w:ascii="宋体" w:hAnsi="宋体" w:cs="宋体"/>
                <w:color w:val="000000"/>
                <w:kern w:val="0"/>
                <w:sz w:val="20"/>
                <w:szCs w:val="20"/>
                <w:highlight w:val="none"/>
              </w:rPr>
              <w:t>　</w:t>
            </w:r>
          </w:p>
        </w:tc>
      </w:tr>
      <w:tr w14:paraId="6765B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692FBBB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hint="eastAsia" w:ascii="宋体" w:hAnsi="宋体" w:cs="宋体"/>
                <w:kern w:val="0"/>
                <w:sz w:val="20"/>
                <w:szCs w:val="20"/>
                <w:highlight w:val="none"/>
              </w:rPr>
              <w:t>14</w:t>
            </w:r>
          </w:p>
        </w:tc>
        <w:tc>
          <w:tcPr>
            <w:tcW w:w="1240" w:type="dxa"/>
            <w:vMerge w:val="continue"/>
            <w:noWrap w:val="0"/>
            <w:vAlign w:val="center"/>
          </w:tcPr>
          <w:p w14:paraId="173F512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647" w:type="dxa"/>
            <w:vMerge w:val="continue"/>
            <w:noWrap w:val="0"/>
            <w:vAlign w:val="center"/>
          </w:tcPr>
          <w:p w14:paraId="3101637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960" w:type="dxa"/>
            <w:noWrap w:val="0"/>
            <w:vAlign w:val="center"/>
          </w:tcPr>
          <w:p w14:paraId="63A31A1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豆浆</w:t>
            </w:r>
          </w:p>
        </w:tc>
        <w:tc>
          <w:tcPr>
            <w:tcW w:w="1256" w:type="dxa"/>
            <w:noWrap w:val="0"/>
            <w:vAlign w:val="center"/>
          </w:tcPr>
          <w:p w14:paraId="4FC992C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200g</w:t>
            </w:r>
          </w:p>
        </w:tc>
        <w:tc>
          <w:tcPr>
            <w:tcW w:w="1718" w:type="dxa"/>
            <w:noWrap w:val="0"/>
            <w:vAlign w:val="center"/>
          </w:tcPr>
          <w:p w14:paraId="0066BD5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1</w:t>
            </w:r>
            <w:r>
              <w:rPr>
                <w:rFonts w:hint="eastAsia" w:ascii="宋体" w:hAnsi="宋体" w:cs="宋体"/>
                <w:color w:val="000000"/>
                <w:kern w:val="0"/>
                <w:sz w:val="20"/>
                <w:szCs w:val="20"/>
                <w:highlight w:val="none"/>
              </w:rPr>
              <w:t>　</w:t>
            </w:r>
          </w:p>
        </w:tc>
      </w:tr>
      <w:tr w14:paraId="7D1C5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70206C0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hint="eastAsia" w:ascii="宋体" w:hAnsi="宋体" w:cs="宋体"/>
                <w:kern w:val="0"/>
                <w:sz w:val="20"/>
                <w:szCs w:val="20"/>
                <w:highlight w:val="none"/>
              </w:rPr>
              <w:t>15</w:t>
            </w:r>
          </w:p>
        </w:tc>
        <w:tc>
          <w:tcPr>
            <w:tcW w:w="1240" w:type="dxa"/>
            <w:vMerge w:val="continue"/>
            <w:noWrap w:val="0"/>
            <w:vAlign w:val="center"/>
          </w:tcPr>
          <w:p w14:paraId="6CF21AD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647" w:type="dxa"/>
            <w:vMerge w:val="continue"/>
            <w:noWrap w:val="0"/>
            <w:vAlign w:val="center"/>
          </w:tcPr>
          <w:p w14:paraId="095AF97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960" w:type="dxa"/>
            <w:noWrap w:val="0"/>
            <w:vAlign w:val="center"/>
          </w:tcPr>
          <w:p w14:paraId="49A3A87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刀切馒头</w:t>
            </w:r>
          </w:p>
        </w:tc>
        <w:tc>
          <w:tcPr>
            <w:tcW w:w="1256" w:type="dxa"/>
            <w:noWrap w:val="0"/>
            <w:vAlign w:val="center"/>
          </w:tcPr>
          <w:p w14:paraId="12AF1A3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200g</w:t>
            </w:r>
          </w:p>
        </w:tc>
        <w:tc>
          <w:tcPr>
            <w:tcW w:w="1718" w:type="dxa"/>
            <w:noWrap w:val="0"/>
            <w:vAlign w:val="center"/>
          </w:tcPr>
          <w:p w14:paraId="21B2476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1</w:t>
            </w:r>
            <w:r>
              <w:rPr>
                <w:rFonts w:hint="eastAsia" w:ascii="宋体" w:hAnsi="宋体" w:cs="宋体"/>
                <w:color w:val="000000"/>
                <w:kern w:val="0"/>
                <w:sz w:val="20"/>
                <w:szCs w:val="20"/>
                <w:highlight w:val="none"/>
              </w:rPr>
              <w:t>　</w:t>
            </w:r>
          </w:p>
        </w:tc>
      </w:tr>
      <w:tr w14:paraId="7EC91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10E24F1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hint="eastAsia" w:ascii="宋体" w:hAnsi="宋体" w:cs="宋体"/>
                <w:kern w:val="0"/>
                <w:sz w:val="20"/>
                <w:szCs w:val="20"/>
                <w:highlight w:val="none"/>
              </w:rPr>
              <w:t>16</w:t>
            </w:r>
          </w:p>
        </w:tc>
        <w:tc>
          <w:tcPr>
            <w:tcW w:w="1240" w:type="dxa"/>
            <w:vMerge w:val="continue"/>
            <w:noWrap w:val="0"/>
            <w:vAlign w:val="center"/>
          </w:tcPr>
          <w:p w14:paraId="06C9987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647" w:type="dxa"/>
            <w:vMerge w:val="continue"/>
            <w:noWrap w:val="0"/>
            <w:vAlign w:val="center"/>
          </w:tcPr>
          <w:p w14:paraId="7D7F6EC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960" w:type="dxa"/>
            <w:noWrap w:val="0"/>
            <w:vAlign w:val="center"/>
          </w:tcPr>
          <w:p w14:paraId="373C082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南瓜饼</w:t>
            </w:r>
          </w:p>
        </w:tc>
        <w:tc>
          <w:tcPr>
            <w:tcW w:w="1256" w:type="dxa"/>
            <w:noWrap w:val="0"/>
            <w:vAlign w:val="center"/>
          </w:tcPr>
          <w:p w14:paraId="2066D46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180g</w:t>
            </w:r>
          </w:p>
        </w:tc>
        <w:tc>
          <w:tcPr>
            <w:tcW w:w="1718" w:type="dxa"/>
            <w:noWrap w:val="0"/>
            <w:vAlign w:val="center"/>
          </w:tcPr>
          <w:p w14:paraId="632EE3F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1.5</w:t>
            </w:r>
            <w:r>
              <w:rPr>
                <w:rFonts w:hint="eastAsia" w:ascii="宋体" w:hAnsi="宋体" w:cs="宋体"/>
                <w:color w:val="000000"/>
                <w:kern w:val="0"/>
                <w:sz w:val="20"/>
                <w:szCs w:val="20"/>
                <w:highlight w:val="none"/>
              </w:rPr>
              <w:t>　</w:t>
            </w:r>
          </w:p>
        </w:tc>
      </w:tr>
      <w:tr w14:paraId="21855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2E9B188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hint="eastAsia" w:ascii="宋体" w:hAnsi="宋体" w:cs="宋体"/>
                <w:kern w:val="0"/>
                <w:sz w:val="20"/>
                <w:szCs w:val="20"/>
                <w:highlight w:val="none"/>
              </w:rPr>
              <w:t>17</w:t>
            </w:r>
          </w:p>
        </w:tc>
        <w:tc>
          <w:tcPr>
            <w:tcW w:w="1240" w:type="dxa"/>
            <w:vMerge w:val="continue"/>
            <w:noWrap w:val="0"/>
            <w:vAlign w:val="center"/>
          </w:tcPr>
          <w:p w14:paraId="022312F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647" w:type="dxa"/>
            <w:vMerge w:val="continue"/>
            <w:noWrap w:val="0"/>
            <w:vAlign w:val="center"/>
          </w:tcPr>
          <w:p w14:paraId="0298753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960" w:type="dxa"/>
            <w:noWrap w:val="0"/>
            <w:vAlign w:val="center"/>
          </w:tcPr>
          <w:p w14:paraId="66255ED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黄金糕</w:t>
            </w:r>
          </w:p>
        </w:tc>
        <w:tc>
          <w:tcPr>
            <w:tcW w:w="1256" w:type="dxa"/>
            <w:noWrap w:val="0"/>
            <w:vAlign w:val="center"/>
          </w:tcPr>
          <w:p w14:paraId="13E6260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180g</w:t>
            </w:r>
          </w:p>
        </w:tc>
        <w:tc>
          <w:tcPr>
            <w:tcW w:w="1718" w:type="dxa"/>
            <w:noWrap w:val="0"/>
            <w:vAlign w:val="center"/>
          </w:tcPr>
          <w:p w14:paraId="20EC768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1.5</w:t>
            </w:r>
            <w:r>
              <w:rPr>
                <w:rFonts w:hint="eastAsia" w:ascii="宋体" w:hAnsi="宋体" w:cs="宋体"/>
                <w:color w:val="000000"/>
                <w:kern w:val="0"/>
                <w:sz w:val="20"/>
                <w:szCs w:val="20"/>
                <w:highlight w:val="none"/>
              </w:rPr>
              <w:t>　</w:t>
            </w:r>
          </w:p>
        </w:tc>
      </w:tr>
      <w:tr w14:paraId="2B735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206515A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hint="eastAsia" w:ascii="宋体" w:hAnsi="宋体" w:cs="宋体"/>
                <w:kern w:val="0"/>
                <w:sz w:val="20"/>
                <w:szCs w:val="20"/>
                <w:highlight w:val="none"/>
              </w:rPr>
              <w:t>18</w:t>
            </w:r>
          </w:p>
        </w:tc>
        <w:tc>
          <w:tcPr>
            <w:tcW w:w="1240" w:type="dxa"/>
            <w:vMerge w:val="continue"/>
            <w:noWrap w:val="0"/>
            <w:vAlign w:val="center"/>
          </w:tcPr>
          <w:p w14:paraId="14D902F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647" w:type="dxa"/>
            <w:vMerge w:val="continue"/>
            <w:noWrap w:val="0"/>
            <w:vAlign w:val="center"/>
          </w:tcPr>
          <w:p w14:paraId="70D376D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960" w:type="dxa"/>
            <w:noWrap w:val="0"/>
            <w:vAlign w:val="center"/>
          </w:tcPr>
          <w:p w14:paraId="3565403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叉烧酥</w:t>
            </w:r>
          </w:p>
        </w:tc>
        <w:tc>
          <w:tcPr>
            <w:tcW w:w="1256" w:type="dxa"/>
            <w:noWrap w:val="0"/>
            <w:vAlign w:val="center"/>
          </w:tcPr>
          <w:p w14:paraId="155E941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180g</w:t>
            </w:r>
          </w:p>
        </w:tc>
        <w:tc>
          <w:tcPr>
            <w:tcW w:w="1718" w:type="dxa"/>
            <w:noWrap w:val="0"/>
            <w:vAlign w:val="center"/>
          </w:tcPr>
          <w:p w14:paraId="104A0DC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2</w:t>
            </w:r>
            <w:r>
              <w:rPr>
                <w:rFonts w:hint="eastAsia" w:ascii="宋体" w:hAnsi="宋体" w:cs="宋体"/>
                <w:color w:val="000000"/>
                <w:kern w:val="0"/>
                <w:sz w:val="20"/>
                <w:szCs w:val="20"/>
                <w:highlight w:val="none"/>
              </w:rPr>
              <w:t>　</w:t>
            </w:r>
          </w:p>
        </w:tc>
      </w:tr>
      <w:tr w14:paraId="32B2F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3B6BB3C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hint="eastAsia" w:ascii="宋体" w:hAnsi="宋体" w:cs="宋体"/>
                <w:kern w:val="0"/>
                <w:sz w:val="20"/>
                <w:szCs w:val="20"/>
                <w:highlight w:val="none"/>
              </w:rPr>
              <w:t>19</w:t>
            </w:r>
          </w:p>
        </w:tc>
        <w:tc>
          <w:tcPr>
            <w:tcW w:w="1240" w:type="dxa"/>
            <w:vMerge w:val="continue"/>
            <w:noWrap w:val="0"/>
            <w:vAlign w:val="center"/>
          </w:tcPr>
          <w:p w14:paraId="0F7328E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647" w:type="dxa"/>
            <w:vMerge w:val="continue"/>
            <w:noWrap w:val="0"/>
            <w:vAlign w:val="center"/>
          </w:tcPr>
          <w:p w14:paraId="622381B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960" w:type="dxa"/>
            <w:noWrap w:val="0"/>
            <w:vAlign w:val="center"/>
          </w:tcPr>
          <w:p w14:paraId="5FD4D9D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茶叶蛋</w:t>
            </w:r>
          </w:p>
        </w:tc>
        <w:tc>
          <w:tcPr>
            <w:tcW w:w="1256" w:type="dxa"/>
            <w:noWrap w:val="0"/>
            <w:vAlign w:val="center"/>
          </w:tcPr>
          <w:p w14:paraId="0347617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100g</w:t>
            </w:r>
          </w:p>
        </w:tc>
        <w:tc>
          <w:tcPr>
            <w:tcW w:w="1718" w:type="dxa"/>
            <w:noWrap w:val="0"/>
            <w:vAlign w:val="center"/>
          </w:tcPr>
          <w:p w14:paraId="4C24E2B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2</w:t>
            </w:r>
            <w:r>
              <w:rPr>
                <w:rFonts w:hint="eastAsia" w:ascii="宋体" w:hAnsi="宋体" w:cs="宋体"/>
                <w:color w:val="000000"/>
                <w:kern w:val="0"/>
                <w:sz w:val="20"/>
                <w:szCs w:val="20"/>
                <w:highlight w:val="none"/>
              </w:rPr>
              <w:t>　</w:t>
            </w:r>
          </w:p>
        </w:tc>
      </w:tr>
      <w:tr w14:paraId="6DEEF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464E45A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hint="eastAsia" w:ascii="宋体" w:hAnsi="宋体" w:cs="宋体"/>
                <w:kern w:val="0"/>
                <w:sz w:val="20"/>
                <w:szCs w:val="20"/>
                <w:highlight w:val="none"/>
              </w:rPr>
              <w:t>2</w:t>
            </w:r>
            <w:r>
              <w:rPr>
                <w:rFonts w:ascii="宋体" w:hAnsi="宋体" w:cs="宋体"/>
                <w:kern w:val="0"/>
                <w:sz w:val="20"/>
                <w:szCs w:val="20"/>
                <w:highlight w:val="none"/>
              </w:rPr>
              <w:t>0</w:t>
            </w:r>
          </w:p>
        </w:tc>
        <w:tc>
          <w:tcPr>
            <w:tcW w:w="1240" w:type="dxa"/>
            <w:vMerge w:val="continue"/>
            <w:noWrap w:val="0"/>
            <w:vAlign w:val="center"/>
          </w:tcPr>
          <w:p w14:paraId="1A6032B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647" w:type="dxa"/>
            <w:vMerge w:val="continue"/>
            <w:noWrap w:val="0"/>
            <w:vAlign w:val="center"/>
          </w:tcPr>
          <w:p w14:paraId="4ABC12D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960" w:type="dxa"/>
            <w:noWrap w:val="0"/>
            <w:vAlign w:val="center"/>
          </w:tcPr>
          <w:p w14:paraId="65FF8BF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葱油饼</w:t>
            </w:r>
          </w:p>
        </w:tc>
        <w:tc>
          <w:tcPr>
            <w:tcW w:w="1256" w:type="dxa"/>
            <w:noWrap w:val="0"/>
            <w:vAlign w:val="center"/>
          </w:tcPr>
          <w:p w14:paraId="78DE29D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w:t>
            </w:r>
            <w:r>
              <w:rPr>
                <w:rFonts w:ascii="宋体" w:hAnsi="宋体" w:cs="宋体"/>
                <w:color w:val="000000"/>
                <w:kern w:val="0"/>
                <w:sz w:val="20"/>
                <w:szCs w:val="20"/>
                <w:highlight w:val="none"/>
              </w:rPr>
              <w:t>50g</w:t>
            </w:r>
          </w:p>
        </w:tc>
        <w:tc>
          <w:tcPr>
            <w:tcW w:w="1718" w:type="dxa"/>
            <w:noWrap w:val="0"/>
            <w:vAlign w:val="center"/>
          </w:tcPr>
          <w:p w14:paraId="330C53A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3</w:t>
            </w:r>
          </w:p>
        </w:tc>
      </w:tr>
      <w:tr w14:paraId="180BB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29B469D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hint="eastAsia" w:ascii="宋体" w:hAnsi="宋体" w:cs="宋体"/>
                <w:kern w:val="0"/>
                <w:sz w:val="20"/>
                <w:szCs w:val="20"/>
                <w:highlight w:val="none"/>
              </w:rPr>
              <w:t>2</w:t>
            </w:r>
            <w:r>
              <w:rPr>
                <w:rFonts w:ascii="宋体" w:hAnsi="宋体" w:cs="宋体"/>
                <w:kern w:val="0"/>
                <w:sz w:val="20"/>
                <w:szCs w:val="20"/>
                <w:highlight w:val="none"/>
              </w:rPr>
              <w:t>1</w:t>
            </w:r>
          </w:p>
        </w:tc>
        <w:tc>
          <w:tcPr>
            <w:tcW w:w="1240" w:type="dxa"/>
            <w:vMerge w:val="continue"/>
            <w:noWrap w:val="0"/>
            <w:vAlign w:val="center"/>
          </w:tcPr>
          <w:p w14:paraId="117041F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647" w:type="dxa"/>
            <w:vMerge w:val="continue"/>
            <w:noWrap w:val="0"/>
            <w:vAlign w:val="center"/>
          </w:tcPr>
          <w:p w14:paraId="6609C57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960" w:type="dxa"/>
            <w:noWrap w:val="0"/>
            <w:vAlign w:val="center"/>
          </w:tcPr>
          <w:p w14:paraId="4B06186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鸡蛋饼</w:t>
            </w:r>
          </w:p>
        </w:tc>
        <w:tc>
          <w:tcPr>
            <w:tcW w:w="1256" w:type="dxa"/>
            <w:noWrap w:val="0"/>
            <w:vAlign w:val="center"/>
          </w:tcPr>
          <w:p w14:paraId="0FAD477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w:t>
            </w:r>
            <w:r>
              <w:rPr>
                <w:rFonts w:ascii="宋体" w:hAnsi="宋体" w:cs="宋体"/>
                <w:color w:val="000000"/>
                <w:kern w:val="0"/>
                <w:sz w:val="20"/>
                <w:szCs w:val="20"/>
                <w:highlight w:val="none"/>
              </w:rPr>
              <w:t>50g</w:t>
            </w:r>
          </w:p>
        </w:tc>
        <w:tc>
          <w:tcPr>
            <w:tcW w:w="1718" w:type="dxa"/>
            <w:noWrap w:val="0"/>
            <w:vAlign w:val="center"/>
          </w:tcPr>
          <w:p w14:paraId="30B46C8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3</w:t>
            </w:r>
          </w:p>
        </w:tc>
      </w:tr>
      <w:tr w14:paraId="573E8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45B3781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hint="eastAsia" w:ascii="宋体" w:hAnsi="宋体" w:cs="宋体"/>
                <w:kern w:val="0"/>
                <w:sz w:val="20"/>
                <w:szCs w:val="20"/>
                <w:highlight w:val="none"/>
              </w:rPr>
              <w:t>2</w:t>
            </w:r>
            <w:r>
              <w:rPr>
                <w:rFonts w:ascii="宋体" w:hAnsi="宋体" w:cs="宋体"/>
                <w:kern w:val="0"/>
                <w:sz w:val="20"/>
                <w:szCs w:val="20"/>
                <w:highlight w:val="none"/>
              </w:rPr>
              <w:t>2</w:t>
            </w:r>
          </w:p>
        </w:tc>
        <w:tc>
          <w:tcPr>
            <w:tcW w:w="1240" w:type="dxa"/>
            <w:vMerge w:val="continue"/>
            <w:noWrap w:val="0"/>
            <w:vAlign w:val="center"/>
          </w:tcPr>
          <w:p w14:paraId="7110607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647" w:type="dxa"/>
            <w:vMerge w:val="continue"/>
            <w:noWrap w:val="0"/>
            <w:vAlign w:val="center"/>
          </w:tcPr>
          <w:p w14:paraId="6B3A005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p>
        </w:tc>
        <w:tc>
          <w:tcPr>
            <w:tcW w:w="1960" w:type="dxa"/>
            <w:noWrap w:val="0"/>
            <w:vAlign w:val="center"/>
          </w:tcPr>
          <w:p w14:paraId="4B32BF3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粗粮</w:t>
            </w:r>
          </w:p>
        </w:tc>
        <w:tc>
          <w:tcPr>
            <w:tcW w:w="1256" w:type="dxa"/>
            <w:noWrap w:val="0"/>
            <w:vAlign w:val="center"/>
          </w:tcPr>
          <w:p w14:paraId="36B1ADD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w:t>
            </w:r>
            <w:r>
              <w:rPr>
                <w:rFonts w:ascii="宋体" w:hAnsi="宋体" w:cs="宋体"/>
                <w:color w:val="000000"/>
                <w:kern w:val="0"/>
                <w:sz w:val="20"/>
                <w:szCs w:val="20"/>
                <w:highlight w:val="none"/>
              </w:rPr>
              <w:t>50g</w:t>
            </w:r>
          </w:p>
        </w:tc>
        <w:tc>
          <w:tcPr>
            <w:tcW w:w="1718" w:type="dxa"/>
            <w:noWrap w:val="0"/>
            <w:vAlign w:val="center"/>
          </w:tcPr>
          <w:p w14:paraId="58BCE29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2</w:t>
            </w:r>
          </w:p>
        </w:tc>
      </w:tr>
      <w:tr w14:paraId="60235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6E41CB4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hint="eastAsia" w:ascii="宋体" w:hAnsi="宋体" w:cs="宋体"/>
                <w:kern w:val="0"/>
                <w:sz w:val="20"/>
                <w:szCs w:val="20"/>
                <w:highlight w:val="none"/>
              </w:rPr>
              <w:t>2</w:t>
            </w:r>
            <w:r>
              <w:rPr>
                <w:rFonts w:ascii="宋体" w:hAnsi="宋体" w:cs="宋体"/>
                <w:kern w:val="0"/>
                <w:sz w:val="20"/>
                <w:szCs w:val="20"/>
                <w:highlight w:val="none"/>
              </w:rPr>
              <w:t>3</w:t>
            </w:r>
          </w:p>
        </w:tc>
        <w:tc>
          <w:tcPr>
            <w:tcW w:w="1240" w:type="dxa"/>
            <w:vMerge w:val="continue"/>
            <w:noWrap w:val="0"/>
            <w:vAlign w:val="center"/>
          </w:tcPr>
          <w:p w14:paraId="6A882ED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647" w:type="dxa"/>
            <w:noWrap w:val="0"/>
            <w:vAlign w:val="center"/>
          </w:tcPr>
          <w:p w14:paraId="3425F21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hint="eastAsia" w:ascii="宋体" w:hAnsi="宋体" w:cs="宋体"/>
                <w:kern w:val="0"/>
                <w:sz w:val="20"/>
                <w:szCs w:val="20"/>
                <w:highlight w:val="none"/>
              </w:rPr>
              <w:t>面</w:t>
            </w:r>
          </w:p>
        </w:tc>
        <w:tc>
          <w:tcPr>
            <w:tcW w:w="1960" w:type="dxa"/>
            <w:noWrap w:val="0"/>
            <w:vAlign w:val="center"/>
          </w:tcPr>
          <w:p w14:paraId="54683F8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汤粉面</w:t>
            </w:r>
          </w:p>
        </w:tc>
        <w:tc>
          <w:tcPr>
            <w:tcW w:w="1256" w:type="dxa"/>
            <w:noWrap w:val="0"/>
            <w:vAlign w:val="center"/>
          </w:tcPr>
          <w:p w14:paraId="7B60F49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350g</w:t>
            </w:r>
          </w:p>
        </w:tc>
        <w:tc>
          <w:tcPr>
            <w:tcW w:w="1718" w:type="dxa"/>
            <w:noWrap w:val="0"/>
            <w:vAlign w:val="center"/>
          </w:tcPr>
          <w:p w14:paraId="6735FB7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6-8</w:t>
            </w:r>
            <w:r>
              <w:rPr>
                <w:rFonts w:hint="eastAsia" w:ascii="宋体" w:hAnsi="宋体" w:cs="宋体"/>
                <w:color w:val="000000"/>
                <w:kern w:val="0"/>
                <w:sz w:val="20"/>
                <w:szCs w:val="20"/>
                <w:highlight w:val="none"/>
              </w:rPr>
              <w:t>　</w:t>
            </w:r>
          </w:p>
        </w:tc>
      </w:tr>
      <w:tr w14:paraId="10475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63C7482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kern w:val="0"/>
                <w:sz w:val="20"/>
                <w:szCs w:val="20"/>
                <w:highlight w:val="none"/>
                <w:lang w:val="en-US" w:eastAsia="zh-CN"/>
              </w:rPr>
            </w:pPr>
            <w:r>
              <w:rPr>
                <w:rFonts w:hint="eastAsia" w:ascii="宋体" w:hAnsi="宋体" w:cs="宋体"/>
                <w:kern w:val="0"/>
                <w:sz w:val="20"/>
                <w:szCs w:val="20"/>
                <w:highlight w:val="none"/>
                <w:lang w:val="en-US" w:eastAsia="zh-CN"/>
              </w:rPr>
              <w:t>24</w:t>
            </w:r>
          </w:p>
        </w:tc>
        <w:tc>
          <w:tcPr>
            <w:tcW w:w="1240" w:type="dxa"/>
            <w:vMerge w:val="restart"/>
            <w:noWrap/>
            <w:vAlign w:val="center"/>
          </w:tcPr>
          <w:p w14:paraId="425AFAF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hint="eastAsia" w:ascii="宋体" w:hAnsi="宋体" w:cs="宋体"/>
                <w:kern w:val="0"/>
                <w:sz w:val="20"/>
                <w:szCs w:val="20"/>
                <w:highlight w:val="none"/>
              </w:rPr>
              <w:t>午</w:t>
            </w:r>
            <w:r>
              <w:rPr>
                <w:rFonts w:hint="eastAsia" w:ascii="宋体" w:hAnsi="宋体" w:cs="宋体"/>
                <w:kern w:val="0"/>
                <w:sz w:val="20"/>
                <w:szCs w:val="20"/>
                <w:highlight w:val="none"/>
                <w:lang w:eastAsia="zh-CN"/>
              </w:rPr>
              <w:t>、</w:t>
            </w:r>
            <w:r>
              <w:rPr>
                <w:rFonts w:hint="eastAsia" w:ascii="宋体" w:hAnsi="宋体" w:cs="宋体"/>
                <w:kern w:val="0"/>
                <w:sz w:val="20"/>
                <w:szCs w:val="20"/>
                <w:highlight w:val="none"/>
              </w:rPr>
              <w:t>晚餐</w:t>
            </w:r>
          </w:p>
        </w:tc>
        <w:tc>
          <w:tcPr>
            <w:tcW w:w="1647" w:type="dxa"/>
            <w:vMerge w:val="restart"/>
            <w:noWrap w:val="0"/>
            <w:vAlign w:val="center"/>
          </w:tcPr>
          <w:p w14:paraId="25FEAD8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ascii="宋体" w:hAnsi="宋体" w:cs="宋体"/>
                <w:kern w:val="0"/>
                <w:sz w:val="20"/>
                <w:szCs w:val="20"/>
                <w:highlight w:val="none"/>
              </w:rPr>
              <w:t>全荤</w:t>
            </w:r>
          </w:p>
        </w:tc>
        <w:tc>
          <w:tcPr>
            <w:tcW w:w="1960" w:type="dxa"/>
            <w:noWrap w:val="0"/>
            <w:vAlign w:val="center"/>
          </w:tcPr>
          <w:p w14:paraId="5A924EB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ascii="宋体" w:hAnsi="宋体" w:cs="宋体"/>
                <w:color w:val="000000"/>
                <w:kern w:val="0"/>
                <w:sz w:val="20"/>
                <w:szCs w:val="20"/>
                <w:highlight w:val="none"/>
              </w:rPr>
              <w:t>牛羊类</w:t>
            </w:r>
          </w:p>
        </w:tc>
        <w:tc>
          <w:tcPr>
            <w:tcW w:w="1256" w:type="dxa"/>
            <w:noWrap w:val="0"/>
            <w:vAlign w:val="center"/>
          </w:tcPr>
          <w:p w14:paraId="562DABF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150g</w:t>
            </w:r>
          </w:p>
        </w:tc>
        <w:tc>
          <w:tcPr>
            <w:tcW w:w="1718" w:type="dxa"/>
            <w:noWrap w:val="0"/>
            <w:vAlign w:val="center"/>
          </w:tcPr>
          <w:p w14:paraId="45F99E4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12-16</w:t>
            </w:r>
            <w:r>
              <w:rPr>
                <w:rFonts w:hint="eastAsia" w:ascii="宋体" w:hAnsi="宋体" w:cs="宋体"/>
                <w:color w:val="000000"/>
                <w:kern w:val="0"/>
                <w:sz w:val="20"/>
                <w:szCs w:val="20"/>
                <w:highlight w:val="none"/>
              </w:rPr>
              <w:t>　</w:t>
            </w:r>
          </w:p>
        </w:tc>
      </w:tr>
      <w:tr w14:paraId="05AEC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0B55286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kern w:val="0"/>
                <w:sz w:val="20"/>
                <w:szCs w:val="20"/>
                <w:highlight w:val="none"/>
                <w:lang w:val="en-US" w:eastAsia="zh-CN"/>
              </w:rPr>
            </w:pPr>
            <w:r>
              <w:rPr>
                <w:rFonts w:hint="eastAsia" w:ascii="宋体" w:hAnsi="宋体" w:cs="宋体"/>
                <w:kern w:val="0"/>
                <w:sz w:val="20"/>
                <w:szCs w:val="20"/>
                <w:highlight w:val="none"/>
              </w:rPr>
              <w:t>2</w:t>
            </w:r>
            <w:r>
              <w:rPr>
                <w:rFonts w:hint="eastAsia" w:ascii="宋体" w:hAnsi="宋体" w:cs="宋体"/>
                <w:kern w:val="0"/>
                <w:sz w:val="20"/>
                <w:szCs w:val="20"/>
                <w:highlight w:val="none"/>
                <w:lang w:val="en-US" w:eastAsia="zh-CN"/>
              </w:rPr>
              <w:t>5</w:t>
            </w:r>
          </w:p>
        </w:tc>
        <w:tc>
          <w:tcPr>
            <w:tcW w:w="1240" w:type="dxa"/>
            <w:vMerge w:val="continue"/>
            <w:noWrap w:val="0"/>
            <w:vAlign w:val="center"/>
          </w:tcPr>
          <w:p w14:paraId="3F035AD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647" w:type="dxa"/>
            <w:vMerge w:val="continue"/>
            <w:noWrap w:val="0"/>
            <w:vAlign w:val="center"/>
          </w:tcPr>
          <w:p w14:paraId="67B41F4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960" w:type="dxa"/>
            <w:noWrap w:val="0"/>
            <w:vAlign w:val="center"/>
          </w:tcPr>
          <w:p w14:paraId="7754327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猪肉类</w:t>
            </w:r>
          </w:p>
        </w:tc>
        <w:tc>
          <w:tcPr>
            <w:tcW w:w="1256" w:type="dxa"/>
            <w:noWrap w:val="0"/>
            <w:vAlign w:val="center"/>
          </w:tcPr>
          <w:p w14:paraId="2E281AC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150g</w:t>
            </w:r>
          </w:p>
        </w:tc>
        <w:tc>
          <w:tcPr>
            <w:tcW w:w="1718" w:type="dxa"/>
            <w:noWrap w:val="0"/>
            <w:vAlign w:val="center"/>
          </w:tcPr>
          <w:p w14:paraId="1194237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10-12</w:t>
            </w:r>
          </w:p>
        </w:tc>
      </w:tr>
      <w:tr w14:paraId="26B78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38DA529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kern w:val="0"/>
                <w:sz w:val="20"/>
                <w:szCs w:val="20"/>
                <w:highlight w:val="none"/>
                <w:lang w:val="en-US" w:eastAsia="zh-CN"/>
              </w:rPr>
            </w:pPr>
            <w:r>
              <w:rPr>
                <w:rFonts w:hint="eastAsia" w:ascii="宋体" w:hAnsi="宋体" w:cs="宋体"/>
                <w:kern w:val="0"/>
                <w:sz w:val="20"/>
                <w:szCs w:val="20"/>
                <w:highlight w:val="none"/>
                <w:lang w:val="en-US" w:eastAsia="zh-CN"/>
              </w:rPr>
              <w:t>26</w:t>
            </w:r>
          </w:p>
        </w:tc>
        <w:tc>
          <w:tcPr>
            <w:tcW w:w="1240" w:type="dxa"/>
            <w:vMerge w:val="continue"/>
            <w:noWrap w:val="0"/>
            <w:vAlign w:val="center"/>
          </w:tcPr>
          <w:p w14:paraId="360C441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647" w:type="dxa"/>
            <w:vMerge w:val="continue"/>
            <w:noWrap w:val="0"/>
            <w:vAlign w:val="center"/>
          </w:tcPr>
          <w:p w14:paraId="4E6054E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960" w:type="dxa"/>
            <w:noWrap w:val="0"/>
            <w:vAlign w:val="center"/>
          </w:tcPr>
          <w:p w14:paraId="59782A3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禽类</w:t>
            </w:r>
          </w:p>
        </w:tc>
        <w:tc>
          <w:tcPr>
            <w:tcW w:w="1256" w:type="dxa"/>
            <w:noWrap w:val="0"/>
            <w:vAlign w:val="center"/>
          </w:tcPr>
          <w:p w14:paraId="3C400B2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150g</w:t>
            </w:r>
          </w:p>
        </w:tc>
        <w:tc>
          <w:tcPr>
            <w:tcW w:w="1718" w:type="dxa"/>
            <w:noWrap w:val="0"/>
            <w:vAlign w:val="center"/>
          </w:tcPr>
          <w:p w14:paraId="5D75F80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8-12</w:t>
            </w:r>
            <w:r>
              <w:rPr>
                <w:rFonts w:hint="eastAsia" w:ascii="宋体" w:hAnsi="宋体" w:cs="宋体"/>
                <w:color w:val="000000"/>
                <w:kern w:val="0"/>
                <w:sz w:val="20"/>
                <w:szCs w:val="20"/>
                <w:highlight w:val="none"/>
              </w:rPr>
              <w:t>　</w:t>
            </w:r>
          </w:p>
        </w:tc>
      </w:tr>
      <w:tr w14:paraId="5CDFE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75949DF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kern w:val="0"/>
                <w:sz w:val="20"/>
                <w:szCs w:val="20"/>
                <w:highlight w:val="none"/>
                <w:lang w:val="en-US" w:eastAsia="zh-CN"/>
              </w:rPr>
            </w:pPr>
            <w:r>
              <w:rPr>
                <w:rFonts w:hint="eastAsia" w:ascii="宋体" w:hAnsi="宋体" w:cs="宋体"/>
                <w:kern w:val="0"/>
                <w:sz w:val="20"/>
                <w:szCs w:val="20"/>
                <w:highlight w:val="none"/>
                <w:lang w:val="en-US" w:eastAsia="zh-CN"/>
              </w:rPr>
              <w:t>27</w:t>
            </w:r>
          </w:p>
        </w:tc>
        <w:tc>
          <w:tcPr>
            <w:tcW w:w="1240" w:type="dxa"/>
            <w:vMerge w:val="continue"/>
            <w:noWrap w:val="0"/>
            <w:vAlign w:val="center"/>
          </w:tcPr>
          <w:p w14:paraId="6CD4145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647" w:type="dxa"/>
            <w:vMerge w:val="continue"/>
            <w:noWrap w:val="0"/>
            <w:vAlign w:val="center"/>
          </w:tcPr>
          <w:p w14:paraId="775ECA4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960" w:type="dxa"/>
            <w:noWrap w:val="0"/>
            <w:vAlign w:val="center"/>
          </w:tcPr>
          <w:p w14:paraId="3C5F3DA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鱼类</w:t>
            </w:r>
          </w:p>
        </w:tc>
        <w:tc>
          <w:tcPr>
            <w:tcW w:w="1256" w:type="dxa"/>
            <w:noWrap w:val="0"/>
            <w:vAlign w:val="center"/>
          </w:tcPr>
          <w:p w14:paraId="28403B3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150g</w:t>
            </w:r>
          </w:p>
        </w:tc>
        <w:tc>
          <w:tcPr>
            <w:tcW w:w="1718" w:type="dxa"/>
            <w:noWrap w:val="0"/>
            <w:vAlign w:val="center"/>
          </w:tcPr>
          <w:p w14:paraId="49502AF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8-12</w:t>
            </w:r>
            <w:r>
              <w:rPr>
                <w:rFonts w:hint="eastAsia" w:ascii="宋体" w:hAnsi="宋体" w:cs="宋体"/>
                <w:color w:val="000000"/>
                <w:kern w:val="0"/>
                <w:sz w:val="20"/>
                <w:szCs w:val="20"/>
                <w:highlight w:val="none"/>
              </w:rPr>
              <w:t>　</w:t>
            </w:r>
          </w:p>
        </w:tc>
      </w:tr>
      <w:tr w14:paraId="2D5E6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2F6B201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kern w:val="0"/>
                <w:sz w:val="20"/>
                <w:szCs w:val="20"/>
                <w:highlight w:val="none"/>
                <w:lang w:val="en-US" w:eastAsia="zh-CN"/>
              </w:rPr>
            </w:pPr>
            <w:r>
              <w:rPr>
                <w:rFonts w:hint="eastAsia" w:ascii="宋体" w:hAnsi="宋体" w:cs="宋体"/>
                <w:kern w:val="0"/>
                <w:sz w:val="20"/>
                <w:szCs w:val="20"/>
                <w:highlight w:val="none"/>
                <w:lang w:val="en-US" w:eastAsia="zh-CN"/>
              </w:rPr>
              <w:t>28</w:t>
            </w:r>
          </w:p>
        </w:tc>
        <w:tc>
          <w:tcPr>
            <w:tcW w:w="1240" w:type="dxa"/>
            <w:vMerge w:val="continue"/>
            <w:noWrap w:val="0"/>
            <w:vAlign w:val="center"/>
          </w:tcPr>
          <w:p w14:paraId="72207F8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647" w:type="dxa"/>
            <w:vMerge w:val="continue"/>
            <w:noWrap w:val="0"/>
            <w:vAlign w:val="center"/>
          </w:tcPr>
          <w:p w14:paraId="04BD687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960" w:type="dxa"/>
            <w:noWrap w:val="0"/>
            <w:vAlign w:val="center"/>
          </w:tcPr>
          <w:p w14:paraId="0A4523F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海鲜类</w:t>
            </w:r>
          </w:p>
        </w:tc>
        <w:tc>
          <w:tcPr>
            <w:tcW w:w="1256" w:type="dxa"/>
            <w:noWrap w:val="0"/>
            <w:vAlign w:val="center"/>
          </w:tcPr>
          <w:p w14:paraId="409DF9A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150g</w:t>
            </w:r>
          </w:p>
        </w:tc>
        <w:tc>
          <w:tcPr>
            <w:tcW w:w="1718" w:type="dxa"/>
            <w:noWrap w:val="0"/>
            <w:vAlign w:val="center"/>
          </w:tcPr>
          <w:p w14:paraId="51C8F41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10-16</w:t>
            </w:r>
            <w:r>
              <w:rPr>
                <w:rFonts w:hint="eastAsia" w:ascii="宋体" w:hAnsi="宋体" w:cs="宋体"/>
                <w:color w:val="000000"/>
                <w:kern w:val="0"/>
                <w:sz w:val="20"/>
                <w:szCs w:val="20"/>
                <w:highlight w:val="none"/>
              </w:rPr>
              <w:t>　</w:t>
            </w:r>
          </w:p>
        </w:tc>
      </w:tr>
      <w:tr w14:paraId="4876F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0EEF33A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kern w:val="0"/>
                <w:sz w:val="20"/>
                <w:szCs w:val="20"/>
                <w:highlight w:val="none"/>
                <w:lang w:val="en-US" w:eastAsia="zh-CN"/>
              </w:rPr>
            </w:pPr>
            <w:r>
              <w:rPr>
                <w:rFonts w:hint="eastAsia" w:ascii="宋体" w:hAnsi="宋体" w:cs="宋体"/>
                <w:kern w:val="0"/>
                <w:sz w:val="20"/>
                <w:szCs w:val="20"/>
                <w:highlight w:val="none"/>
                <w:lang w:val="en-US" w:eastAsia="zh-CN"/>
              </w:rPr>
              <w:t>29</w:t>
            </w:r>
          </w:p>
        </w:tc>
        <w:tc>
          <w:tcPr>
            <w:tcW w:w="1240" w:type="dxa"/>
            <w:vMerge w:val="continue"/>
            <w:noWrap w:val="0"/>
            <w:vAlign w:val="center"/>
          </w:tcPr>
          <w:p w14:paraId="15F3EC5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647" w:type="dxa"/>
            <w:vMerge w:val="restart"/>
            <w:noWrap/>
            <w:vAlign w:val="center"/>
          </w:tcPr>
          <w:p w14:paraId="4C2379D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hint="eastAsia" w:ascii="宋体" w:hAnsi="宋体" w:cs="宋体"/>
                <w:kern w:val="0"/>
                <w:sz w:val="20"/>
                <w:szCs w:val="20"/>
                <w:highlight w:val="none"/>
              </w:rPr>
              <w:t>半荤</w:t>
            </w:r>
          </w:p>
        </w:tc>
        <w:tc>
          <w:tcPr>
            <w:tcW w:w="1960" w:type="dxa"/>
            <w:noWrap w:val="0"/>
            <w:vAlign w:val="center"/>
          </w:tcPr>
          <w:p w14:paraId="13CBF0D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ascii="宋体" w:hAnsi="宋体" w:cs="宋体"/>
                <w:color w:val="000000"/>
                <w:kern w:val="0"/>
                <w:sz w:val="20"/>
                <w:szCs w:val="20"/>
                <w:highlight w:val="none"/>
              </w:rPr>
              <w:t>牛羊类</w:t>
            </w:r>
          </w:p>
        </w:tc>
        <w:tc>
          <w:tcPr>
            <w:tcW w:w="1256" w:type="dxa"/>
            <w:noWrap w:val="0"/>
            <w:vAlign w:val="center"/>
          </w:tcPr>
          <w:p w14:paraId="25F7248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150g</w:t>
            </w:r>
          </w:p>
        </w:tc>
        <w:tc>
          <w:tcPr>
            <w:tcW w:w="1718" w:type="dxa"/>
            <w:noWrap w:val="0"/>
            <w:vAlign w:val="center"/>
          </w:tcPr>
          <w:p w14:paraId="26874C9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8-12</w:t>
            </w:r>
            <w:r>
              <w:rPr>
                <w:rFonts w:hint="eastAsia" w:ascii="宋体" w:hAnsi="宋体" w:cs="宋体"/>
                <w:color w:val="000000"/>
                <w:kern w:val="0"/>
                <w:sz w:val="20"/>
                <w:szCs w:val="20"/>
                <w:highlight w:val="none"/>
              </w:rPr>
              <w:t>　</w:t>
            </w:r>
          </w:p>
        </w:tc>
      </w:tr>
      <w:tr w14:paraId="53D6C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1960AD9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kern w:val="0"/>
                <w:sz w:val="20"/>
                <w:szCs w:val="20"/>
                <w:highlight w:val="none"/>
                <w:lang w:val="en-US" w:eastAsia="zh-CN"/>
              </w:rPr>
            </w:pPr>
            <w:r>
              <w:rPr>
                <w:rFonts w:hint="eastAsia" w:ascii="宋体" w:hAnsi="宋体" w:cs="宋体"/>
                <w:kern w:val="0"/>
                <w:sz w:val="20"/>
                <w:szCs w:val="20"/>
                <w:highlight w:val="none"/>
                <w:lang w:val="en-US" w:eastAsia="zh-CN"/>
              </w:rPr>
              <w:t>30</w:t>
            </w:r>
          </w:p>
        </w:tc>
        <w:tc>
          <w:tcPr>
            <w:tcW w:w="1240" w:type="dxa"/>
            <w:vMerge w:val="continue"/>
            <w:noWrap w:val="0"/>
            <w:vAlign w:val="center"/>
          </w:tcPr>
          <w:p w14:paraId="42D1A52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647" w:type="dxa"/>
            <w:vMerge w:val="continue"/>
            <w:noWrap w:val="0"/>
            <w:vAlign w:val="center"/>
          </w:tcPr>
          <w:p w14:paraId="7F11CE0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960" w:type="dxa"/>
            <w:noWrap w:val="0"/>
            <w:vAlign w:val="center"/>
          </w:tcPr>
          <w:p w14:paraId="5A5E848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猪肉类</w:t>
            </w:r>
          </w:p>
        </w:tc>
        <w:tc>
          <w:tcPr>
            <w:tcW w:w="1256" w:type="dxa"/>
            <w:noWrap w:val="0"/>
            <w:vAlign w:val="center"/>
          </w:tcPr>
          <w:p w14:paraId="7E9B53D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150g</w:t>
            </w:r>
          </w:p>
        </w:tc>
        <w:tc>
          <w:tcPr>
            <w:tcW w:w="1718" w:type="dxa"/>
            <w:noWrap w:val="0"/>
            <w:vAlign w:val="center"/>
          </w:tcPr>
          <w:p w14:paraId="7436A96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5-8</w:t>
            </w:r>
            <w:r>
              <w:rPr>
                <w:rFonts w:hint="eastAsia" w:ascii="宋体" w:hAnsi="宋体" w:cs="宋体"/>
                <w:color w:val="000000"/>
                <w:kern w:val="0"/>
                <w:sz w:val="20"/>
                <w:szCs w:val="20"/>
                <w:highlight w:val="none"/>
              </w:rPr>
              <w:t>　</w:t>
            </w:r>
          </w:p>
        </w:tc>
      </w:tr>
      <w:tr w14:paraId="47B14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2FF3F79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kern w:val="0"/>
                <w:sz w:val="20"/>
                <w:szCs w:val="20"/>
                <w:highlight w:val="none"/>
                <w:lang w:val="en-US" w:eastAsia="zh-CN"/>
              </w:rPr>
            </w:pPr>
            <w:r>
              <w:rPr>
                <w:rFonts w:hint="eastAsia" w:ascii="宋体" w:hAnsi="宋体" w:cs="宋体"/>
                <w:kern w:val="0"/>
                <w:sz w:val="20"/>
                <w:szCs w:val="20"/>
                <w:highlight w:val="none"/>
                <w:lang w:val="en-US" w:eastAsia="zh-CN"/>
              </w:rPr>
              <w:t>31</w:t>
            </w:r>
          </w:p>
        </w:tc>
        <w:tc>
          <w:tcPr>
            <w:tcW w:w="1240" w:type="dxa"/>
            <w:vMerge w:val="continue"/>
            <w:noWrap w:val="0"/>
            <w:vAlign w:val="center"/>
          </w:tcPr>
          <w:p w14:paraId="554DC36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647" w:type="dxa"/>
            <w:vMerge w:val="continue"/>
            <w:noWrap w:val="0"/>
            <w:vAlign w:val="center"/>
          </w:tcPr>
          <w:p w14:paraId="7B799B7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960" w:type="dxa"/>
            <w:noWrap w:val="0"/>
            <w:vAlign w:val="center"/>
          </w:tcPr>
          <w:p w14:paraId="2678E2D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禽类</w:t>
            </w:r>
          </w:p>
        </w:tc>
        <w:tc>
          <w:tcPr>
            <w:tcW w:w="1256" w:type="dxa"/>
            <w:noWrap w:val="0"/>
            <w:vAlign w:val="center"/>
          </w:tcPr>
          <w:p w14:paraId="4090779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150g</w:t>
            </w:r>
          </w:p>
        </w:tc>
        <w:tc>
          <w:tcPr>
            <w:tcW w:w="1718" w:type="dxa"/>
            <w:noWrap w:val="0"/>
            <w:vAlign w:val="center"/>
          </w:tcPr>
          <w:p w14:paraId="5CE1D23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5-8</w:t>
            </w:r>
            <w:r>
              <w:rPr>
                <w:rFonts w:hint="eastAsia" w:ascii="宋体" w:hAnsi="宋体" w:cs="宋体"/>
                <w:color w:val="000000"/>
                <w:kern w:val="0"/>
                <w:sz w:val="20"/>
                <w:szCs w:val="20"/>
                <w:highlight w:val="none"/>
              </w:rPr>
              <w:t>　</w:t>
            </w:r>
          </w:p>
        </w:tc>
      </w:tr>
      <w:tr w14:paraId="7122C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6996757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kern w:val="0"/>
                <w:sz w:val="20"/>
                <w:szCs w:val="20"/>
                <w:highlight w:val="none"/>
                <w:lang w:val="en-US" w:eastAsia="zh-CN"/>
              </w:rPr>
            </w:pPr>
            <w:r>
              <w:rPr>
                <w:rFonts w:hint="eastAsia" w:ascii="宋体" w:hAnsi="宋体" w:cs="宋体"/>
                <w:kern w:val="0"/>
                <w:sz w:val="20"/>
                <w:szCs w:val="20"/>
                <w:highlight w:val="none"/>
                <w:lang w:val="en-US" w:eastAsia="zh-CN"/>
              </w:rPr>
              <w:t>32</w:t>
            </w:r>
          </w:p>
        </w:tc>
        <w:tc>
          <w:tcPr>
            <w:tcW w:w="1240" w:type="dxa"/>
            <w:vMerge w:val="continue"/>
            <w:noWrap w:val="0"/>
            <w:vAlign w:val="center"/>
          </w:tcPr>
          <w:p w14:paraId="3053F18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647" w:type="dxa"/>
            <w:noWrap w:val="0"/>
            <w:vAlign w:val="center"/>
          </w:tcPr>
          <w:p w14:paraId="522CA13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hint="eastAsia" w:ascii="宋体" w:hAnsi="宋体" w:cs="宋体"/>
                <w:kern w:val="0"/>
                <w:sz w:val="20"/>
                <w:szCs w:val="20"/>
                <w:highlight w:val="none"/>
              </w:rPr>
              <w:t>素菜</w:t>
            </w:r>
          </w:p>
        </w:tc>
        <w:tc>
          <w:tcPr>
            <w:tcW w:w="1960" w:type="dxa"/>
            <w:noWrap w:val="0"/>
            <w:vAlign w:val="center"/>
          </w:tcPr>
          <w:p w14:paraId="78F51EE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p>
        </w:tc>
        <w:tc>
          <w:tcPr>
            <w:tcW w:w="1256" w:type="dxa"/>
            <w:noWrap w:val="0"/>
            <w:vAlign w:val="center"/>
          </w:tcPr>
          <w:p w14:paraId="4612EAC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ascii="宋体" w:hAnsi="宋体" w:cs="宋体"/>
                <w:color w:val="000000"/>
                <w:kern w:val="0"/>
                <w:sz w:val="20"/>
                <w:szCs w:val="20"/>
                <w:highlight w:val="none"/>
              </w:rPr>
              <w:t>1</w:t>
            </w:r>
            <w:r>
              <w:rPr>
                <w:rFonts w:hint="eastAsia" w:ascii="宋体" w:hAnsi="宋体" w:cs="宋体"/>
                <w:color w:val="000000"/>
                <w:kern w:val="0"/>
                <w:sz w:val="20"/>
                <w:szCs w:val="20"/>
                <w:highlight w:val="none"/>
              </w:rPr>
              <w:t>50g</w:t>
            </w:r>
          </w:p>
        </w:tc>
        <w:tc>
          <w:tcPr>
            <w:tcW w:w="1718" w:type="dxa"/>
            <w:noWrap w:val="0"/>
            <w:vAlign w:val="center"/>
          </w:tcPr>
          <w:p w14:paraId="5987BA4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4</w:t>
            </w:r>
            <w:r>
              <w:rPr>
                <w:rFonts w:hint="eastAsia" w:ascii="宋体" w:hAnsi="宋体" w:cs="宋体"/>
                <w:color w:val="000000"/>
                <w:kern w:val="0"/>
                <w:sz w:val="20"/>
                <w:szCs w:val="20"/>
                <w:highlight w:val="none"/>
              </w:rPr>
              <w:t>　</w:t>
            </w:r>
          </w:p>
        </w:tc>
      </w:tr>
      <w:tr w14:paraId="63768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140162C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kern w:val="0"/>
                <w:sz w:val="20"/>
                <w:szCs w:val="20"/>
                <w:highlight w:val="none"/>
                <w:lang w:val="en-US" w:eastAsia="zh-CN"/>
              </w:rPr>
            </w:pPr>
            <w:r>
              <w:rPr>
                <w:rFonts w:hint="eastAsia" w:ascii="宋体" w:hAnsi="宋体" w:cs="宋体"/>
                <w:kern w:val="0"/>
                <w:sz w:val="20"/>
                <w:szCs w:val="20"/>
                <w:highlight w:val="none"/>
                <w:lang w:val="en-US" w:eastAsia="zh-CN"/>
              </w:rPr>
              <w:t>33</w:t>
            </w:r>
          </w:p>
        </w:tc>
        <w:tc>
          <w:tcPr>
            <w:tcW w:w="1240" w:type="dxa"/>
            <w:vMerge w:val="continue"/>
            <w:noWrap w:val="0"/>
            <w:vAlign w:val="center"/>
          </w:tcPr>
          <w:p w14:paraId="3CE898B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647" w:type="dxa"/>
            <w:noWrap w:val="0"/>
            <w:vAlign w:val="center"/>
          </w:tcPr>
          <w:p w14:paraId="4B472F0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hint="eastAsia" w:ascii="宋体" w:hAnsi="宋体" w:cs="宋体"/>
                <w:kern w:val="0"/>
                <w:sz w:val="20"/>
                <w:szCs w:val="20"/>
                <w:highlight w:val="none"/>
              </w:rPr>
              <w:t>青菜</w:t>
            </w:r>
          </w:p>
        </w:tc>
        <w:tc>
          <w:tcPr>
            <w:tcW w:w="1960" w:type="dxa"/>
            <w:noWrap w:val="0"/>
            <w:vAlign w:val="center"/>
          </w:tcPr>
          <w:p w14:paraId="16C7DBF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p>
        </w:tc>
        <w:tc>
          <w:tcPr>
            <w:tcW w:w="1256" w:type="dxa"/>
            <w:noWrap w:val="0"/>
            <w:vAlign w:val="center"/>
          </w:tcPr>
          <w:p w14:paraId="6ED22BE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w:t>
            </w:r>
            <w:r>
              <w:rPr>
                <w:rFonts w:ascii="宋体" w:hAnsi="宋体" w:cs="宋体"/>
                <w:color w:val="000000"/>
                <w:kern w:val="0"/>
                <w:sz w:val="20"/>
                <w:szCs w:val="20"/>
                <w:highlight w:val="none"/>
              </w:rPr>
              <w:t>50g</w:t>
            </w:r>
          </w:p>
        </w:tc>
        <w:tc>
          <w:tcPr>
            <w:tcW w:w="1718" w:type="dxa"/>
            <w:noWrap w:val="0"/>
            <w:vAlign w:val="center"/>
          </w:tcPr>
          <w:p w14:paraId="69AC347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3</w:t>
            </w:r>
          </w:p>
        </w:tc>
      </w:tr>
      <w:tr w14:paraId="66A72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36FBAD5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kern w:val="0"/>
                <w:sz w:val="20"/>
                <w:szCs w:val="20"/>
                <w:highlight w:val="none"/>
                <w:lang w:val="en-US" w:eastAsia="zh-CN"/>
              </w:rPr>
            </w:pPr>
            <w:r>
              <w:rPr>
                <w:rFonts w:hint="eastAsia" w:ascii="宋体" w:hAnsi="宋体" w:cs="宋体"/>
                <w:kern w:val="0"/>
                <w:sz w:val="20"/>
                <w:szCs w:val="20"/>
                <w:highlight w:val="none"/>
                <w:lang w:val="en-US" w:eastAsia="zh-CN"/>
              </w:rPr>
              <w:t>34</w:t>
            </w:r>
          </w:p>
        </w:tc>
        <w:tc>
          <w:tcPr>
            <w:tcW w:w="1240" w:type="dxa"/>
            <w:vMerge w:val="continue"/>
            <w:noWrap w:val="0"/>
            <w:vAlign w:val="center"/>
          </w:tcPr>
          <w:p w14:paraId="472FE74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647" w:type="dxa"/>
            <w:noWrap w:val="0"/>
            <w:vAlign w:val="center"/>
          </w:tcPr>
          <w:p w14:paraId="0E3AD3A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hint="eastAsia" w:ascii="宋体" w:hAnsi="宋体" w:cs="宋体"/>
                <w:kern w:val="0"/>
                <w:sz w:val="20"/>
                <w:szCs w:val="20"/>
                <w:highlight w:val="none"/>
              </w:rPr>
              <w:t>主食</w:t>
            </w:r>
          </w:p>
        </w:tc>
        <w:tc>
          <w:tcPr>
            <w:tcW w:w="1960" w:type="dxa"/>
            <w:noWrap w:val="0"/>
            <w:vAlign w:val="center"/>
          </w:tcPr>
          <w:p w14:paraId="3B4E5F7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p>
        </w:tc>
        <w:tc>
          <w:tcPr>
            <w:tcW w:w="1256" w:type="dxa"/>
            <w:noWrap w:val="0"/>
            <w:vAlign w:val="center"/>
          </w:tcPr>
          <w:p w14:paraId="7678218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w:t>
            </w:r>
            <w:r>
              <w:rPr>
                <w:rFonts w:ascii="宋体" w:hAnsi="宋体" w:cs="宋体"/>
                <w:color w:val="000000"/>
                <w:kern w:val="0"/>
                <w:sz w:val="20"/>
                <w:szCs w:val="20"/>
                <w:highlight w:val="none"/>
              </w:rPr>
              <w:t>00g</w:t>
            </w:r>
          </w:p>
        </w:tc>
        <w:tc>
          <w:tcPr>
            <w:tcW w:w="1718" w:type="dxa"/>
            <w:noWrap w:val="0"/>
            <w:vAlign w:val="center"/>
          </w:tcPr>
          <w:p w14:paraId="42796B9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1</w:t>
            </w:r>
          </w:p>
        </w:tc>
      </w:tr>
      <w:tr w14:paraId="0D32D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5E1F975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kern w:val="0"/>
                <w:sz w:val="20"/>
                <w:szCs w:val="20"/>
                <w:highlight w:val="none"/>
                <w:lang w:val="en-US" w:eastAsia="zh-CN"/>
              </w:rPr>
            </w:pPr>
            <w:r>
              <w:rPr>
                <w:rFonts w:hint="eastAsia" w:ascii="宋体" w:hAnsi="宋体" w:cs="宋体"/>
                <w:kern w:val="0"/>
                <w:sz w:val="20"/>
                <w:szCs w:val="20"/>
                <w:highlight w:val="none"/>
                <w:lang w:val="en-US" w:eastAsia="zh-CN"/>
              </w:rPr>
              <w:t>35</w:t>
            </w:r>
          </w:p>
        </w:tc>
        <w:tc>
          <w:tcPr>
            <w:tcW w:w="1240" w:type="dxa"/>
            <w:vMerge w:val="continue"/>
            <w:noWrap w:val="0"/>
            <w:vAlign w:val="center"/>
          </w:tcPr>
          <w:p w14:paraId="3DBD8FE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647" w:type="dxa"/>
            <w:noWrap w:val="0"/>
            <w:vAlign w:val="center"/>
          </w:tcPr>
          <w:p w14:paraId="62CFAC2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hint="eastAsia" w:ascii="宋体" w:hAnsi="宋体" w:cs="宋体"/>
                <w:kern w:val="0"/>
                <w:sz w:val="20"/>
                <w:szCs w:val="20"/>
                <w:highlight w:val="none"/>
              </w:rPr>
              <w:t>例汤</w:t>
            </w:r>
          </w:p>
        </w:tc>
        <w:tc>
          <w:tcPr>
            <w:tcW w:w="1960" w:type="dxa"/>
            <w:noWrap w:val="0"/>
            <w:vAlign w:val="center"/>
          </w:tcPr>
          <w:p w14:paraId="16A31C5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0"/>
                <w:szCs w:val="20"/>
                <w:highlight w:val="none"/>
                <w:lang w:val="en-US" w:eastAsia="zh-CN"/>
              </w:rPr>
            </w:pPr>
          </w:p>
        </w:tc>
        <w:tc>
          <w:tcPr>
            <w:tcW w:w="1256" w:type="dxa"/>
            <w:noWrap w:val="0"/>
            <w:vAlign w:val="center"/>
          </w:tcPr>
          <w:p w14:paraId="18DB5D9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ascii="宋体" w:hAnsi="宋体" w:cs="宋体"/>
                <w:color w:val="000000"/>
                <w:kern w:val="0"/>
                <w:sz w:val="20"/>
                <w:szCs w:val="20"/>
                <w:highlight w:val="none"/>
              </w:rPr>
              <w:t>200g</w:t>
            </w:r>
          </w:p>
        </w:tc>
        <w:tc>
          <w:tcPr>
            <w:tcW w:w="1718" w:type="dxa"/>
            <w:noWrap w:val="0"/>
            <w:vAlign w:val="center"/>
          </w:tcPr>
          <w:p w14:paraId="3ABBAB6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2</w:t>
            </w:r>
          </w:p>
        </w:tc>
      </w:tr>
      <w:tr w14:paraId="763A7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64668E4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kern w:val="0"/>
                <w:sz w:val="20"/>
                <w:szCs w:val="20"/>
                <w:highlight w:val="none"/>
                <w:lang w:val="en-US" w:eastAsia="zh-CN"/>
              </w:rPr>
            </w:pPr>
            <w:r>
              <w:rPr>
                <w:rFonts w:hint="eastAsia" w:ascii="宋体" w:hAnsi="宋体" w:cs="宋体"/>
                <w:kern w:val="0"/>
                <w:sz w:val="20"/>
                <w:szCs w:val="20"/>
                <w:highlight w:val="none"/>
                <w:lang w:val="en-US" w:eastAsia="zh-CN"/>
              </w:rPr>
              <w:t>36</w:t>
            </w:r>
          </w:p>
        </w:tc>
        <w:tc>
          <w:tcPr>
            <w:tcW w:w="1240" w:type="dxa"/>
            <w:vMerge w:val="continue"/>
            <w:noWrap w:val="0"/>
            <w:vAlign w:val="center"/>
          </w:tcPr>
          <w:p w14:paraId="321FA64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647" w:type="dxa"/>
            <w:noWrap w:val="0"/>
            <w:vAlign w:val="center"/>
          </w:tcPr>
          <w:p w14:paraId="0A8FFDA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hint="eastAsia" w:ascii="宋体" w:hAnsi="宋体" w:cs="宋体"/>
                <w:kern w:val="0"/>
                <w:sz w:val="20"/>
                <w:szCs w:val="20"/>
                <w:highlight w:val="none"/>
              </w:rPr>
              <w:t>炖汤</w:t>
            </w:r>
          </w:p>
        </w:tc>
        <w:tc>
          <w:tcPr>
            <w:tcW w:w="1960" w:type="dxa"/>
            <w:noWrap w:val="0"/>
            <w:vAlign w:val="center"/>
          </w:tcPr>
          <w:p w14:paraId="002DB8B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p>
        </w:tc>
        <w:tc>
          <w:tcPr>
            <w:tcW w:w="1256" w:type="dxa"/>
            <w:noWrap w:val="0"/>
            <w:vAlign w:val="center"/>
          </w:tcPr>
          <w:p w14:paraId="6A2327B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ascii="宋体" w:hAnsi="宋体" w:cs="宋体"/>
                <w:color w:val="000000"/>
                <w:kern w:val="0"/>
                <w:sz w:val="20"/>
                <w:szCs w:val="20"/>
                <w:highlight w:val="none"/>
              </w:rPr>
              <w:t>200g</w:t>
            </w:r>
          </w:p>
        </w:tc>
        <w:tc>
          <w:tcPr>
            <w:tcW w:w="1718" w:type="dxa"/>
            <w:noWrap w:val="0"/>
            <w:vAlign w:val="center"/>
          </w:tcPr>
          <w:p w14:paraId="25247F8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8-12</w:t>
            </w:r>
          </w:p>
        </w:tc>
      </w:tr>
      <w:tr w14:paraId="5817C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200818B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kern w:val="0"/>
                <w:sz w:val="20"/>
                <w:szCs w:val="20"/>
                <w:highlight w:val="none"/>
                <w:lang w:val="en-US" w:eastAsia="zh-CN"/>
              </w:rPr>
            </w:pPr>
            <w:r>
              <w:rPr>
                <w:rFonts w:hint="eastAsia" w:ascii="宋体" w:hAnsi="宋体" w:cs="宋体"/>
                <w:kern w:val="0"/>
                <w:sz w:val="20"/>
                <w:szCs w:val="20"/>
                <w:highlight w:val="none"/>
                <w:lang w:val="en-US" w:eastAsia="zh-CN"/>
              </w:rPr>
              <w:t>37</w:t>
            </w:r>
          </w:p>
        </w:tc>
        <w:tc>
          <w:tcPr>
            <w:tcW w:w="1240" w:type="dxa"/>
            <w:vMerge w:val="continue"/>
            <w:noWrap w:val="0"/>
            <w:vAlign w:val="center"/>
          </w:tcPr>
          <w:p w14:paraId="5AF6CBA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647" w:type="dxa"/>
            <w:noWrap w:val="0"/>
            <w:vAlign w:val="center"/>
          </w:tcPr>
          <w:p w14:paraId="4B9F704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hint="eastAsia" w:ascii="宋体" w:hAnsi="宋体" w:cs="宋体"/>
                <w:kern w:val="0"/>
                <w:sz w:val="20"/>
                <w:szCs w:val="20"/>
                <w:highlight w:val="none"/>
              </w:rPr>
              <w:t>汤粉面</w:t>
            </w:r>
          </w:p>
        </w:tc>
        <w:tc>
          <w:tcPr>
            <w:tcW w:w="1960" w:type="dxa"/>
            <w:noWrap w:val="0"/>
            <w:vAlign w:val="center"/>
          </w:tcPr>
          <w:p w14:paraId="0202AF1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p>
        </w:tc>
        <w:tc>
          <w:tcPr>
            <w:tcW w:w="1256" w:type="dxa"/>
            <w:noWrap w:val="0"/>
            <w:vAlign w:val="center"/>
          </w:tcPr>
          <w:p w14:paraId="58282A5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w:t>
            </w:r>
            <w:r>
              <w:rPr>
                <w:rFonts w:ascii="宋体" w:hAnsi="宋体" w:cs="宋体"/>
                <w:color w:val="000000"/>
                <w:kern w:val="0"/>
                <w:sz w:val="20"/>
                <w:szCs w:val="20"/>
                <w:highlight w:val="none"/>
              </w:rPr>
              <w:t>50g</w:t>
            </w:r>
          </w:p>
        </w:tc>
        <w:tc>
          <w:tcPr>
            <w:tcW w:w="1718" w:type="dxa"/>
            <w:noWrap w:val="0"/>
            <w:vAlign w:val="center"/>
          </w:tcPr>
          <w:p w14:paraId="6A6F4D9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16-20</w:t>
            </w:r>
          </w:p>
        </w:tc>
      </w:tr>
    </w:tbl>
    <w:p w14:paraId="0DE059A6">
      <w:pPr>
        <w:pStyle w:val="2"/>
        <w:rPr>
          <w:rFonts w:hint="eastAsia"/>
          <w:highlight w:val="none"/>
          <w:lang w:eastAsia="zh-CN"/>
        </w:rPr>
      </w:pPr>
    </w:p>
    <w:p w14:paraId="255A9481">
      <w:pPr>
        <w:pStyle w:val="2"/>
        <w:numPr>
          <w:ilvl w:val="0"/>
          <w:numId w:val="6"/>
        </w:numPr>
        <w:ind w:left="0" w:leftChars="0" w:firstLine="562" w:firstLineChars="200"/>
        <w:rPr>
          <w:rFonts w:hint="eastAsia"/>
          <w:b/>
          <w:bCs/>
          <w:sz w:val="28"/>
          <w:szCs w:val="21"/>
          <w:highlight w:val="none"/>
          <w:lang w:val="en-US" w:eastAsia="zh-CN"/>
        </w:rPr>
      </w:pPr>
      <w:r>
        <w:rPr>
          <w:rFonts w:hint="eastAsia"/>
          <w:b/>
          <w:bCs/>
          <w:sz w:val="28"/>
          <w:szCs w:val="21"/>
          <w:highlight w:val="none"/>
          <w:lang w:val="en-US" w:eastAsia="zh-CN"/>
        </w:rPr>
        <w:t>人员要求</w:t>
      </w:r>
    </w:p>
    <w:p w14:paraId="08B196A7">
      <w:pPr>
        <w:keepNext w:val="0"/>
        <w:keepLines w:val="0"/>
        <w:pageBreakBefore w:val="0"/>
        <w:numPr>
          <w:ilvl w:val="0"/>
          <w:numId w:val="14"/>
        </w:numPr>
        <w:kinsoku/>
        <w:wordWrap/>
        <w:overflowPunct/>
        <w:topLinePunct w:val="0"/>
        <w:autoSpaceDE/>
        <w:autoSpaceDN/>
        <w:bidi w:val="0"/>
        <w:adjustRightInd w:val="0"/>
        <w:snapToGrid w:val="0"/>
        <w:spacing w:line="440" w:lineRule="atLeast"/>
        <w:ind w:left="0" w:leftChars="0" w:firstLine="48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投标人按《劳动合同法》相关规定，依法用工，负责办理饭堂所有工作人员的劳动用工手续及工伤意外伤害事故、居住证等事宜，负责员工的招聘、任免、薪资、住宿、福利以及工伤保险、医疗保险、人身意外保险等，且符合国家法律法规规定，投标人员工在院内范围发生用工纠纷、疾病、出现意外伤害及意外事故责任由投标人负责，与</w:t>
      </w:r>
      <w:r>
        <w:rPr>
          <w:rFonts w:hint="eastAsia" w:ascii="宋体" w:hAnsi="宋体" w:cs="宋体"/>
          <w:kern w:val="0"/>
          <w:szCs w:val="21"/>
          <w:highlight w:val="none"/>
          <w:lang w:eastAsia="zh-CN"/>
        </w:rPr>
        <w:t>采购人</w:t>
      </w:r>
      <w:r>
        <w:rPr>
          <w:rFonts w:hint="eastAsia" w:ascii="宋体" w:hAnsi="宋体" w:cs="宋体"/>
          <w:kern w:val="0"/>
          <w:szCs w:val="21"/>
          <w:highlight w:val="none"/>
        </w:rPr>
        <w:t>无关。</w:t>
      </w:r>
    </w:p>
    <w:p w14:paraId="3C41DEDC">
      <w:pPr>
        <w:keepNext w:val="0"/>
        <w:keepLines w:val="0"/>
        <w:pageBreakBefore w:val="0"/>
        <w:numPr>
          <w:ilvl w:val="0"/>
          <w:numId w:val="14"/>
        </w:numPr>
        <w:kinsoku/>
        <w:wordWrap/>
        <w:overflowPunct/>
        <w:topLinePunct w:val="0"/>
        <w:autoSpaceDE/>
        <w:autoSpaceDN/>
        <w:bidi w:val="0"/>
        <w:adjustRightInd w:val="0"/>
        <w:snapToGrid w:val="0"/>
        <w:spacing w:line="440" w:lineRule="atLeast"/>
        <w:ind w:left="0" w:leftChars="0" w:firstLine="48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投标人须保证有足够的技术力量为医院职工、病人提供服务。投标人须按实际就餐人数50:1的比例配足配齐专业技术人员（其中项目负责人1名、现场三级或以上厨师不少于6名、面点师不少于2名、三级或以上营养师不少于2名、食品安全管理员不少于1人）的人数，食堂在岗员工人数不低于65人，以确保管理、服务到位和供餐速度。</w:t>
      </w:r>
    </w:p>
    <w:p w14:paraId="3C7BC816">
      <w:pPr>
        <w:keepNext w:val="0"/>
        <w:keepLines w:val="0"/>
        <w:pageBreakBefore w:val="0"/>
        <w:numPr>
          <w:ilvl w:val="0"/>
          <w:numId w:val="14"/>
        </w:numPr>
        <w:kinsoku/>
        <w:wordWrap/>
        <w:overflowPunct/>
        <w:topLinePunct w:val="0"/>
        <w:autoSpaceDE/>
        <w:autoSpaceDN/>
        <w:bidi w:val="0"/>
        <w:adjustRightInd w:val="0"/>
        <w:snapToGrid w:val="0"/>
        <w:spacing w:line="440" w:lineRule="atLeast"/>
        <w:ind w:left="0" w:leftChars="0" w:firstLine="48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投标人派驻主要人员（项目负责人、烹调师、营养师、食品检验师、食品安全管理员、食材采购员）必须提供投标截止时间前六个月的人员社保证明。投标人合同期内每月必须随时无条件提供投标人主要人员购买的社保记录供采购人监督部门监督检查。</w:t>
      </w:r>
    </w:p>
    <w:p w14:paraId="367DA86E">
      <w:pPr>
        <w:keepNext w:val="0"/>
        <w:keepLines w:val="0"/>
        <w:pageBreakBefore w:val="0"/>
        <w:numPr>
          <w:ilvl w:val="0"/>
          <w:numId w:val="14"/>
        </w:numPr>
        <w:kinsoku/>
        <w:wordWrap/>
        <w:overflowPunct/>
        <w:topLinePunct w:val="0"/>
        <w:autoSpaceDE/>
        <w:autoSpaceDN/>
        <w:bidi w:val="0"/>
        <w:adjustRightInd w:val="0"/>
        <w:snapToGrid w:val="0"/>
        <w:spacing w:line="440" w:lineRule="atLeast"/>
        <w:ind w:left="0" w:leftChars="0" w:firstLine="48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投标人须保证食堂工作人员的身体条件符合从事食品卫生工作要求，须持有医疗机构颁发的有效餐饮从业健康证上岗。同时每年一次定期组织员工进行身体检查，检查结果报备管理科室，不符合卫生要求的人员必须立即调离</w:t>
      </w:r>
      <w:r>
        <w:rPr>
          <w:rFonts w:hint="eastAsia" w:ascii="宋体" w:hAnsi="宋体" w:cs="宋体"/>
          <w:kern w:val="0"/>
          <w:szCs w:val="21"/>
          <w:highlight w:val="none"/>
          <w:lang w:eastAsia="zh-CN"/>
        </w:rPr>
        <w:t>采购人</w:t>
      </w:r>
      <w:r>
        <w:rPr>
          <w:rFonts w:hint="eastAsia" w:ascii="宋体" w:hAnsi="宋体" w:cs="宋体"/>
          <w:kern w:val="0"/>
          <w:szCs w:val="21"/>
          <w:highlight w:val="none"/>
        </w:rPr>
        <w:t>食堂。</w:t>
      </w:r>
    </w:p>
    <w:p w14:paraId="39B78816">
      <w:pPr>
        <w:keepNext w:val="0"/>
        <w:keepLines w:val="0"/>
        <w:pageBreakBefore w:val="0"/>
        <w:numPr>
          <w:ilvl w:val="0"/>
          <w:numId w:val="14"/>
        </w:numPr>
        <w:kinsoku/>
        <w:wordWrap/>
        <w:overflowPunct/>
        <w:topLinePunct w:val="0"/>
        <w:autoSpaceDE/>
        <w:autoSpaceDN/>
        <w:bidi w:val="0"/>
        <w:adjustRightInd w:val="0"/>
        <w:snapToGrid w:val="0"/>
        <w:spacing w:line="440" w:lineRule="atLeast"/>
        <w:ind w:left="0" w:leftChars="0" w:firstLine="48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服务人员着装统一同，整洁干净。</w:t>
      </w:r>
    </w:p>
    <w:p w14:paraId="02753448">
      <w:pPr>
        <w:keepNext w:val="0"/>
        <w:keepLines w:val="0"/>
        <w:pageBreakBefore w:val="0"/>
        <w:numPr>
          <w:ilvl w:val="0"/>
          <w:numId w:val="0"/>
        </w:numPr>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注：根据</w:t>
      </w:r>
      <w:r>
        <w:rPr>
          <w:rFonts w:hint="eastAsia" w:ascii="宋体" w:hAnsi="宋体" w:cs="宋体"/>
          <w:kern w:val="0"/>
          <w:szCs w:val="21"/>
          <w:highlight w:val="none"/>
          <w:lang w:val="en-US" w:eastAsia="zh-CN"/>
        </w:rPr>
        <w:t>采购人</w:t>
      </w:r>
      <w:r>
        <w:rPr>
          <w:rFonts w:hint="eastAsia" w:ascii="宋体" w:hAnsi="宋体" w:cs="宋体"/>
          <w:kern w:val="0"/>
          <w:szCs w:val="21"/>
          <w:highlight w:val="none"/>
        </w:rPr>
        <w:t>满意度对人员进行考核，若菜品口味及质量未达要求，</w:t>
      </w:r>
      <w:r>
        <w:rPr>
          <w:rFonts w:hint="eastAsia" w:ascii="宋体" w:hAnsi="宋体" w:cs="宋体"/>
          <w:kern w:val="0"/>
          <w:szCs w:val="21"/>
          <w:highlight w:val="none"/>
          <w:lang w:eastAsia="zh-CN"/>
        </w:rPr>
        <w:t>采购人</w:t>
      </w:r>
      <w:r>
        <w:rPr>
          <w:rFonts w:hint="eastAsia" w:ascii="宋体" w:hAnsi="宋体" w:cs="宋体"/>
          <w:kern w:val="0"/>
          <w:szCs w:val="21"/>
          <w:highlight w:val="none"/>
        </w:rPr>
        <w:t>有权要求供应商替换厨师等相关人员，其中涉及的劳动关系及社保缴纳问题等由供应商自行解决。若采购</w:t>
      </w:r>
      <w:r>
        <w:rPr>
          <w:rFonts w:hint="eastAsia" w:ascii="宋体" w:hAnsi="宋体" w:cs="宋体"/>
          <w:kern w:val="0"/>
          <w:szCs w:val="21"/>
          <w:highlight w:val="none"/>
          <w:lang w:eastAsia="zh-CN"/>
        </w:rPr>
        <w:t>人</w:t>
      </w:r>
      <w:r>
        <w:rPr>
          <w:rFonts w:hint="eastAsia" w:ascii="宋体" w:hAnsi="宋体" w:cs="宋体"/>
          <w:kern w:val="0"/>
          <w:szCs w:val="21"/>
          <w:highlight w:val="none"/>
        </w:rPr>
        <w:t>提出更换人员的要求，投标人须一天内更换相关人员，无法按照采购单位要求进行人员更换的，采购单位有权终止合同。</w:t>
      </w:r>
    </w:p>
    <w:p w14:paraId="75665291">
      <w:pPr>
        <w:rPr>
          <w:rFonts w:hint="eastAsia"/>
          <w:highlight w:val="none"/>
          <w:lang w:val="en-US" w:eastAsia="zh-CN"/>
        </w:rPr>
      </w:pPr>
    </w:p>
    <w:p w14:paraId="5FB576C3">
      <w:pPr>
        <w:pStyle w:val="2"/>
        <w:numPr>
          <w:ilvl w:val="0"/>
          <w:numId w:val="6"/>
        </w:numPr>
        <w:ind w:left="0" w:leftChars="0" w:firstLine="562" w:firstLineChars="200"/>
        <w:rPr>
          <w:rFonts w:hint="eastAsia"/>
          <w:b/>
          <w:bCs/>
          <w:sz w:val="28"/>
          <w:szCs w:val="21"/>
          <w:highlight w:val="none"/>
          <w:lang w:val="en-US" w:eastAsia="zh-CN"/>
        </w:rPr>
      </w:pPr>
      <w:r>
        <w:rPr>
          <w:rFonts w:hint="eastAsia"/>
          <w:b/>
          <w:bCs/>
          <w:sz w:val="28"/>
          <w:szCs w:val="21"/>
          <w:highlight w:val="none"/>
          <w:lang w:val="en-US" w:eastAsia="zh-CN"/>
        </w:rPr>
        <w:t>餐饮服务内容及标准</w:t>
      </w:r>
    </w:p>
    <w:tbl>
      <w:tblPr>
        <w:tblStyle w:val="13"/>
        <w:tblW w:w="0" w:type="auto"/>
        <w:jc w:val="center"/>
        <w:tblLayout w:type="fixed"/>
        <w:tblCellMar>
          <w:top w:w="0" w:type="dxa"/>
          <w:left w:w="108" w:type="dxa"/>
          <w:bottom w:w="0" w:type="dxa"/>
          <w:right w:w="108" w:type="dxa"/>
        </w:tblCellMar>
      </w:tblPr>
      <w:tblGrid>
        <w:gridCol w:w="994"/>
        <w:gridCol w:w="1582"/>
        <w:gridCol w:w="861"/>
        <w:gridCol w:w="4005"/>
        <w:gridCol w:w="1515"/>
      </w:tblGrid>
      <w:tr w14:paraId="6258AEA3">
        <w:tblPrEx>
          <w:tblCellMar>
            <w:top w:w="0" w:type="dxa"/>
            <w:left w:w="108" w:type="dxa"/>
            <w:bottom w:w="0" w:type="dxa"/>
            <w:right w:w="108" w:type="dxa"/>
          </w:tblCellMar>
        </w:tblPrEx>
        <w:trPr>
          <w:trHeight w:val="23" w:hRule="atLeast"/>
          <w:jc w:val="center"/>
        </w:trPr>
        <w:tc>
          <w:tcPr>
            <w:tcW w:w="994" w:type="dxa"/>
            <w:tcBorders>
              <w:top w:val="single" w:color="auto" w:sz="4" w:space="0"/>
              <w:left w:val="single" w:color="auto" w:sz="4" w:space="0"/>
              <w:bottom w:val="single" w:color="auto" w:sz="4" w:space="0"/>
              <w:right w:val="single" w:color="auto" w:sz="4" w:space="0"/>
            </w:tcBorders>
            <w:noWrap w:val="0"/>
            <w:vAlign w:val="center"/>
          </w:tcPr>
          <w:p w14:paraId="24AB5759">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服务项目</w:t>
            </w:r>
          </w:p>
        </w:tc>
        <w:tc>
          <w:tcPr>
            <w:tcW w:w="1582" w:type="dxa"/>
            <w:tcBorders>
              <w:top w:val="single" w:color="auto" w:sz="4" w:space="0"/>
              <w:left w:val="nil"/>
              <w:right w:val="single" w:color="auto" w:sz="4" w:space="0"/>
            </w:tcBorders>
            <w:noWrap w:val="0"/>
            <w:vAlign w:val="center"/>
          </w:tcPr>
          <w:p w14:paraId="5AE98E21">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服务内容</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720F6F2E">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作业周期</w:t>
            </w:r>
          </w:p>
        </w:tc>
        <w:tc>
          <w:tcPr>
            <w:tcW w:w="4005" w:type="dxa"/>
            <w:tcBorders>
              <w:top w:val="single" w:color="auto" w:sz="4" w:space="0"/>
              <w:left w:val="single" w:color="auto" w:sz="4" w:space="0"/>
              <w:bottom w:val="single" w:color="auto" w:sz="4" w:space="0"/>
              <w:right w:val="single" w:color="auto" w:sz="4" w:space="0"/>
            </w:tcBorders>
            <w:noWrap w:val="0"/>
            <w:vAlign w:val="center"/>
          </w:tcPr>
          <w:p w14:paraId="5DA3A32D">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作业标准</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26D00C14">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责任人</w:t>
            </w:r>
          </w:p>
        </w:tc>
      </w:tr>
      <w:tr w14:paraId="5BC7243B">
        <w:tblPrEx>
          <w:tblCellMar>
            <w:top w:w="0" w:type="dxa"/>
            <w:left w:w="108" w:type="dxa"/>
            <w:bottom w:w="0" w:type="dxa"/>
            <w:right w:w="108" w:type="dxa"/>
          </w:tblCellMar>
        </w:tblPrEx>
        <w:trPr>
          <w:trHeight w:val="23" w:hRule="atLeast"/>
          <w:jc w:val="center"/>
        </w:trPr>
        <w:tc>
          <w:tcPr>
            <w:tcW w:w="994" w:type="dxa"/>
            <w:vMerge w:val="restart"/>
            <w:tcBorders>
              <w:top w:val="single" w:color="auto" w:sz="4" w:space="0"/>
              <w:left w:val="single" w:color="auto" w:sz="4" w:space="0"/>
              <w:bottom w:val="single" w:color="auto" w:sz="4" w:space="0"/>
              <w:right w:val="single" w:color="auto" w:sz="4" w:space="0"/>
            </w:tcBorders>
            <w:noWrap w:val="0"/>
            <w:vAlign w:val="center"/>
          </w:tcPr>
          <w:p w14:paraId="69A44353">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p>
          <w:p w14:paraId="20EF17A0">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p>
          <w:p w14:paraId="2A1BCE56">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p>
          <w:p w14:paraId="1DE1DF93">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p>
          <w:p w14:paraId="72BFA580">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p>
          <w:p w14:paraId="6B5E241A">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p>
          <w:p w14:paraId="67AFE210">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p>
          <w:p w14:paraId="07659C27">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餐前</w:t>
            </w:r>
          </w:p>
          <w:p w14:paraId="3A7FA5E1">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p>
        </w:tc>
        <w:tc>
          <w:tcPr>
            <w:tcW w:w="1582" w:type="dxa"/>
            <w:tcBorders>
              <w:top w:val="single" w:color="auto" w:sz="4" w:space="0"/>
              <w:left w:val="nil"/>
              <w:bottom w:val="single" w:color="auto" w:sz="4" w:space="0"/>
              <w:right w:val="single" w:color="auto" w:sz="4" w:space="0"/>
            </w:tcBorders>
            <w:noWrap w:val="0"/>
            <w:vAlign w:val="center"/>
          </w:tcPr>
          <w:p w14:paraId="33FD0A34">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菜谱拟定</w:t>
            </w:r>
          </w:p>
        </w:tc>
        <w:tc>
          <w:tcPr>
            <w:tcW w:w="861" w:type="dxa"/>
            <w:tcBorders>
              <w:top w:val="single" w:color="auto" w:sz="4" w:space="0"/>
              <w:left w:val="nil"/>
              <w:bottom w:val="single" w:color="auto" w:sz="4" w:space="0"/>
              <w:right w:val="single" w:color="auto" w:sz="4" w:space="0"/>
            </w:tcBorders>
            <w:noWrap w:val="0"/>
            <w:vAlign w:val="center"/>
          </w:tcPr>
          <w:p w14:paraId="6CDD1D95">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每周</w:t>
            </w:r>
          </w:p>
        </w:tc>
        <w:tc>
          <w:tcPr>
            <w:tcW w:w="4005" w:type="dxa"/>
            <w:tcBorders>
              <w:top w:val="single" w:color="auto" w:sz="4" w:space="0"/>
              <w:left w:val="nil"/>
              <w:bottom w:val="single" w:color="auto" w:sz="4" w:space="0"/>
              <w:right w:val="single" w:color="auto" w:sz="4" w:space="0"/>
            </w:tcBorders>
            <w:noWrap w:val="0"/>
            <w:vAlign w:val="center"/>
          </w:tcPr>
          <w:p w14:paraId="4DD67262">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按客户规定的品种、数量，结合营养配餐、口味搭配、成本控制等标准制定菜谱，供客户审核</w:t>
            </w:r>
          </w:p>
        </w:tc>
        <w:tc>
          <w:tcPr>
            <w:tcW w:w="1515" w:type="dxa"/>
            <w:tcBorders>
              <w:top w:val="single" w:color="auto" w:sz="4" w:space="0"/>
              <w:left w:val="nil"/>
              <w:bottom w:val="single" w:color="auto" w:sz="4" w:space="0"/>
              <w:right w:val="single" w:color="auto" w:sz="4" w:space="0"/>
            </w:tcBorders>
            <w:noWrap w:val="0"/>
            <w:vAlign w:val="center"/>
          </w:tcPr>
          <w:p w14:paraId="518A5CA7">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厨师长/主厨/厨师/面点师</w:t>
            </w:r>
          </w:p>
        </w:tc>
      </w:tr>
      <w:tr w14:paraId="34AD2937">
        <w:tblPrEx>
          <w:tblCellMar>
            <w:top w:w="0" w:type="dxa"/>
            <w:left w:w="108" w:type="dxa"/>
            <w:bottom w:w="0" w:type="dxa"/>
            <w:right w:w="108" w:type="dxa"/>
          </w:tblCellMar>
        </w:tblPrEx>
        <w:trPr>
          <w:trHeight w:val="23" w:hRule="atLeast"/>
          <w:jc w:val="center"/>
        </w:trPr>
        <w:tc>
          <w:tcPr>
            <w:tcW w:w="994" w:type="dxa"/>
            <w:vMerge w:val="continue"/>
            <w:tcBorders>
              <w:top w:val="single" w:color="auto" w:sz="4" w:space="0"/>
              <w:left w:val="single" w:color="auto" w:sz="4" w:space="0"/>
              <w:bottom w:val="single" w:color="auto" w:sz="4" w:space="0"/>
              <w:right w:val="single" w:color="auto" w:sz="4" w:space="0"/>
            </w:tcBorders>
            <w:noWrap w:val="0"/>
            <w:vAlign w:val="center"/>
          </w:tcPr>
          <w:p w14:paraId="46CC33C5">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p>
        </w:tc>
        <w:tc>
          <w:tcPr>
            <w:tcW w:w="1582" w:type="dxa"/>
            <w:tcBorders>
              <w:top w:val="single" w:color="auto" w:sz="4" w:space="0"/>
              <w:left w:val="nil"/>
              <w:bottom w:val="single" w:color="auto" w:sz="4" w:space="0"/>
              <w:right w:val="single" w:color="auto" w:sz="4" w:space="0"/>
            </w:tcBorders>
            <w:noWrap w:val="0"/>
            <w:vAlign w:val="center"/>
          </w:tcPr>
          <w:p w14:paraId="46B04CF3">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原料的验收</w:t>
            </w:r>
          </w:p>
        </w:tc>
        <w:tc>
          <w:tcPr>
            <w:tcW w:w="861" w:type="dxa"/>
            <w:tcBorders>
              <w:top w:val="single" w:color="auto" w:sz="4" w:space="0"/>
              <w:left w:val="nil"/>
              <w:bottom w:val="single" w:color="auto" w:sz="4" w:space="0"/>
              <w:right w:val="single" w:color="auto" w:sz="4" w:space="0"/>
            </w:tcBorders>
            <w:noWrap w:val="0"/>
            <w:vAlign w:val="center"/>
          </w:tcPr>
          <w:p w14:paraId="735C4720">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每天</w:t>
            </w:r>
          </w:p>
        </w:tc>
        <w:tc>
          <w:tcPr>
            <w:tcW w:w="4005" w:type="dxa"/>
            <w:tcBorders>
              <w:top w:val="single" w:color="auto" w:sz="4" w:space="0"/>
              <w:left w:val="nil"/>
              <w:bottom w:val="single" w:color="auto" w:sz="4" w:space="0"/>
              <w:right w:val="single" w:color="auto" w:sz="4" w:space="0"/>
            </w:tcBorders>
            <w:noWrap w:val="0"/>
            <w:vAlign w:val="center"/>
          </w:tcPr>
          <w:p w14:paraId="2753DA18">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按原料验收标准执行，重点检查原料的安全卫生</w:t>
            </w:r>
          </w:p>
        </w:tc>
        <w:tc>
          <w:tcPr>
            <w:tcW w:w="1515" w:type="dxa"/>
            <w:tcBorders>
              <w:top w:val="single" w:color="auto" w:sz="4" w:space="0"/>
              <w:left w:val="nil"/>
              <w:bottom w:val="single" w:color="auto" w:sz="4" w:space="0"/>
              <w:right w:val="single" w:color="auto" w:sz="4" w:space="0"/>
            </w:tcBorders>
            <w:noWrap w:val="0"/>
            <w:vAlign w:val="center"/>
          </w:tcPr>
          <w:p w14:paraId="62436A90">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厨师</w:t>
            </w:r>
          </w:p>
        </w:tc>
      </w:tr>
      <w:tr w14:paraId="2AC05C18">
        <w:tblPrEx>
          <w:tblCellMar>
            <w:top w:w="0" w:type="dxa"/>
            <w:left w:w="108" w:type="dxa"/>
            <w:bottom w:w="0" w:type="dxa"/>
            <w:right w:w="108" w:type="dxa"/>
          </w:tblCellMar>
        </w:tblPrEx>
        <w:trPr>
          <w:trHeight w:val="23" w:hRule="atLeast"/>
          <w:jc w:val="center"/>
        </w:trPr>
        <w:tc>
          <w:tcPr>
            <w:tcW w:w="994" w:type="dxa"/>
            <w:vMerge w:val="continue"/>
            <w:tcBorders>
              <w:top w:val="single" w:color="auto" w:sz="4" w:space="0"/>
              <w:left w:val="single" w:color="auto" w:sz="4" w:space="0"/>
              <w:bottom w:val="single" w:color="auto" w:sz="4" w:space="0"/>
              <w:right w:val="single" w:color="auto" w:sz="4" w:space="0"/>
            </w:tcBorders>
            <w:noWrap w:val="0"/>
            <w:vAlign w:val="center"/>
          </w:tcPr>
          <w:p w14:paraId="5EAD714E">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p>
        </w:tc>
        <w:tc>
          <w:tcPr>
            <w:tcW w:w="1582" w:type="dxa"/>
            <w:tcBorders>
              <w:top w:val="single" w:color="auto" w:sz="4" w:space="0"/>
              <w:left w:val="nil"/>
              <w:bottom w:val="single" w:color="auto" w:sz="4" w:space="0"/>
              <w:right w:val="single" w:color="auto" w:sz="4" w:space="0"/>
            </w:tcBorders>
            <w:noWrap w:val="0"/>
            <w:vAlign w:val="center"/>
          </w:tcPr>
          <w:p w14:paraId="1E4E4244">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原料的清洗、粗加工及切配</w:t>
            </w:r>
          </w:p>
        </w:tc>
        <w:tc>
          <w:tcPr>
            <w:tcW w:w="861" w:type="dxa"/>
            <w:tcBorders>
              <w:top w:val="single" w:color="auto" w:sz="4" w:space="0"/>
              <w:left w:val="nil"/>
              <w:bottom w:val="single" w:color="auto" w:sz="4" w:space="0"/>
              <w:right w:val="single" w:color="auto" w:sz="4" w:space="0"/>
            </w:tcBorders>
            <w:noWrap w:val="0"/>
            <w:vAlign w:val="center"/>
          </w:tcPr>
          <w:p w14:paraId="28B03F67">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餐前三小时</w:t>
            </w:r>
          </w:p>
        </w:tc>
        <w:tc>
          <w:tcPr>
            <w:tcW w:w="4005" w:type="dxa"/>
            <w:tcBorders>
              <w:top w:val="single" w:color="auto" w:sz="4" w:space="0"/>
              <w:left w:val="nil"/>
              <w:bottom w:val="single" w:color="auto" w:sz="4" w:space="0"/>
              <w:right w:val="single" w:color="auto" w:sz="4" w:space="0"/>
            </w:tcBorders>
            <w:noWrap w:val="0"/>
            <w:vAlign w:val="center"/>
          </w:tcPr>
          <w:p w14:paraId="5CE66BFE">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按菜谱要求及粗加工、切配规范执行，保证原料形状均匀、干净卫生、符合烹制要求</w:t>
            </w:r>
          </w:p>
        </w:tc>
        <w:tc>
          <w:tcPr>
            <w:tcW w:w="1515" w:type="dxa"/>
            <w:tcBorders>
              <w:top w:val="single" w:color="auto" w:sz="4" w:space="0"/>
              <w:left w:val="nil"/>
              <w:bottom w:val="single" w:color="auto" w:sz="4" w:space="0"/>
              <w:right w:val="single" w:color="auto" w:sz="4" w:space="0"/>
            </w:tcBorders>
            <w:noWrap w:val="0"/>
            <w:vAlign w:val="center"/>
          </w:tcPr>
          <w:p w14:paraId="5081FF33">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厨师/面点师/帮厨/勤杂服务员</w:t>
            </w:r>
          </w:p>
        </w:tc>
      </w:tr>
      <w:tr w14:paraId="6BB80AD0">
        <w:tblPrEx>
          <w:tblCellMar>
            <w:top w:w="0" w:type="dxa"/>
            <w:left w:w="108" w:type="dxa"/>
            <w:bottom w:w="0" w:type="dxa"/>
            <w:right w:w="108" w:type="dxa"/>
          </w:tblCellMar>
        </w:tblPrEx>
        <w:trPr>
          <w:trHeight w:val="23" w:hRule="atLeast"/>
          <w:jc w:val="center"/>
        </w:trPr>
        <w:tc>
          <w:tcPr>
            <w:tcW w:w="994" w:type="dxa"/>
            <w:vMerge w:val="continue"/>
            <w:tcBorders>
              <w:top w:val="single" w:color="auto" w:sz="4" w:space="0"/>
              <w:left w:val="single" w:color="auto" w:sz="4" w:space="0"/>
              <w:bottom w:val="single" w:color="auto" w:sz="4" w:space="0"/>
              <w:right w:val="single" w:color="auto" w:sz="4" w:space="0"/>
            </w:tcBorders>
            <w:noWrap w:val="0"/>
            <w:vAlign w:val="center"/>
          </w:tcPr>
          <w:p w14:paraId="1836F69F">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p>
        </w:tc>
        <w:tc>
          <w:tcPr>
            <w:tcW w:w="1582" w:type="dxa"/>
            <w:tcBorders>
              <w:top w:val="single" w:color="auto" w:sz="4" w:space="0"/>
              <w:left w:val="nil"/>
              <w:bottom w:val="single" w:color="auto" w:sz="4" w:space="0"/>
              <w:right w:val="single" w:color="auto" w:sz="4" w:space="0"/>
            </w:tcBorders>
            <w:noWrap w:val="0"/>
            <w:vAlign w:val="center"/>
          </w:tcPr>
          <w:p w14:paraId="42B11A39">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菜品烹制</w:t>
            </w:r>
          </w:p>
        </w:tc>
        <w:tc>
          <w:tcPr>
            <w:tcW w:w="861" w:type="dxa"/>
            <w:tcBorders>
              <w:top w:val="single" w:color="auto" w:sz="4" w:space="0"/>
              <w:left w:val="nil"/>
              <w:bottom w:val="single" w:color="auto" w:sz="4" w:space="0"/>
              <w:right w:val="single" w:color="auto" w:sz="4" w:space="0"/>
            </w:tcBorders>
            <w:noWrap w:val="0"/>
            <w:vAlign w:val="center"/>
          </w:tcPr>
          <w:p w14:paraId="17F0E238">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餐前二小时</w:t>
            </w:r>
          </w:p>
        </w:tc>
        <w:tc>
          <w:tcPr>
            <w:tcW w:w="4005" w:type="dxa"/>
            <w:tcBorders>
              <w:top w:val="single" w:color="auto" w:sz="4" w:space="0"/>
              <w:left w:val="nil"/>
              <w:bottom w:val="single" w:color="auto" w:sz="4" w:space="0"/>
              <w:right w:val="single" w:color="auto" w:sz="4" w:space="0"/>
            </w:tcBorders>
            <w:noWrap w:val="0"/>
            <w:vAlign w:val="center"/>
          </w:tcPr>
          <w:p w14:paraId="1ED11EF1">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按菜谱要求和烹饪规范，结合厨师长要求和客户口味特点烹制。</w:t>
            </w:r>
          </w:p>
        </w:tc>
        <w:tc>
          <w:tcPr>
            <w:tcW w:w="1515" w:type="dxa"/>
            <w:tcBorders>
              <w:top w:val="single" w:color="auto" w:sz="4" w:space="0"/>
              <w:left w:val="nil"/>
              <w:bottom w:val="single" w:color="auto" w:sz="4" w:space="0"/>
              <w:right w:val="single" w:color="auto" w:sz="4" w:space="0"/>
            </w:tcBorders>
            <w:noWrap w:val="0"/>
            <w:vAlign w:val="center"/>
          </w:tcPr>
          <w:p w14:paraId="050E2A09">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主厨/厨师/帮厨/面点师</w:t>
            </w:r>
          </w:p>
        </w:tc>
      </w:tr>
      <w:tr w14:paraId="463765D5">
        <w:tblPrEx>
          <w:tblCellMar>
            <w:top w:w="0" w:type="dxa"/>
            <w:left w:w="108" w:type="dxa"/>
            <w:bottom w:w="0" w:type="dxa"/>
            <w:right w:w="108" w:type="dxa"/>
          </w:tblCellMar>
        </w:tblPrEx>
        <w:trPr>
          <w:trHeight w:val="495" w:hRule="atLeast"/>
          <w:jc w:val="center"/>
        </w:trPr>
        <w:tc>
          <w:tcPr>
            <w:tcW w:w="994" w:type="dxa"/>
            <w:vMerge w:val="continue"/>
            <w:tcBorders>
              <w:top w:val="single" w:color="auto" w:sz="4" w:space="0"/>
              <w:left w:val="single" w:color="auto" w:sz="4" w:space="0"/>
              <w:bottom w:val="single" w:color="auto" w:sz="4" w:space="0"/>
              <w:right w:val="single" w:color="auto" w:sz="4" w:space="0"/>
            </w:tcBorders>
            <w:noWrap w:val="0"/>
            <w:vAlign w:val="center"/>
          </w:tcPr>
          <w:p w14:paraId="13CF7313">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p>
        </w:tc>
        <w:tc>
          <w:tcPr>
            <w:tcW w:w="1582" w:type="dxa"/>
            <w:tcBorders>
              <w:top w:val="single" w:color="auto" w:sz="4" w:space="0"/>
              <w:left w:val="nil"/>
              <w:bottom w:val="single" w:color="auto" w:sz="4" w:space="0"/>
              <w:right w:val="single" w:color="auto" w:sz="4" w:space="0"/>
            </w:tcBorders>
            <w:noWrap w:val="0"/>
            <w:vAlign w:val="center"/>
          </w:tcPr>
          <w:p w14:paraId="2DD53034">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菜品传送</w:t>
            </w:r>
          </w:p>
        </w:tc>
        <w:tc>
          <w:tcPr>
            <w:tcW w:w="861" w:type="dxa"/>
            <w:tcBorders>
              <w:top w:val="single" w:color="auto" w:sz="4" w:space="0"/>
              <w:left w:val="nil"/>
              <w:bottom w:val="single" w:color="auto" w:sz="4" w:space="0"/>
              <w:right w:val="single" w:color="auto" w:sz="4" w:space="0"/>
            </w:tcBorders>
            <w:noWrap w:val="0"/>
            <w:vAlign w:val="center"/>
          </w:tcPr>
          <w:p w14:paraId="348E7A04">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餐前20分钟</w:t>
            </w:r>
          </w:p>
        </w:tc>
        <w:tc>
          <w:tcPr>
            <w:tcW w:w="4005" w:type="dxa"/>
            <w:tcBorders>
              <w:top w:val="single" w:color="auto" w:sz="4" w:space="0"/>
              <w:left w:val="nil"/>
              <w:bottom w:val="single" w:color="auto" w:sz="4" w:space="0"/>
              <w:right w:val="single" w:color="auto" w:sz="4" w:space="0"/>
            </w:tcBorders>
            <w:noWrap w:val="0"/>
            <w:vAlign w:val="center"/>
          </w:tcPr>
          <w:p w14:paraId="75DCEC17">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将烹制完成的菜品、汤饭、点心等准时传送至规定地点，充分保证菜品的色香味。</w:t>
            </w:r>
          </w:p>
        </w:tc>
        <w:tc>
          <w:tcPr>
            <w:tcW w:w="1515" w:type="dxa"/>
            <w:tcBorders>
              <w:top w:val="single" w:color="auto" w:sz="4" w:space="0"/>
              <w:left w:val="nil"/>
              <w:bottom w:val="single" w:color="auto" w:sz="4" w:space="0"/>
              <w:right w:val="single" w:color="auto" w:sz="4" w:space="0"/>
            </w:tcBorders>
            <w:noWrap w:val="0"/>
            <w:vAlign w:val="center"/>
          </w:tcPr>
          <w:p w14:paraId="77A8F615">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厨师/面点师/勤杂服务员</w:t>
            </w:r>
          </w:p>
        </w:tc>
      </w:tr>
      <w:tr w14:paraId="6B02F9E9">
        <w:tblPrEx>
          <w:tblCellMar>
            <w:top w:w="0" w:type="dxa"/>
            <w:left w:w="108" w:type="dxa"/>
            <w:bottom w:w="0" w:type="dxa"/>
            <w:right w:w="108" w:type="dxa"/>
          </w:tblCellMar>
        </w:tblPrEx>
        <w:trPr>
          <w:trHeight w:val="23" w:hRule="atLeast"/>
          <w:jc w:val="center"/>
        </w:trPr>
        <w:tc>
          <w:tcPr>
            <w:tcW w:w="994" w:type="dxa"/>
            <w:tcBorders>
              <w:top w:val="single" w:color="auto" w:sz="4" w:space="0"/>
              <w:left w:val="single" w:color="auto" w:sz="4" w:space="0"/>
              <w:bottom w:val="single" w:color="auto" w:sz="4" w:space="0"/>
              <w:right w:val="single" w:color="auto" w:sz="4" w:space="0"/>
            </w:tcBorders>
            <w:noWrap w:val="0"/>
            <w:vAlign w:val="center"/>
          </w:tcPr>
          <w:p w14:paraId="227EC81D">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用餐中</w:t>
            </w:r>
          </w:p>
        </w:tc>
        <w:tc>
          <w:tcPr>
            <w:tcW w:w="1582" w:type="dxa"/>
            <w:tcBorders>
              <w:top w:val="single" w:color="auto" w:sz="4" w:space="0"/>
              <w:left w:val="nil"/>
              <w:bottom w:val="single" w:color="auto" w:sz="4" w:space="0"/>
              <w:right w:val="single" w:color="auto" w:sz="4" w:space="0"/>
            </w:tcBorders>
            <w:noWrap w:val="0"/>
            <w:vAlign w:val="center"/>
          </w:tcPr>
          <w:p w14:paraId="361AA9B3">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菜品烹制、配餐服务</w:t>
            </w:r>
          </w:p>
        </w:tc>
        <w:tc>
          <w:tcPr>
            <w:tcW w:w="861" w:type="dxa"/>
            <w:tcBorders>
              <w:top w:val="single" w:color="auto" w:sz="4" w:space="0"/>
              <w:left w:val="nil"/>
              <w:bottom w:val="single" w:color="auto" w:sz="4" w:space="0"/>
              <w:right w:val="single" w:color="auto" w:sz="4" w:space="0"/>
            </w:tcBorders>
            <w:noWrap w:val="0"/>
            <w:vAlign w:val="center"/>
          </w:tcPr>
          <w:p w14:paraId="4B64E811">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餐中</w:t>
            </w:r>
          </w:p>
        </w:tc>
        <w:tc>
          <w:tcPr>
            <w:tcW w:w="4005" w:type="dxa"/>
            <w:tcBorders>
              <w:top w:val="single" w:color="auto" w:sz="4" w:space="0"/>
              <w:left w:val="nil"/>
              <w:bottom w:val="single" w:color="auto" w:sz="4" w:space="0"/>
              <w:right w:val="single" w:color="auto" w:sz="4" w:space="0"/>
            </w:tcBorders>
            <w:noWrap w:val="0"/>
            <w:vAlign w:val="center"/>
          </w:tcPr>
          <w:p w14:paraId="6B3CA198">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根据就餐进度及楼面信息及时按菜谱、烹饪规范及要求烹制菜品、按配餐规范安全、高效、高标准提供配餐服务。</w:t>
            </w:r>
          </w:p>
        </w:tc>
        <w:tc>
          <w:tcPr>
            <w:tcW w:w="1515" w:type="dxa"/>
            <w:tcBorders>
              <w:top w:val="single" w:color="auto" w:sz="4" w:space="0"/>
              <w:left w:val="nil"/>
              <w:bottom w:val="single" w:color="auto" w:sz="4" w:space="0"/>
              <w:right w:val="single" w:color="auto" w:sz="4" w:space="0"/>
            </w:tcBorders>
            <w:noWrap w:val="0"/>
            <w:vAlign w:val="center"/>
          </w:tcPr>
          <w:p w14:paraId="78794AF4">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厨师/面点师/勤杂服务员</w:t>
            </w:r>
          </w:p>
        </w:tc>
      </w:tr>
      <w:tr w14:paraId="0978E415">
        <w:tblPrEx>
          <w:tblCellMar>
            <w:top w:w="0" w:type="dxa"/>
            <w:left w:w="108" w:type="dxa"/>
            <w:bottom w:w="0" w:type="dxa"/>
            <w:right w:w="108" w:type="dxa"/>
          </w:tblCellMar>
        </w:tblPrEx>
        <w:trPr>
          <w:trHeight w:val="23" w:hRule="atLeast"/>
          <w:jc w:val="center"/>
        </w:trPr>
        <w:tc>
          <w:tcPr>
            <w:tcW w:w="994" w:type="dxa"/>
            <w:vMerge w:val="restart"/>
            <w:tcBorders>
              <w:top w:val="single" w:color="auto" w:sz="4" w:space="0"/>
              <w:left w:val="single" w:color="auto" w:sz="4" w:space="0"/>
              <w:bottom w:val="single" w:color="auto" w:sz="4" w:space="0"/>
              <w:right w:val="single" w:color="auto" w:sz="4" w:space="0"/>
            </w:tcBorders>
            <w:noWrap w:val="0"/>
            <w:vAlign w:val="center"/>
          </w:tcPr>
          <w:p w14:paraId="09F61F79">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餐后</w:t>
            </w:r>
          </w:p>
        </w:tc>
        <w:tc>
          <w:tcPr>
            <w:tcW w:w="1582" w:type="dxa"/>
            <w:tcBorders>
              <w:top w:val="single" w:color="auto" w:sz="4" w:space="0"/>
              <w:left w:val="nil"/>
              <w:bottom w:val="single" w:color="auto" w:sz="4" w:space="0"/>
              <w:right w:val="single" w:color="auto" w:sz="4" w:space="0"/>
            </w:tcBorders>
            <w:noWrap w:val="0"/>
            <w:vAlign w:val="center"/>
          </w:tcPr>
          <w:p w14:paraId="27141297">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餐具用具清洁</w:t>
            </w:r>
          </w:p>
        </w:tc>
        <w:tc>
          <w:tcPr>
            <w:tcW w:w="861" w:type="dxa"/>
            <w:tcBorders>
              <w:top w:val="single" w:color="auto" w:sz="4" w:space="0"/>
              <w:left w:val="nil"/>
              <w:bottom w:val="single" w:color="auto" w:sz="4" w:space="0"/>
              <w:right w:val="single" w:color="auto" w:sz="4" w:space="0"/>
            </w:tcBorders>
            <w:noWrap w:val="0"/>
            <w:vAlign w:val="center"/>
          </w:tcPr>
          <w:p w14:paraId="13E84EFC">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餐后</w:t>
            </w:r>
          </w:p>
        </w:tc>
        <w:tc>
          <w:tcPr>
            <w:tcW w:w="4005" w:type="dxa"/>
            <w:tcBorders>
              <w:top w:val="single" w:color="auto" w:sz="4" w:space="0"/>
              <w:left w:val="nil"/>
              <w:bottom w:val="single" w:color="auto" w:sz="4" w:space="0"/>
              <w:right w:val="single" w:color="auto" w:sz="4" w:space="0"/>
            </w:tcBorders>
            <w:noWrap w:val="0"/>
            <w:vAlign w:val="center"/>
          </w:tcPr>
          <w:p w14:paraId="2F8BBEC8">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按餐具用具清洗规范做好餐具、用具的清洗、消毒、保洁 。</w:t>
            </w:r>
          </w:p>
        </w:tc>
        <w:tc>
          <w:tcPr>
            <w:tcW w:w="1515" w:type="dxa"/>
            <w:tcBorders>
              <w:top w:val="single" w:color="auto" w:sz="4" w:space="0"/>
              <w:left w:val="nil"/>
              <w:bottom w:val="single" w:color="auto" w:sz="4" w:space="0"/>
              <w:right w:val="single" w:color="auto" w:sz="4" w:space="0"/>
            </w:tcBorders>
            <w:noWrap w:val="0"/>
            <w:vAlign w:val="center"/>
          </w:tcPr>
          <w:p w14:paraId="0FDD954A">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勤杂工/勤杂服务员</w:t>
            </w:r>
          </w:p>
        </w:tc>
      </w:tr>
      <w:tr w14:paraId="57051514">
        <w:tblPrEx>
          <w:tblCellMar>
            <w:top w:w="0" w:type="dxa"/>
            <w:left w:w="108" w:type="dxa"/>
            <w:bottom w:w="0" w:type="dxa"/>
            <w:right w:w="108" w:type="dxa"/>
          </w:tblCellMar>
        </w:tblPrEx>
        <w:trPr>
          <w:trHeight w:val="23" w:hRule="atLeast"/>
          <w:jc w:val="center"/>
        </w:trPr>
        <w:tc>
          <w:tcPr>
            <w:tcW w:w="994" w:type="dxa"/>
            <w:vMerge w:val="continue"/>
            <w:tcBorders>
              <w:top w:val="single" w:color="auto" w:sz="4" w:space="0"/>
              <w:left w:val="single" w:color="auto" w:sz="4" w:space="0"/>
              <w:bottom w:val="single" w:color="auto" w:sz="4" w:space="0"/>
              <w:right w:val="single" w:color="auto" w:sz="4" w:space="0"/>
            </w:tcBorders>
            <w:noWrap w:val="0"/>
            <w:vAlign w:val="center"/>
          </w:tcPr>
          <w:p w14:paraId="2B19FDFC">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p>
        </w:tc>
        <w:tc>
          <w:tcPr>
            <w:tcW w:w="1582" w:type="dxa"/>
            <w:tcBorders>
              <w:top w:val="single" w:color="auto" w:sz="4" w:space="0"/>
              <w:left w:val="nil"/>
              <w:bottom w:val="single" w:color="auto" w:sz="4" w:space="0"/>
              <w:right w:val="single" w:color="auto" w:sz="4" w:space="0"/>
            </w:tcBorders>
            <w:noWrap w:val="0"/>
            <w:vAlign w:val="center"/>
          </w:tcPr>
          <w:p w14:paraId="3D892BB2">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餐厅、厨房的清洁</w:t>
            </w:r>
          </w:p>
        </w:tc>
        <w:tc>
          <w:tcPr>
            <w:tcW w:w="861" w:type="dxa"/>
            <w:tcBorders>
              <w:top w:val="single" w:color="auto" w:sz="4" w:space="0"/>
              <w:left w:val="nil"/>
              <w:bottom w:val="single" w:color="auto" w:sz="4" w:space="0"/>
              <w:right w:val="single" w:color="auto" w:sz="4" w:space="0"/>
            </w:tcBorders>
            <w:noWrap w:val="0"/>
            <w:vAlign w:val="center"/>
          </w:tcPr>
          <w:p w14:paraId="1574A155">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餐后</w:t>
            </w:r>
          </w:p>
        </w:tc>
        <w:tc>
          <w:tcPr>
            <w:tcW w:w="4005" w:type="dxa"/>
            <w:tcBorders>
              <w:top w:val="single" w:color="auto" w:sz="4" w:space="0"/>
              <w:left w:val="nil"/>
              <w:bottom w:val="single" w:color="auto" w:sz="4" w:space="0"/>
              <w:right w:val="single" w:color="auto" w:sz="4" w:space="0"/>
            </w:tcBorders>
            <w:noWrap w:val="0"/>
            <w:vAlign w:val="center"/>
          </w:tcPr>
          <w:p w14:paraId="40270ED9">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按厨房的清洁规范做好食堂各区域地面、墙面、烟罩、设备的卫生清洁。</w:t>
            </w:r>
          </w:p>
        </w:tc>
        <w:tc>
          <w:tcPr>
            <w:tcW w:w="1515" w:type="dxa"/>
            <w:tcBorders>
              <w:top w:val="single" w:color="auto" w:sz="4" w:space="0"/>
              <w:left w:val="nil"/>
              <w:bottom w:val="single" w:color="auto" w:sz="4" w:space="0"/>
              <w:right w:val="single" w:color="auto" w:sz="4" w:space="0"/>
            </w:tcBorders>
            <w:noWrap w:val="0"/>
            <w:vAlign w:val="center"/>
          </w:tcPr>
          <w:p w14:paraId="07D82512">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所有人员</w:t>
            </w:r>
          </w:p>
        </w:tc>
      </w:tr>
      <w:tr w14:paraId="54DA06F8">
        <w:tblPrEx>
          <w:tblCellMar>
            <w:top w:w="0" w:type="dxa"/>
            <w:left w:w="108" w:type="dxa"/>
            <w:bottom w:w="0" w:type="dxa"/>
            <w:right w:w="108" w:type="dxa"/>
          </w:tblCellMar>
        </w:tblPrEx>
        <w:trPr>
          <w:trHeight w:val="23" w:hRule="atLeast"/>
          <w:jc w:val="center"/>
        </w:trPr>
        <w:tc>
          <w:tcPr>
            <w:tcW w:w="994" w:type="dxa"/>
            <w:vMerge w:val="continue"/>
            <w:tcBorders>
              <w:top w:val="single" w:color="auto" w:sz="4" w:space="0"/>
              <w:left w:val="single" w:color="auto" w:sz="4" w:space="0"/>
              <w:bottom w:val="single" w:color="auto" w:sz="4" w:space="0"/>
              <w:right w:val="single" w:color="auto" w:sz="4" w:space="0"/>
            </w:tcBorders>
            <w:noWrap w:val="0"/>
            <w:vAlign w:val="center"/>
          </w:tcPr>
          <w:p w14:paraId="0D8492FB">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p>
        </w:tc>
        <w:tc>
          <w:tcPr>
            <w:tcW w:w="1582" w:type="dxa"/>
            <w:tcBorders>
              <w:top w:val="single" w:color="auto" w:sz="4" w:space="0"/>
              <w:left w:val="nil"/>
              <w:bottom w:val="single" w:color="auto" w:sz="4" w:space="0"/>
              <w:right w:val="single" w:color="auto" w:sz="4" w:space="0"/>
            </w:tcBorders>
            <w:noWrap w:val="0"/>
            <w:vAlign w:val="center"/>
          </w:tcPr>
          <w:p w14:paraId="3520FC19">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厨房安全卫生检查</w:t>
            </w:r>
          </w:p>
        </w:tc>
        <w:tc>
          <w:tcPr>
            <w:tcW w:w="861" w:type="dxa"/>
            <w:tcBorders>
              <w:top w:val="single" w:color="auto" w:sz="4" w:space="0"/>
              <w:left w:val="nil"/>
              <w:bottom w:val="single" w:color="auto" w:sz="4" w:space="0"/>
              <w:right w:val="single" w:color="auto" w:sz="4" w:space="0"/>
            </w:tcBorders>
            <w:noWrap w:val="0"/>
            <w:vAlign w:val="center"/>
          </w:tcPr>
          <w:p w14:paraId="6B5DDFB5">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每天</w:t>
            </w:r>
          </w:p>
        </w:tc>
        <w:tc>
          <w:tcPr>
            <w:tcW w:w="4005" w:type="dxa"/>
            <w:tcBorders>
              <w:top w:val="single" w:color="auto" w:sz="4" w:space="0"/>
              <w:left w:val="nil"/>
              <w:bottom w:val="single" w:color="auto" w:sz="4" w:space="0"/>
              <w:right w:val="single" w:color="auto" w:sz="4" w:space="0"/>
            </w:tcBorders>
            <w:noWrap w:val="0"/>
            <w:vAlign w:val="center"/>
          </w:tcPr>
          <w:p w14:paraId="461417B6">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食堂安全卫生管理；每天三次对食堂水、电、燃气、设备进行安全巡检；食品留样；每天三次日常卫生检查。</w:t>
            </w:r>
          </w:p>
        </w:tc>
        <w:tc>
          <w:tcPr>
            <w:tcW w:w="1515" w:type="dxa"/>
            <w:tcBorders>
              <w:top w:val="single" w:color="auto" w:sz="4" w:space="0"/>
              <w:left w:val="nil"/>
              <w:bottom w:val="single" w:color="auto" w:sz="4" w:space="0"/>
              <w:right w:val="single" w:color="auto" w:sz="4" w:space="0"/>
            </w:tcBorders>
            <w:noWrap w:val="0"/>
            <w:vAlign w:val="center"/>
          </w:tcPr>
          <w:p w14:paraId="69285BE3">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厨师长/主厨/厨师/面点师</w:t>
            </w:r>
          </w:p>
        </w:tc>
      </w:tr>
    </w:tbl>
    <w:p w14:paraId="5E927350">
      <w:pPr>
        <w:rPr>
          <w:rFonts w:hint="eastAsia"/>
          <w:highlight w:val="none"/>
          <w:lang w:val="en-US" w:eastAsia="zh-CN"/>
        </w:rPr>
      </w:pPr>
    </w:p>
    <w:p w14:paraId="31B37D33">
      <w:pPr>
        <w:pStyle w:val="2"/>
        <w:numPr>
          <w:ilvl w:val="0"/>
          <w:numId w:val="6"/>
        </w:numPr>
        <w:ind w:left="0" w:leftChars="0" w:firstLine="562" w:firstLineChars="200"/>
        <w:rPr>
          <w:rFonts w:hint="eastAsia"/>
          <w:b/>
          <w:bCs/>
          <w:sz w:val="28"/>
          <w:szCs w:val="21"/>
          <w:highlight w:val="none"/>
          <w:lang w:val="en-US" w:eastAsia="zh-CN"/>
        </w:rPr>
      </w:pPr>
      <w:r>
        <w:rPr>
          <w:rFonts w:hint="eastAsia"/>
          <w:b/>
          <w:bCs/>
          <w:sz w:val="28"/>
          <w:szCs w:val="21"/>
          <w:highlight w:val="none"/>
          <w:lang w:val="en-US" w:eastAsia="zh-CN"/>
        </w:rPr>
        <w:t>投入设施要求</w:t>
      </w:r>
    </w:p>
    <w:p w14:paraId="2B496515">
      <w:pPr>
        <w:keepNext w:val="0"/>
        <w:keepLines w:val="0"/>
        <w:pageBreakBefore w:val="0"/>
        <w:numPr>
          <w:ilvl w:val="0"/>
          <w:numId w:val="15"/>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后厨所需的锅、刀具、砧板等工作散件用具。</w:t>
      </w:r>
    </w:p>
    <w:p w14:paraId="6F475141">
      <w:pPr>
        <w:keepNext w:val="0"/>
        <w:keepLines w:val="0"/>
        <w:pageBreakBefore w:val="0"/>
        <w:numPr>
          <w:ilvl w:val="0"/>
          <w:numId w:val="15"/>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餐厅打饭窗口上方的菜品展示标识及负责所有饭堂的各类标识牌（可采用电子显示屏）。</w:t>
      </w:r>
    </w:p>
    <w:p w14:paraId="4EFA6864">
      <w:pPr>
        <w:keepNext w:val="0"/>
        <w:keepLines w:val="0"/>
        <w:pageBreakBefore w:val="0"/>
        <w:numPr>
          <w:ilvl w:val="0"/>
          <w:numId w:val="15"/>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餐具，需按照院方需求（VI指定款式）定制餐具标识。</w:t>
      </w:r>
    </w:p>
    <w:p w14:paraId="6B8302BF">
      <w:pPr>
        <w:keepNext w:val="0"/>
        <w:keepLines w:val="0"/>
        <w:pageBreakBefore w:val="0"/>
        <w:numPr>
          <w:ilvl w:val="0"/>
          <w:numId w:val="15"/>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按照深圳市环</w:t>
      </w:r>
      <w:r>
        <w:rPr>
          <w:rFonts w:hint="eastAsia" w:ascii="宋体" w:hAnsi="宋体" w:cs="宋体"/>
          <w:kern w:val="0"/>
          <w:szCs w:val="21"/>
          <w:highlight w:val="none"/>
          <w:lang w:eastAsia="zh-CN"/>
        </w:rPr>
        <w:t>保</w:t>
      </w:r>
      <w:r>
        <w:rPr>
          <w:rFonts w:hint="eastAsia" w:ascii="宋体" w:hAnsi="宋体" w:cs="宋体"/>
          <w:kern w:val="0"/>
          <w:szCs w:val="21"/>
          <w:highlight w:val="none"/>
        </w:rPr>
        <w:t>局要求安装油烟在线监控系统等。</w:t>
      </w:r>
    </w:p>
    <w:p w14:paraId="420D94F0">
      <w:pPr>
        <w:numPr>
          <w:ilvl w:val="0"/>
          <w:numId w:val="15"/>
        </w:numPr>
        <w:spacing w:line="360" w:lineRule="auto"/>
        <w:ind w:left="0" w:leftChars="0" w:firstLine="480" w:firstLineChars="200"/>
        <w:rPr>
          <w:rFonts w:hint="eastAsia"/>
          <w:highlight w:val="none"/>
          <w:lang w:val="en-US" w:eastAsia="zh-CN"/>
        </w:rPr>
      </w:pPr>
      <w:r>
        <w:rPr>
          <w:rFonts w:hint="eastAsia" w:ascii="宋体" w:hAnsi="宋体" w:cs="宋体"/>
          <w:kern w:val="0"/>
          <w:szCs w:val="21"/>
          <w:highlight w:val="none"/>
        </w:rPr>
        <w:t>餐厅家具、家电等设备设施。</w:t>
      </w:r>
    </w:p>
    <w:p w14:paraId="3EC56505">
      <w:pPr>
        <w:pStyle w:val="2"/>
        <w:rPr>
          <w:rFonts w:hint="eastAsia" w:ascii="宋体" w:hAnsi="宋体" w:cs="宋体"/>
          <w:kern w:val="0"/>
          <w:szCs w:val="21"/>
          <w:highlight w:val="none"/>
        </w:rPr>
      </w:pPr>
    </w:p>
    <w:p w14:paraId="2D7FF1B2">
      <w:pPr>
        <w:pStyle w:val="2"/>
        <w:numPr>
          <w:ilvl w:val="0"/>
          <w:numId w:val="6"/>
        </w:numPr>
        <w:ind w:left="0" w:leftChars="0" w:firstLine="562" w:firstLineChars="200"/>
        <w:rPr>
          <w:rFonts w:hint="eastAsia"/>
          <w:b/>
          <w:bCs/>
          <w:sz w:val="28"/>
          <w:szCs w:val="21"/>
          <w:highlight w:val="none"/>
          <w:lang w:val="en-US" w:eastAsia="zh-CN"/>
        </w:rPr>
      </w:pPr>
      <w:r>
        <w:rPr>
          <w:rFonts w:hint="eastAsia"/>
          <w:b/>
          <w:bCs/>
          <w:sz w:val="28"/>
          <w:szCs w:val="21"/>
          <w:highlight w:val="none"/>
          <w:lang w:val="en-US" w:eastAsia="zh-CN"/>
        </w:rPr>
        <w:t>成果要求</w:t>
      </w:r>
    </w:p>
    <w:tbl>
      <w:tblPr>
        <w:tblStyle w:val="13"/>
        <w:tblW w:w="9117" w:type="dxa"/>
        <w:jc w:val="center"/>
        <w:tblLayout w:type="fixed"/>
        <w:tblCellMar>
          <w:top w:w="0" w:type="dxa"/>
          <w:left w:w="108" w:type="dxa"/>
          <w:bottom w:w="0" w:type="dxa"/>
          <w:right w:w="108" w:type="dxa"/>
        </w:tblCellMar>
      </w:tblPr>
      <w:tblGrid>
        <w:gridCol w:w="990"/>
        <w:gridCol w:w="1484"/>
        <w:gridCol w:w="1460"/>
        <w:gridCol w:w="5183"/>
      </w:tblGrid>
      <w:tr w14:paraId="6D4CECC3">
        <w:tblPrEx>
          <w:tblCellMar>
            <w:top w:w="0" w:type="dxa"/>
            <w:left w:w="108" w:type="dxa"/>
            <w:bottom w:w="0" w:type="dxa"/>
            <w:right w:w="108" w:type="dxa"/>
          </w:tblCellMar>
        </w:tblPrEx>
        <w:trPr>
          <w:trHeight w:val="23" w:hRule="atLeast"/>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6B4D3196">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序号</w:t>
            </w:r>
          </w:p>
        </w:tc>
        <w:tc>
          <w:tcPr>
            <w:tcW w:w="1484" w:type="dxa"/>
            <w:tcBorders>
              <w:top w:val="single" w:color="auto" w:sz="4" w:space="0"/>
              <w:left w:val="nil"/>
              <w:bottom w:val="single" w:color="auto" w:sz="4" w:space="0"/>
              <w:right w:val="single" w:color="auto" w:sz="4" w:space="0"/>
            </w:tcBorders>
            <w:noWrap w:val="0"/>
            <w:vAlign w:val="center"/>
          </w:tcPr>
          <w:p w14:paraId="310C45AD">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项目</w:t>
            </w:r>
          </w:p>
        </w:tc>
        <w:tc>
          <w:tcPr>
            <w:tcW w:w="1460" w:type="dxa"/>
            <w:tcBorders>
              <w:top w:val="single" w:color="auto" w:sz="4" w:space="0"/>
              <w:left w:val="nil"/>
              <w:bottom w:val="single" w:color="auto" w:sz="4" w:space="0"/>
              <w:right w:val="single" w:color="auto" w:sz="4" w:space="0"/>
            </w:tcBorders>
            <w:noWrap w:val="0"/>
            <w:vAlign w:val="center"/>
          </w:tcPr>
          <w:p w14:paraId="65E5EAF4">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标准</w:t>
            </w:r>
          </w:p>
        </w:tc>
        <w:tc>
          <w:tcPr>
            <w:tcW w:w="5183" w:type="dxa"/>
            <w:tcBorders>
              <w:top w:val="single" w:color="auto" w:sz="4" w:space="0"/>
              <w:left w:val="nil"/>
              <w:bottom w:val="single" w:color="auto" w:sz="4" w:space="0"/>
              <w:right w:val="single" w:color="auto" w:sz="4" w:space="0"/>
            </w:tcBorders>
            <w:noWrap w:val="0"/>
            <w:vAlign w:val="center"/>
          </w:tcPr>
          <w:p w14:paraId="5680FF35">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内容及考核细则</w:t>
            </w:r>
          </w:p>
        </w:tc>
      </w:tr>
      <w:tr w14:paraId="7B34CA68">
        <w:tblPrEx>
          <w:tblCellMar>
            <w:top w:w="0" w:type="dxa"/>
            <w:left w:w="108" w:type="dxa"/>
            <w:bottom w:w="0" w:type="dxa"/>
            <w:right w:w="108" w:type="dxa"/>
          </w:tblCellMar>
        </w:tblPrEx>
        <w:trPr>
          <w:trHeight w:val="23" w:hRule="atLeast"/>
          <w:jc w:val="center"/>
        </w:trPr>
        <w:tc>
          <w:tcPr>
            <w:tcW w:w="990" w:type="dxa"/>
            <w:tcBorders>
              <w:top w:val="nil"/>
              <w:left w:val="single" w:color="auto" w:sz="4" w:space="0"/>
              <w:bottom w:val="single" w:color="auto" w:sz="4" w:space="0"/>
              <w:right w:val="single" w:color="auto" w:sz="4" w:space="0"/>
            </w:tcBorders>
            <w:noWrap w:val="0"/>
            <w:vAlign w:val="center"/>
          </w:tcPr>
          <w:p w14:paraId="16A1A7FF">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1</w:t>
            </w:r>
          </w:p>
        </w:tc>
        <w:tc>
          <w:tcPr>
            <w:tcW w:w="1484" w:type="dxa"/>
            <w:tcBorders>
              <w:top w:val="nil"/>
              <w:left w:val="nil"/>
              <w:bottom w:val="single" w:color="auto" w:sz="4" w:space="0"/>
              <w:right w:val="single" w:color="auto" w:sz="4" w:space="0"/>
            </w:tcBorders>
            <w:noWrap w:val="0"/>
            <w:vAlign w:val="center"/>
          </w:tcPr>
          <w:p w14:paraId="36D173CA">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服务完成率</w:t>
            </w:r>
          </w:p>
        </w:tc>
        <w:tc>
          <w:tcPr>
            <w:tcW w:w="1460" w:type="dxa"/>
            <w:tcBorders>
              <w:top w:val="nil"/>
              <w:left w:val="nil"/>
              <w:bottom w:val="single" w:color="auto" w:sz="4" w:space="0"/>
              <w:right w:val="single" w:color="auto" w:sz="4" w:space="0"/>
            </w:tcBorders>
            <w:noWrap w:val="0"/>
            <w:vAlign w:val="center"/>
          </w:tcPr>
          <w:p w14:paraId="3FDFBE09">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100%</w:t>
            </w:r>
          </w:p>
        </w:tc>
        <w:tc>
          <w:tcPr>
            <w:tcW w:w="5183" w:type="dxa"/>
            <w:tcBorders>
              <w:top w:val="nil"/>
              <w:left w:val="nil"/>
              <w:bottom w:val="single" w:color="auto" w:sz="4" w:space="0"/>
              <w:right w:val="single" w:color="auto" w:sz="4" w:space="0"/>
            </w:tcBorders>
            <w:noWrap w:val="0"/>
            <w:vAlign w:val="center"/>
          </w:tcPr>
          <w:p w14:paraId="38D6A290">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有无年度工作计划、总结及规章制度，坚守工作岗位，保持良好工作秩序，做好防火、防盗、防破坏等工作。</w:t>
            </w:r>
          </w:p>
        </w:tc>
      </w:tr>
      <w:tr w14:paraId="576268B9">
        <w:tblPrEx>
          <w:tblCellMar>
            <w:top w:w="0" w:type="dxa"/>
            <w:left w:w="108" w:type="dxa"/>
            <w:bottom w:w="0" w:type="dxa"/>
            <w:right w:w="108" w:type="dxa"/>
          </w:tblCellMar>
        </w:tblPrEx>
        <w:trPr>
          <w:trHeight w:val="23" w:hRule="atLeast"/>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67A53D87">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2</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0BFF6F88">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厨具、餐具、饮具保洁率</w:t>
            </w:r>
          </w:p>
        </w:tc>
        <w:tc>
          <w:tcPr>
            <w:tcW w:w="1460" w:type="dxa"/>
            <w:tcBorders>
              <w:top w:val="single" w:color="auto" w:sz="4" w:space="0"/>
              <w:left w:val="single" w:color="auto" w:sz="4" w:space="0"/>
              <w:bottom w:val="single" w:color="auto" w:sz="4" w:space="0"/>
              <w:right w:val="single" w:color="auto" w:sz="4" w:space="0"/>
            </w:tcBorders>
            <w:noWrap w:val="0"/>
            <w:vAlign w:val="center"/>
          </w:tcPr>
          <w:p w14:paraId="157EE08B">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100%</w:t>
            </w:r>
          </w:p>
        </w:tc>
        <w:tc>
          <w:tcPr>
            <w:tcW w:w="5183" w:type="dxa"/>
            <w:tcBorders>
              <w:top w:val="single" w:color="auto" w:sz="4" w:space="0"/>
              <w:left w:val="single" w:color="auto" w:sz="4" w:space="0"/>
              <w:bottom w:val="single" w:color="auto" w:sz="4" w:space="0"/>
              <w:right w:val="single" w:color="auto" w:sz="4" w:space="0"/>
            </w:tcBorders>
            <w:noWrap w:val="0"/>
            <w:vAlign w:val="center"/>
          </w:tcPr>
          <w:p w14:paraId="3C69BAC5">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有无实行责任包干，指定勤杂服务员进行餐具洗消工作，实行巡查制度，以确保餐具无污染。</w:t>
            </w:r>
          </w:p>
        </w:tc>
      </w:tr>
      <w:tr w14:paraId="742084D3">
        <w:tblPrEx>
          <w:tblCellMar>
            <w:top w:w="0" w:type="dxa"/>
            <w:left w:w="108" w:type="dxa"/>
            <w:bottom w:w="0" w:type="dxa"/>
            <w:right w:w="108" w:type="dxa"/>
          </w:tblCellMar>
        </w:tblPrEx>
        <w:trPr>
          <w:trHeight w:val="23" w:hRule="atLeast"/>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245E67A8">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3</w:t>
            </w:r>
          </w:p>
        </w:tc>
        <w:tc>
          <w:tcPr>
            <w:tcW w:w="1484" w:type="dxa"/>
            <w:tcBorders>
              <w:top w:val="single" w:color="auto" w:sz="4" w:space="0"/>
              <w:left w:val="nil"/>
              <w:bottom w:val="single" w:color="auto" w:sz="4" w:space="0"/>
              <w:right w:val="single" w:color="auto" w:sz="4" w:space="0"/>
            </w:tcBorders>
            <w:noWrap w:val="0"/>
            <w:vAlign w:val="center"/>
          </w:tcPr>
          <w:p w14:paraId="2B8BEAA6">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厨房排水、明暗沟完好率</w:t>
            </w:r>
          </w:p>
        </w:tc>
        <w:tc>
          <w:tcPr>
            <w:tcW w:w="1460" w:type="dxa"/>
            <w:tcBorders>
              <w:top w:val="single" w:color="auto" w:sz="4" w:space="0"/>
              <w:left w:val="nil"/>
              <w:bottom w:val="single" w:color="auto" w:sz="4" w:space="0"/>
              <w:right w:val="single" w:color="auto" w:sz="4" w:space="0"/>
            </w:tcBorders>
            <w:noWrap w:val="0"/>
            <w:vAlign w:val="center"/>
          </w:tcPr>
          <w:p w14:paraId="440D1EDF">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100%</w:t>
            </w:r>
          </w:p>
        </w:tc>
        <w:tc>
          <w:tcPr>
            <w:tcW w:w="5183" w:type="dxa"/>
            <w:tcBorders>
              <w:top w:val="single" w:color="auto" w:sz="4" w:space="0"/>
              <w:left w:val="nil"/>
              <w:bottom w:val="single" w:color="auto" w:sz="4" w:space="0"/>
              <w:right w:val="single" w:color="auto" w:sz="4" w:space="0"/>
            </w:tcBorders>
            <w:noWrap w:val="0"/>
            <w:vAlign w:val="center"/>
          </w:tcPr>
          <w:p w14:paraId="68DCE659">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有无指定人员负责维护，确保厨房排水畅通无阻、无积水。</w:t>
            </w:r>
          </w:p>
        </w:tc>
      </w:tr>
      <w:tr w14:paraId="1FCA4FB3">
        <w:tblPrEx>
          <w:tblCellMar>
            <w:top w:w="0" w:type="dxa"/>
            <w:left w:w="108" w:type="dxa"/>
            <w:bottom w:w="0" w:type="dxa"/>
            <w:right w:w="108" w:type="dxa"/>
          </w:tblCellMar>
        </w:tblPrEx>
        <w:trPr>
          <w:trHeight w:val="23" w:hRule="atLeast"/>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7E4447FF">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4</w:t>
            </w:r>
          </w:p>
        </w:tc>
        <w:tc>
          <w:tcPr>
            <w:tcW w:w="1484" w:type="dxa"/>
            <w:tcBorders>
              <w:top w:val="single" w:color="auto" w:sz="4" w:space="0"/>
              <w:left w:val="nil"/>
              <w:bottom w:val="single" w:color="auto" w:sz="4" w:space="0"/>
              <w:right w:val="single" w:color="auto" w:sz="4" w:space="0"/>
            </w:tcBorders>
            <w:noWrap w:val="0"/>
            <w:vAlign w:val="center"/>
          </w:tcPr>
          <w:p w14:paraId="371AF586">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有效投诉、处理及时率及处理时限</w:t>
            </w:r>
          </w:p>
        </w:tc>
        <w:tc>
          <w:tcPr>
            <w:tcW w:w="1460" w:type="dxa"/>
            <w:tcBorders>
              <w:top w:val="single" w:color="auto" w:sz="4" w:space="0"/>
              <w:left w:val="nil"/>
              <w:bottom w:val="single" w:color="auto" w:sz="4" w:space="0"/>
              <w:right w:val="single" w:color="auto" w:sz="4" w:space="0"/>
            </w:tcBorders>
            <w:noWrap w:val="0"/>
            <w:vAlign w:val="center"/>
          </w:tcPr>
          <w:p w14:paraId="60AFBB60">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每月少于等于1件；</w:t>
            </w:r>
          </w:p>
          <w:p w14:paraId="6C3137EC">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处理及时率100%</w:t>
            </w:r>
          </w:p>
        </w:tc>
        <w:tc>
          <w:tcPr>
            <w:tcW w:w="5183" w:type="dxa"/>
            <w:tcBorders>
              <w:top w:val="single" w:color="auto" w:sz="4" w:space="0"/>
              <w:left w:val="nil"/>
              <w:bottom w:val="single" w:color="auto" w:sz="4" w:space="0"/>
              <w:right w:val="single" w:color="auto" w:sz="4" w:space="0"/>
            </w:tcBorders>
            <w:noWrap w:val="0"/>
            <w:vAlign w:val="center"/>
          </w:tcPr>
          <w:p w14:paraId="2C3BEFF7">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有无按照标准规定做好各项工作，提高员工素质，加强与职工之间的沟通，定期征求职工意见，主动改进工作；定期举行座谈会，了解职工的愿望及要求，满足职工的合理要求，将投诉及时处理及记录并建立回访制度(处理时限：立即处理，分类考虑可能处理的时间，一般不超过半天)，强化服务意识，提高员工素质。</w:t>
            </w:r>
          </w:p>
        </w:tc>
      </w:tr>
      <w:tr w14:paraId="24807828">
        <w:tblPrEx>
          <w:tblCellMar>
            <w:top w:w="0" w:type="dxa"/>
            <w:left w:w="108" w:type="dxa"/>
            <w:bottom w:w="0" w:type="dxa"/>
            <w:right w:w="108" w:type="dxa"/>
          </w:tblCellMar>
        </w:tblPrEx>
        <w:trPr>
          <w:trHeight w:val="23" w:hRule="atLeast"/>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27FD93EB">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5</w:t>
            </w:r>
          </w:p>
        </w:tc>
        <w:tc>
          <w:tcPr>
            <w:tcW w:w="1484" w:type="dxa"/>
            <w:tcBorders>
              <w:top w:val="single" w:color="auto" w:sz="4" w:space="0"/>
              <w:left w:val="nil"/>
              <w:bottom w:val="single" w:color="auto" w:sz="4" w:space="0"/>
              <w:right w:val="single" w:color="auto" w:sz="4" w:space="0"/>
            </w:tcBorders>
            <w:noWrap w:val="0"/>
            <w:vAlign w:val="center"/>
          </w:tcPr>
          <w:p w14:paraId="578633D9">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员工专业培训合格率</w:t>
            </w:r>
          </w:p>
        </w:tc>
        <w:tc>
          <w:tcPr>
            <w:tcW w:w="1460" w:type="dxa"/>
            <w:tcBorders>
              <w:top w:val="single" w:color="auto" w:sz="4" w:space="0"/>
              <w:left w:val="nil"/>
              <w:bottom w:val="single" w:color="auto" w:sz="4" w:space="0"/>
              <w:right w:val="single" w:color="auto" w:sz="4" w:space="0"/>
            </w:tcBorders>
            <w:noWrap w:val="0"/>
            <w:vAlign w:val="center"/>
          </w:tcPr>
          <w:p w14:paraId="250870AA">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100%</w:t>
            </w:r>
          </w:p>
        </w:tc>
        <w:tc>
          <w:tcPr>
            <w:tcW w:w="5183" w:type="dxa"/>
            <w:tcBorders>
              <w:top w:val="single" w:color="auto" w:sz="4" w:space="0"/>
              <w:left w:val="nil"/>
              <w:bottom w:val="single" w:color="auto" w:sz="4" w:space="0"/>
              <w:right w:val="single" w:color="auto" w:sz="4" w:space="0"/>
            </w:tcBorders>
            <w:noWrap w:val="0"/>
            <w:vAlign w:val="center"/>
          </w:tcPr>
          <w:p w14:paraId="0AFC27CB">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有无建立培训考核制度，对员工分别进行入职、在职及升职的培训，并予以考核，不合格者淘汰，确保培训合格率达标，以此确保员工的高素质。</w:t>
            </w:r>
          </w:p>
        </w:tc>
      </w:tr>
      <w:tr w14:paraId="438220EB">
        <w:tblPrEx>
          <w:tblCellMar>
            <w:top w:w="0" w:type="dxa"/>
            <w:left w:w="108" w:type="dxa"/>
            <w:bottom w:w="0" w:type="dxa"/>
            <w:right w:w="108" w:type="dxa"/>
          </w:tblCellMar>
        </w:tblPrEx>
        <w:trPr>
          <w:trHeight w:val="23" w:hRule="atLeast"/>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1D7E7345">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6</w:t>
            </w:r>
          </w:p>
        </w:tc>
        <w:tc>
          <w:tcPr>
            <w:tcW w:w="1484" w:type="dxa"/>
            <w:tcBorders>
              <w:top w:val="single" w:color="auto" w:sz="4" w:space="0"/>
              <w:left w:val="nil"/>
              <w:bottom w:val="single" w:color="auto" w:sz="4" w:space="0"/>
              <w:right w:val="single" w:color="auto" w:sz="4" w:space="0"/>
            </w:tcBorders>
            <w:noWrap w:val="0"/>
            <w:vAlign w:val="center"/>
          </w:tcPr>
          <w:p w14:paraId="7AA4448D">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食堂满意率</w:t>
            </w:r>
          </w:p>
        </w:tc>
        <w:tc>
          <w:tcPr>
            <w:tcW w:w="1460" w:type="dxa"/>
            <w:tcBorders>
              <w:top w:val="single" w:color="auto" w:sz="4" w:space="0"/>
              <w:left w:val="nil"/>
              <w:bottom w:val="single" w:color="auto" w:sz="4" w:space="0"/>
              <w:right w:val="single" w:color="auto" w:sz="4" w:space="0"/>
            </w:tcBorders>
            <w:noWrap w:val="0"/>
            <w:vAlign w:val="center"/>
          </w:tcPr>
          <w:p w14:paraId="20F1568C">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80%及以上</w:t>
            </w:r>
          </w:p>
        </w:tc>
        <w:tc>
          <w:tcPr>
            <w:tcW w:w="5183" w:type="dxa"/>
            <w:tcBorders>
              <w:top w:val="single" w:color="auto" w:sz="4" w:space="0"/>
              <w:left w:val="nil"/>
              <w:bottom w:val="single" w:color="auto" w:sz="4" w:space="0"/>
              <w:right w:val="single" w:color="auto" w:sz="4" w:space="0"/>
            </w:tcBorders>
            <w:noWrap w:val="0"/>
            <w:vAlign w:val="center"/>
          </w:tcPr>
          <w:p w14:paraId="1E2932CE">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是否采用科学管理手段，强化服务意识，及时收集客户的需求信息，尽可能满足职工的需求，加强双方的沟通，以确保职工对食堂管理工作的满意程度。</w:t>
            </w:r>
          </w:p>
        </w:tc>
      </w:tr>
      <w:tr w14:paraId="61AE8881">
        <w:tblPrEx>
          <w:tblCellMar>
            <w:top w:w="0" w:type="dxa"/>
            <w:left w:w="108" w:type="dxa"/>
            <w:bottom w:w="0" w:type="dxa"/>
            <w:right w:w="108" w:type="dxa"/>
          </w:tblCellMar>
        </w:tblPrEx>
        <w:trPr>
          <w:trHeight w:val="23" w:hRule="atLeast"/>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7754E456">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7</w:t>
            </w:r>
          </w:p>
        </w:tc>
        <w:tc>
          <w:tcPr>
            <w:tcW w:w="1484" w:type="dxa"/>
            <w:tcBorders>
              <w:top w:val="single" w:color="auto" w:sz="4" w:space="0"/>
              <w:left w:val="nil"/>
              <w:bottom w:val="single" w:color="auto" w:sz="4" w:space="0"/>
              <w:right w:val="single" w:color="auto" w:sz="4" w:space="0"/>
            </w:tcBorders>
            <w:noWrap w:val="0"/>
            <w:vAlign w:val="center"/>
          </w:tcPr>
          <w:p w14:paraId="698FC0D3">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食堂垃圾收集运送满意率</w:t>
            </w:r>
          </w:p>
        </w:tc>
        <w:tc>
          <w:tcPr>
            <w:tcW w:w="1460" w:type="dxa"/>
            <w:tcBorders>
              <w:top w:val="single" w:color="auto" w:sz="4" w:space="0"/>
              <w:left w:val="nil"/>
              <w:bottom w:val="single" w:color="auto" w:sz="4" w:space="0"/>
              <w:right w:val="single" w:color="auto" w:sz="4" w:space="0"/>
            </w:tcBorders>
            <w:noWrap w:val="0"/>
            <w:vAlign w:val="center"/>
          </w:tcPr>
          <w:p w14:paraId="44ED8F61">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100%</w:t>
            </w:r>
          </w:p>
        </w:tc>
        <w:tc>
          <w:tcPr>
            <w:tcW w:w="5183" w:type="dxa"/>
            <w:tcBorders>
              <w:top w:val="single" w:color="auto" w:sz="4" w:space="0"/>
              <w:left w:val="nil"/>
              <w:bottom w:val="single" w:color="auto" w:sz="4" w:space="0"/>
              <w:right w:val="single" w:color="auto" w:sz="4" w:space="0"/>
            </w:tcBorders>
            <w:noWrap w:val="0"/>
            <w:vAlign w:val="center"/>
          </w:tcPr>
          <w:p w14:paraId="6269095B">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食堂垃圾收集运送是否及时、准确，无渗漏，无损坏。</w:t>
            </w:r>
          </w:p>
        </w:tc>
      </w:tr>
    </w:tbl>
    <w:p w14:paraId="25D9A300">
      <w:pPr>
        <w:numPr>
          <w:ilvl w:val="0"/>
          <w:numId w:val="0"/>
        </w:numPr>
        <w:spacing w:line="360" w:lineRule="auto"/>
        <w:rPr>
          <w:rFonts w:hint="eastAsia" w:ascii="宋体" w:hAnsi="宋体" w:eastAsia="宋体" w:cs="宋体"/>
          <w:b/>
          <w:bCs/>
          <w:sz w:val="28"/>
          <w:szCs w:val="28"/>
          <w:highlight w:val="none"/>
          <w:lang w:eastAsia="zh-CN"/>
        </w:rPr>
      </w:pPr>
    </w:p>
    <w:p w14:paraId="79868E07">
      <w:pPr>
        <w:pStyle w:val="2"/>
        <w:numPr>
          <w:ilvl w:val="0"/>
          <w:numId w:val="6"/>
        </w:numPr>
        <w:ind w:left="0" w:leftChars="0" w:firstLine="562" w:firstLineChars="200"/>
        <w:rPr>
          <w:rFonts w:hint="eastAsia"/>
          <w:b/>
          <w:bCs/>
          <w:sz w:val="28"/>
          <w:szCs w:val="21"/>
          <w:highlight w:val="none"/>
          <w:lang w:val="en-US" w:eastAsia="zh-CN"/>
        </w:rPr>
      </w:pPr>
      <w:r>
        <w:rPr>
          <w:rFonts w:hint="eastAsia"/>
          <w:b/>
          <w:bCs/>
          <w:sz w:val="28"/>
          <w:szCs w:val="21"/>
          <w:highlight w:val="none"/>
          <w:lang w:val="en-US" w:eastAsia="zh-CN"/>
        </w:rPr>
        <w:t>服务质量考核表</w:t>
      </w:r>
    </w:p>
    <w:p w14:paraId="7F929485">
      <w:pPr>
        <w:jc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bCs/>
          <w:i w:val="0"/>
          <w:iCs w:val="0"/>
          <w:color w:val="000000"/>
          <w:kern w:val="0"/>
          <w:sz w:val="24"/>
          <w:szCs w:val="24"/>
          <w:highlight w:val="none"/>
          <w:u w:val="none"/>
          <w:lang w:val="en-US" w:eastAsia="zh-CN" w:bidi="ar"/>
        </w:rPr>
        <w:t>职工</w:t>
      </w:r>
      <w:r>
        <w:rPr>
          <w:rFonts w:hint="eastAsia" w:ascii="宋体" w:hAnsi="宋体" w:eastAsia="宋体" w:cs="宋体"/>
          <w:b/>
          <w:bCs/>
          <w:i w:val="0"/>
          <w:iCs w:val="0"/>
          <w:color w:val="000000"/>
          <w:kern w:val="0"/>
          <w:sz w:val="24"/>
          <w:szCs w:val="24"/>
          <w:highlight w:val="none"/>
          <w:u w:val="none"/>
          <w:lang w:val="en-US" w:eastAsia="zh-CN" w:bidi="ar"/>
        </w:rPr>
        <w:t>餐厅工作质量月度考核表</w:t>
      </w:r>
    </w:p>
    <w:p w14:paraId="39A87A3A">
      <w:pPr>
        <w:pStyle w:val="2"/>
        <w:rPr>
          <w:rFonts w:hint="default"/>
          <w:b/>
          <w:bCs/>
          <w:highlight w:val="none"/>
          <w:lang w:val="en-US" w:eastAsia="zh-CN"/>
        </w:rPr>
      </w:pPr>
      <w:r>
        <w:rPr>
          <w:rFonts w:hint="eastAsia" w:ascii="宋体" w:hAnsi="宋体" w:eastAsia="宋体" w:cs="宋体"/>
          <w:b/>
          <w:bCs/>
          <w:i w:val="0"/>
          <w:iCs w:val="0"/>
          <w:color w:val="000000"/>
          <w:kern w:val="0"/>
          <w:sz w:val="18"/>
          <w:szCs w:val="18"/>
          <w:highlight w:val="none"/>
          <w:u w:val="none"/>
          <w:lang w:val="en-US" w:eastAsia="zh-CN" w:bidi="ar"/>
        </w:rPr>
        <w:t>科室：</w:t>
      </w:r>
      <w:r>
        <w:rPr>
          <w:rFonts w:hint="eastAsia" w:ascii="宋体" w:hAnsi="宋体" w:cs="宋体"/>
          <w:b/>
          <w:bCs/>
          <w:i w:val="0"/>
          <w:iCs w:val="0"/>
          <w:color w:val="000000"/>
          <w:kern w:val="0"/>
          <w:sz w:val="18"/>
          <w:szCs w:val="18"/>
          <w:highlight w:val="none"/>
          <w:u w:val="none"/>
          <w:lang w:val="en-US" w:eastAsia="zh-CN" w:bidi="ar"/>
        </w:rPr>
        <w:t xml:space="preserve">                 </w:t>
      </w:r>
      <w:r>
        <w:rPr>
          <w:rFonts w:hint="eastAsia" w:ascii="宋体" w:hAnsi="宋体" w:eastAsia="宋体" w:cs="宋体"/>
          <w:b/>
          <w:bCs/>
          <w:i w:val="0"/>
          <w:iCs w:val="0"/>
          <w:color w:val="000000"/>
          <w:kern w:val="0"/>
          <w:sz w:val="18"/>
          <w:szCs w:val="18"/>
          <w:highlight w:val="none"/>
          <w:u w:val="none"/>
          <w:lang w:val="en-US" w:eastAsia="zh-CN" w:bidi="ar"/>
        </w:rPr>
        <w:t xml:space="preserve">考核日期： </w:t>
      </w:r>
      <w:r>
        <w:rPr>
          <w:rFonts w:hint="eastAsia" w:ascii="宋体" w:hAnsi="宋体" w:cs="宋体"/>
          <w:b/>
          <w:bCs/>
          <w:i w:val="0"/>
          <w:iCs w:val="0"/>
          <w:color w:val="000000"/>
          <w:kern w:val="0"/>
          <w:sz w:val="18"/>
          <w:szCs w:val="18"/>
          <w:highlight w:val="none"/>
          <w:u w:val="none"/>
          <w:lang w:val="en-US" w:eastAsia="zh-CN" w:bidi="ar"/>
        </w:rPr>
        <w:t xml:space="preserve">                      </w:t>
      </w:r>
      <w:r>
        <w:rPr>
          <w:rFonts w:hint="eastAsia" w:ascii="宋体" w:hAnsi="宋体" w:eastAsia="宋体" w:cs="宋体"/>
          <w:b/>
          <w:bCs/>
          <w:i w:val="0"/>
          <w:iCs w:val="0"/>
          <w:color w:val="000000"/>
          <w:kern w:val="0"/>
          <w:sz w:val="18"/>
          <w:szCs w:val="18"/>
          <w:highlight w:val="none"/>
          <w:u w:val="none"/>
          <w:lang w:val="en-US" w:eastAsia="zh-CN" w:bidi="ar"/>
        </w:rPr>
        <w:t>考核者：</w:t>
      </w:r>
      <w:r>
        <w:rPr>
          <w:rFonts w:hint="eastAsia" w:ascii="宋体" w:hAnsi="宋体" w:cs="宋体"/>
          <w:b/>
          <w:bCs/>
          <w:i w:val="0"/>
          <w:iCs w:val="0"/>
          <w:color w:val="000000"/>
          <w:kern w:val="0"/>
          <w:sz w:val="18"/>
          <w:szCs w:val="18"/>
          <w:highlight w:val="none"/>
          <w:u w:val="none"/>
          <w:lang w:val="en-US" w:eastAsia="zh-CN" w:bidi="ar"/>
        </w:rPr>
        <w:t xml:space="preserve">                     </w:t>
      </w:r>
      <w:r>
        <w:rPr>
          <w:rFonts w:hint="eastAsia" w:ascii="宋体" w:hAnsi="宋体" w:eastAsia="宋体" w:cs="宋体"/>
          <w:b/>
          <w:bCs/>
          <w:i w:val="0"/>
          <w:iCs w:val="0"/>
          <w:color w:val="000000"/>
          <w:kern w:val="0"/>
          <w:sz w:val="18"/>
          <w:szCs w:val="18"/>
          <w:highlight w:val="none"/>
          <w:u w:val="none"/>
          <w:lang w:val="en-US" w:eastAsia="zh-CN" w:bidi="ar"/>
        </w:rPr>
        <w:t>得分</w:t>
      </w:r>
    </w:p>
    <w:tbl>
      <w:tblPr>
        <w:tblStyle w:val="13"/>
        <w:tblW w:w="99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8"/>
        <w:gridCol w:w="1232"/>
        <w:gridCol w:w="7263"/>
        <w:gridCol w:w="236"/>
        <w:gridCol w:w="236"/>
        <w:gridCol w:w="236"/>
      </w:tblGrid>
      <w:tr w14:paraId="097F6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C2A7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sz w:val="18"/>
                <w:szCs w:val="18"/>
                <w:highlight w:val="none"/>
                <w:u w:val="none"/>
              </w:rPr>
            </w:pPr>
            <w:r>
              <w:rPr>
                <w:rFonts w:hint="eastAsia" w:asciiTheme="minorEastAsia" w:hAnsiTheme="minorEastAsia" w:eastAsiaTheme="minorEastAsia" w:cstheme="minorEastAsia"/>
                <w:b/>
                <w:bCs/>
                <w:i w:val="0"/>
                <w:iCs w:val="0"/>
                <w:color w:val="000000"/>
                <w:kern w:val="0"/>
                <w:sz w:val="18"/>
                <w:szCs w:val="18"/>
                <w:highlight w:val="none"/>
                <w:u w:val="none"/>
                <w:lang w:val="en-US" w:eastAsia="zh-CN" w:bidi="ar"/>
              </w:rPr>
              <w:t>项    目</w:t>
            </w:r>
          </w:p>
        </w:tc>
        <w:tc>
          <w:tcPr>
            <w:tcW w:w="7263" w:type="dxa"/>
            <w:tcBorders>
              <w:top w:val="single" w:color="000000" w:sz="4" w:space="0"/>
              <w:left w:val="single" w:color="000000" w:sz="4" w:space="0"/>
              <w:bottom w:val="nil"/>
              <w:right w:val="nil"/>
            </w:tcBorders>
            <w:shd w:val="clear" w:color="auto" w:fill="auto"/>
            <w:noWrap/>
            <w:vAlign w:val="center"/>
          </w:tcPr>
          <w:p w14:paraId="04385AD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sz w:val="18"/>
                <w:szCs w:val="18"/>
                <w:highlight w:val="none"/>
                <w:u w:val="none"/>
              </w:rPr>
            </w:pPr>
            <w:r>
              <w:rPr>
                <w:rFonts w:hint="eastAsia" w:asciiTheme="minorEastAsia" w:hAnsiTheme="minorEastAsia" w:eastAsiaTheme="minorEastAsia" w:cstheme="minorEastAsia"/>
                <w:b/>
                <w:bCs/>
                <w:i w:val="0"/>
                <w:iCs w:val="0"/>
                <w:color w:val="000000"/>
                <w:kern w:val="0"/>
                <w:sz w:val="18"/>
                <w:szCs w:val="18"/>
                <w:highlight w:val="none"/>
                <w:u w:val="none"/>
                <w:lang w:val="en-US" w:eastAsia="zh-CN" w:bidi="ar"/>
              </w:rPr>
              <w:t>考核内容</w:t>
            </w:r>
          </w:p>
        </w:tc>
        <w:tc>
          <w:tcPr>
            <w:tcW w:w="7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45DB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bCs/>
                <w:i w:val="0"/>
                <w:iCs w:val="0"/>
                <w:color w:val="000000"/>
                <w:sz w:val="18"/>
                <w:szCs w:val="18"/>
                <w:highlight w:val="none"/>
                <w:u w:val="none"/>
              </w:rPr>
            </w:pPr>
            <w:r>
              <w:rPr>
                <w:rFonts w:hint="eastAsia" w:asciiTheme="minorEastAsia" w:hAnsiTheme="minorEastAsia" w:eastAsiaTheme="minorEastAsia" w:cstheme="minorEastAsia"/>
                <w:b/>
                <w:bCs/>
                <w:i w:val="0"/>
                <w:iCs w:val="0"/>
                <w:color w:val="000000"/>
                <w:kern w:val="0"/>
                <w:sz w:val="18"/>
                <w:szCs w:val="18"/>
                <w:highlight w:val="none"/>
                <w:u w:val="none"/>
                <w:lang w:val="en-US" w:eastAsia="zh-CN" w:bidi="ar"/>
              </w:rPr>
              <w:t xml:space="preserve"> 分值</w:t>
            </w:r>
          </w:p>
        </w:tc>
      </w:tr>
      <w:tr w14:paraId="377D3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D4DF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食品安全管理</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62F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工作人员健康管理</w:t>
            </w:r>
          </w:p>
        </w:tc>
        <w:tc>
          <w:tcPr>
            <w:tcW w:w="7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093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 xml:space="preserve">1.建立健康管理档案：专人管理健康证，定期检查证件有效期，持证上岗，每天检查人员健康状况并登记；按规定着装、佩戴口罩、手套等，个人卫生达标，做好“五病调离”记录 。     </w:t>
            </w:r>
          </w:p>
        </w:tc>
        <w:tc>
          <w:tcPr>
            <w:tcW w:w="236" w:type="dxa"/>
            <w:tcBorders>
              <w:top w:val="nil"/>
              <w:left w:val="single" w:color="000000" w:sz="4" w:space="0"/>
              <w:bottom w:val="single" w:color="000000" w:sz="4" w:space="0"/>
              <w:right w:val="single" w:color="000000" w:sz="4" w:space="0"/>
            </w:tcBorders>
            <w:shd w:val="clear" w:color="auto" w:fill="auto"/>
            <w:noWrap/>
            <w:vAlign w:val="center"/>
          </w:tcPr>
          <w:p w14:paraId="296B9FD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5</w:t>
            </w:r>
          </w:p>
        </w:tc>
        <w:tc>
          <w:tcPr>
            <w:tcW w:w="236" w:type="dxa"/>
            <w:tcBorders>
              <w:top w:val="nil"/>
              <w:left w:val="single" w:color="000000" w:sz="4" w:space="0"/>
              <w:bottom w:val="single" w:color="000000" w:sz="4" w:space="0"/>
              <w:right w:val="single" w:color="000000" w:sz="4" w:space="0"/>
            </w:tcBorders>
            <w:shd w:val="clear" w:color="auto" w:fill="auto"/>
            <w:noWrap/>
            <w:vAlign w:val="center"/>
          </w:tcPr>
          <w:p w14:paraId="29A8D3C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3</w:t>
            </w:r>
          </w:p>
        </w:tc>
        <w:tc>
          <w:tcPr>
            <w:tcW w:w="236" w:type="dxa"/>
            <w:tcBorders>
              <w:top w:val="nil"/>
              <w:left w:val="single" w:color="000000" w:sz="4" w:space="0"/>
              <w:bottom w:val="single" w:color="000000" w:sz="4" w:space="0"/>
              <w:right w:val="single" w:color="000000" w:sz="4" w:space="0"/>
            </w:tcBorders>
            <w:shd w:val="clear" w:color="auto" w:fill="auto"/>
            <w:noWrap/>
            <w:vAlign w:val="center"/>
          </w:tcPr>
          <w:p w14:paraId="3194981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1</w:t>
            </w:r>
          </w:p>
        </w:tc>
      </w:tr>
      <w:tr w14:paraId="454E6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A1A1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heme="minorEastAsia" w:hAnsiTheme="minorEastAsia" w:eastAsiaTheme="minorEastAsia" w:cstheme="minorEastAsia"/>
                <w:b w:val="0"/>
                <w:bCs w:val="0"/>
                <w:i w:val="0"/>
                <w:iCs w:val="0"/>
                <w:color w:val="000000"/>
                <w:sz w:val="18"/>
                <w:szCs w:val="18"/>
                <w:highlight w:val="none"/>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224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培训、应急管理</w:t>
            </w:r>
          </w:p>
        </w:tc>
        <w:tc>
          <w:tcPr>
            <w:tcW w:w="7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A94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2.制定年度培训计划、应急演练计划，包括食品安全法律法规、标准操作流程、食品安全知识等，明确食品安全责任，定期开展防火、防爆、防中毒应急演练，资料建档留存3年。</w:t>
            </w:r>
          </w:p>
        </w:tc>
        <w:tc>
          <w:tcPr>
            <w:tcW w:w="236" w:type="dxa"/>
            <w:tcBorders>
              <w:top w:val="nil"/>
              <w:left w:val="single" w:color="000000" w:sz="4" w:space="0"/>
              <w:bottom w:val="single" w:color="000000" w:sz="4" w:space="0"/>
              <w:right w:val="single" w:color="000000" w:sz="4" w:space="0"/>
            </w:tcBorders>
            <w:shd w:val="clear" w:color="auto" w:fill="auto"/>
            <w:noWrap/>
            <w:vAlign w:val="center"/>
          </w:tcPr>
          <w:p w14:paraId="6654DB1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5</w:t>
            </w:r>
          </w:p>
        </w:tc>
        <w:tc>
          <w:tcPr>
            <w:tcW w:w="236" w:type="dxa"/>
            <w:tcBorders>
              <w:top w:val="nil"/>
              <w:left w:val="single" w:color="000000" w:sz="4" w:space="0"/>
              <w:bottom w:val="single" w:color="000000" w:sz="4" w:space="0"/>
              <w:right w:val="single" w:color="000000" w:sz="4" w:space="0"/>
            </w:tcBorders>
            <w:shd w:val="clear" w:color="auto" w:fill="auto"/>
            <w:noWrap/>
            <w:vAlign w:val="center"/>
          </w:tcPr>
          <w:p w14:paraId="53FE697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3</w:t>
            </w:r>
          </w:p>
        </w:tc>
        <w:tc>
          <w:tcPr>
            <w:tcW w:w="236" w:type="dxa"/>
            <w:tcBorders>
              <w:top w:val="nil"/>
              <w:left w:val="single" w:color="000000" w:sz="4" w:space="0"/>
              <w:bottom w:val="single" w:color="000000" w:sz="4" w:space="0"/>
              <w:right w:val="single" w:color="000000" w:sz="4" w:space="0"/>
            </w:tcBorders>
            <w:shd w:val="clear" w:color="auto" w:fill="auto"/>
            <w:noWrap/>
            <w:vAlign w:val="center"/>
          </w:tcPr>
          <w:p w14:paraId="3B1B37F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1</w:t>
            </w:r>
          </w:p>
        </w:tc>
      </w:tr>
      <w:tr w14:paraId="5FF01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C326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heme="minorEastAsia" w:hAnsiTheme="minorEastAsia" w:eastAsiaTheme="minorEastAsia" w:cstheme="minorEastAsia"/>
                <w:b w:val="0"/>
                <w:bCs w:val="0"/>
                <w:i w:val="0"/>
                <w:iCs w:val="0"/>
                <w:color w:val="000000"/>
                <w:sz w:val="18"/>
                <w:szCs w:val="18"/>
                <w:highlight w:val="none"/>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01E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食品采购、索证索票、验收制管理</w:t>
            </w:r>
          </w:p>
        </w:tc>
        <w:tc>
          <w:tcPr>
            <w:tcW w:w="7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ED7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3.不得采购腐败变质、霉变及其他不符合卫生标准要求的食品;不得采购《食品安全法》第三十四条规定禁止生产经营的食品;索取发票、食品生产许可证或食品经营许可证、检验（检疫）合格证明、本批次的检验合格证或检验单等购货凭据，确保无农药及其他有毒有害化学品污染并做好采购记录，便于溯源；采购定型包装食品和食品添加剂，食品商标（或说明书）上应有品名、厂名、厂址、生产日期、批号或者代号、规格、配方或者主要成分、保存期（保质期）、食用或者使用方法等中文标识内。所采购食用物品入库前应进行验收，出入库时应登记，建立台帐。</w:t>
            </w:r>
          </w:p>
        </w:tc>
        <w:tc>
          <w:tcPr>
            <w:tcW w:w="236" w:type="dxa"/>
            <w:tcBorders>
              <w:top w:val="nil"/>
              <w:left w:val="single" w:color="000000" w:sz="4" w:space="0"/>
              <w:bottom w:val="single" w:color="000000" w:sz="4" w:space="0"/>
              <w:right w:val="single" w:color="000000" w:sz="4" w:space="0"/>
            </w:tcBorders>
            <w:shd w:val="clear" w:color="auto" w:fill="auto"/>
            <w:noWrap/>
            <w:vAlign w:val="center"/>
          </w:tcPr>
          <w:p w14:paraId="2BBE9D2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5</w:t>
            </w:r>
          </w:p>
        </w:tc>
        <w:tc>
          <w:tcPr>
            <w:tcW w:w="236" w:type="dxa"/>
            <w:tcBorders>
              <w:top w:val="nil"/>
              <w:left w:val="single" w:color="000000" w:sz="4" w:space="0"/>
              <w:bottom w:val="single" w:color="000000" w:sz="4" w:space="0"/>
              <w:right w:val="single" w:color="000000" w:sz="4" w:space="0"/>
            </w:tcBorders>
            <w:shd w:val="clear" w:color="auto" w:fill="auto"/>
            <w:noWrap/>
            <w:vAlign w:val="center"/>
          </w:tcPr>
          <w:p w14:paraId="1464027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3</w:t>
            </w:r>
          </w:p>
        </w:tc>
        <w:tc>
          <w:tcPr>
            <w:tcW w:w="236" w:type="dxa"/>
            <w:tcBorders>
              <w:top w:val="nil"/>
              <w:left w:val="single" w:color="000000" w:sz="4" w:space="0"/>
              <w:bottom w:val="single" w:color="000000" w:sz="4" w:space="0"/>
              <w:right w:val="single" w:color="000000" w:sz="4" w:space="0"/>
            </w:tcBorders>
            <w:shd w:val="clear" w:color="auto" w:fill="auto"/>
            <w:noWrap/>
            <w:vAlign w:val="center"/>
          </w:tcPr>
          <w:p w14:paraId="4A673BF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1</w:t>
            </w:r>
          </w:p>
        </w:tc>
      </w:tr>
      <w:tr w14:paraId="7BC1A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791F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heme="minorEastAsia" w:hAnsiTheme="minorEastAsia" w:eastAsiaTheme="minorEastAsia" w:cstheme="minorEastAsia"/>
                <w:b w:val="0"/>
                <w:bCs w:val="0"/>
                <w:i w:val="0"/>
                <w:iCs w:val="0"/>
                <w:color w:val="000000"/>
                <w:sz w:val="18"/>
                <w:szCs w:val="18"/>
                <w:highlight w:val="none"/>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46E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食品贮存管理</w:t>
            </w:r>
          </w:p>
        </w:tc>
        <w:tc>
          <w:tcPr>
            <w:tcW w:w="7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595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4.食品在进入仓库后要离地存放，其中距离地面&gt;20cm，距离墙壁&gt;10cm，距离天花板&gt;15cm；食品仓库不得存放有毒有害物品，不得存放药品、杂品及个人生活用品等物品，做好防鼠、防虫、防蝇、防潮、防霉；食品成品、半成品及食品原料应分开存放。低温冷库（冷冻库）温度必须低于-18℃，高温冷库（冷藏库）温度必须保持在 0～10℃；建立食品进出库专人验收登记制度，并按入库时间的先后分类存放，做到先进先出，保障在有效期内。</w:t>
            </w:r>
          </w:p>
        </w:tc>
        <w:tc>
          <w:tcPr>
            <w:tcW w:w="236" w:type="dxa"/>
            <w:tcBorders>
              <w:top w:val="nil"/>
              <w:left w:val="single" w:color="000000" w:sz="4" w:space="0"/>
              <w:bottom w:val="single" w:color="000000" w:sz="4" w:space="0"/>
              <w:right w:val="single" w:color="000000" w:sz="4" w:space="0"/>
            </w:tcBorders>
            <w:shd w:val="clear" w:color="auto" w:fill="auto"/>
            <w:noWrap/>
            <w:vAlign w:val="center"/>
          </w:tcPr>
          <w:p w14:paraId="7186615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5</w:t>
            </w:r>
          </w:p>
        </w:tc>
        <w:tc>
          <w:tcPr>
            <w:tcW w:w="236" w:type="dxa"/>
            <w:tcBorders>
              <w:top w:val="nil"/>
              <w:left w:val="single" w:color="000000" w:sz="4" w:space="0"/>
              <w:bottom w:val="single" w:color="000000" w:sz="4" w:space="0"/>
              <w:right w:val="single" w:color="000000" w:sz="4" w:space="0"/>
            </w:tcBorders>
            <w:shd w:val="clear" w:color="auto" w:fill="auto"/>
            <w:noWrap/>
            <w:vAlign w:val="center"/>
          </w:tcPr>
          <w:p w14:paraId="1F19BC9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3</w:t>
            </w:r>
          </w:p>
        </w:tc>
        <w:tc>
          <w:tcPr>
            <w:tcW w:w="236" w:type="dxa"/>
            <w:tcBorders>
              <w:top w:val="nil"/>
              <w:left w:val="single" w:color="000000" w:sz="4" w:space="0"/>
              <w:bottom w:val="single" w:color="000000" w:sz="4" w:space="0"/>
              <w:right w:val="single" w:color="000000" w:sz="4" w:space="0"/>
            </w:tcBorders>
            <w:shd w:val="clear" w:color="auto" w:fill="auto"/>
            <w:noWrap/>
            <w:vAlign w:val="center"/>
          </w:tcPr>
          <w:p w14:paraId="32F7F46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1</w:t>
            </w:r>
          </w:p>
        </w:tc>
      </w:tr>
      <w:tr w14:paraId="0F64A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9E75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heme="minorEastAsia" w:hAnsiTheme="minorEastAsia" w:eastAsiaTheme="minorEastAsia" w:cstheme="minorEastAsia"/>
                <w:b w:val="0"/>
                <w:bCs w:val="0"/>
                <w:i w:val="0"/>
                <w:iCs w:val="0"/>
                <w:color w:val="000000"/>
                <w:sz w:val="18"/>
                <w:szCs w:val="18"/>
                <w:highlight w:val="none"/>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4AB9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食品添加剂使用管理</w:t>
            </w:r>
          </w:p>
        </w:tc>
        <w:tc>
          <w:tcPr>
            <w:tcW w:w="7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085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5.食品添加剂的使用必须符合 GB2760—2014《食品添加剂使用卫生标准》或卫生部公告名单规定的品种及其使用范围、使用量。</w:t>
            </w:r>
          </w:p>
        </w:tc>
        <w:tc>
          <w:tcPr>
            <w:tcW w:w="236" w:type="dxa"/>
            <w:tcBorders>
              <w:top w:val="nil"/>
              <w:left w:val="single" w:color="000000" w:sz="4" w:space="0"/>
              <w:bottom w:val="single" w:color="000000" w:sz="4" w:space="0"/>
              <w:right w:val="single" w:color="000000" w:sz="4" w:space="0"/>
            </w:tcBorders>
            <w:shd w:val="clear" w:color="auto" w:fill="auto"/>
            <w:noWrap/>
            <w:vAlign w:val="center"/>
          </w:tcPr>
          <w:p w14:paraId="1EDFBB1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5</w:t>
            </w:r>
          </w:p>
        </w:tc>
        <w:tc>
          <w:tcPr>
            <w:tcW w:w="236" w:type="dxa"/>
            <w:tcBorders>
              <w:top w:val="nil"/>
              <w:left w:val="single" w:color="000000" w:sz="4" w:space="0"/>
              <w:bottom w:val="single" w:color="000000" w:sz="4" w:space="0"/>
              <w:right w:val="single" w:color="000000" w:sz="4" w:space="0"/>
            </w:tcBorders>
            <w:shd w:val="clear" w:color="auto" w:fill="auto"/>
            <w:noWrap/>
            <w:vAlign w:val="center"/>
          </w:tcPr>
          <w:p w14:paraId="717CAE9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3</w:t>
            </w:r>
          </w:p>
        </w:tc>
        <w:tc>
          <w:tcPr>
            <w:tcW w:w="236" w:type="dxa"/>
            <w:tcBorders>
              <w:top w:val="nil"/>
              <w:left w:val="single" w:color="000000" w:sz="4" w:space="0"/>
              <w:bottom w:val="single" w:color="000000" w:sz="4" w:space="0"/>
              <w:right w:val="single" w:color="000000" w:sz="4" w:space="0"/>
            </w:tcBorders>
            <w:shd w:val="clear" w:color="auto" w:fill="auto"/>
            <w:noWrap/>
            <w:vAlign w:val="center"/>
          </w:tcPr>
          <w:p w14:paraId="54C0285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1</w:t>
            </w:r>
          </w:p>
        </w:tc>
      </w:tr>
      <w:tr w14:paraId="6AA47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10D8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heme="minorEastAsia" w:hAnsiTheme="minorEastAsia" w:eastAsiaTheme="minorEastAsia" w:cstheme="minorEastAsia"/>
                <w:b w:val="0"/>
                <w:bCs w:val="0"/>
                <w:i w:val="0"/>
                <w:iCs w:val="0"/>
                <w:color w:val="000000"/>
                <w:sz w:val="18"/>
                <w:szCs w:val="18"/>
                <w:highlight w:val="none"/>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B76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食品加工烹调制作过程管理</w:t>
            </w:r>
          </w:p>
        </w:tc>
        <w:tc>
          <w:tcPr>
            <w:tcW w:w="7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DAC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6.不选用、不切配、不烹调、不出售腐败、变质、有毒有害的食品。食物中心温度必须高于 70℃；加工用工具、容器、设备须保持清洁，刀、砧板、盆、抹布用后须清洗消毒；直接接触食品的加工用具、容器必须彻底消毒。</w:t>
            </w:r>
          </w:p>
        </w:tc>
        <w:tc>
          <w:tcPr>
            <w:tcW w:w="236" w:type="dxa"/>
            <w:tcBorders>
              <w:top w:val="nil"/>
              <w:left w:val="single" w:color="000000" w:sz="4" w:space="0"/>
              <w:bottom w:val="single" w:color="000000" w:sz="4" w:space="0"/>
              <w:right w:val="single" w:color="000000" w:sz="4" w:space="0"/>
            </w:tcBorders>
            <w:shd w:val="clear" w:color="auto" w:fill="auto"/>
            <w:noWrap/>
            <w:vAlign w:val="center"/>
          </w:tcPr>
          <w:p w14:paraId="55C4E00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5</w:t>
            </w:r>
          </w:p>
        </w:tc>
        <w:tc>
          <w:tcPr>
            <w:tcW w:w="236" w:type="dxa"/>
            <w:tcBorders>
              <w:top w:val="nil"/>
              <w:left w:val="single" w:color="000000" w:sz="4" w:space="0"/>
              <w:bottom w:val="single" w:color="000000" w:sz="4" w:space="0"/>
              <w:right w:val="single" w:color="000000" w:sz="4" w:space="0"/>
            </w:tcBorders>
            <w:shd w:val="clear" w:color="auto" w:fill="auto"/>
            <w:noWrap/>
            <w:vAlign w:val="center"/>
          </w:tcPr>
          <w:p w14:paraId="426EA7B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3</w:t>
            </w:r>
          </w:p>
        </w:tc>
        <w:tc>
          <w:tcPr>
            <w:tcW w:w="236" w:type="dxa"/>
            <w:tcBorders>
              <w:top w:val="nil"/>
              <w:left w:val="single" w:color="000000" w:sz="4" w:space="0"/>
              <w:bottom w:val="single" w:color="000000" w:sz="4" w:space="0"/>
              <w:right w:val="single" w:color="000000" w:sz="4" w:space="0"/>
            </w:tcBorders>
            <w:shd w:val="clear" w:color="auto" w:fill="auto"/>
            <w:noWrap/>
            <w:vAlign w:val="center"/>
          </w:tcPr>
          <w:p w14:paraId="201B16A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1</w:t>
            </w:r>
          </w:p>
        </w:tc>
      </w:tr>
      <w:tr w14:paraId="67A4C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0914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heme="minorEastAsia" w:hAnsiTheme="minorEastAsia" w:eastAsiaTheme="minorEastAsia" w:cstheme="minorEastAsia"/>
                <w:b w:val="0"/>
                <w:bCs w:val="0"/>
                <w:i w:val="0"/>
                <w:iCs w:val="0"/>
                <w:color w:val="000000"/>
                <w:sz w:val="18"/>
                <w:szCs w:val="18"/>
                <w:highlight w:val="none"/>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1B9D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食品卫生</w:t>
            </w:r>
          </w:p>
        </w:tc>
        <w:tc>
          <w:tcPr>
            <w:tcW w:w="7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BB0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7.严格执行《食品卫生法》，原料到成品实行“四不”制度；食物存放实行“四隔离”制度；盛用食具实行“四过关”。食品加工卫生制度落实情况</w:t>
            </w: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58F7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5</w:t>
            </w: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0825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3</w:t>
            </w: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6707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1</w:t>
            </w:r>
          </w:p>
        </w:tc>
      </w:tr>
      <w:tr w14:paraId="74074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E6F1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heme="minorEastAsia" w:hAnsiTheme="minorEastAsia" w:eastAsiaTheme="minorEastAsia" w:cstheme="minorEastAsia"/>
                <w:b w:val="0"/>
                <w:bCs w:val="0"/>
                <w:i w:val="0"/>
                <w:iCs w:val="0"/>
                <w:color w:val="000000"/>
                <w:sz w:val="18"/>
                <w:szCs w:val="18"/>
                <w:highlight w:val="none"/>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B74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环境卫生</w:t>
            </w:r>
          </w:p>
        </w:tc>
        <w:tc>
          <w:tcPr>
            <w:tcW w:w="7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0BB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8.每天清洁，每星期大扫除一次，“六面”( 台面、桌面、墙面、地面、玻璃、灶面 ) 无灰垢、无蝇、蚊、老鼠、蟑螂，餐厅桌椅厨房用具摆放整齐、清洁，下水道、排水沟畅通无臭味。</w:t>
            </w: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8EF2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5</w:t>
            </w: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7B56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3</w:t>
            </w: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2EDA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1</w:t>
            </w:r>
          </w:p>
        </w:tc>
      </w:tr>
      <w:tr w14:paraId="3044F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E9F5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heme="minorEastAsia" w:hAnsiTheme="minorEastAsia" w:eastAsiaTheme="minorEastAsia" w:cstheme="minorEastAsia"/>
                <w:b w:val="0"/>
                <w:bCs w:val="0"/>
                <w:i w:val="0"/>
                <w:iCs w:val="0"/>
                <w:color w:val="000000"/>
                <w:sz w:val="18"/>
                <w:szCs w:val="18"/>
                <w:highlight w:val="none"/>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754E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冰库 ( 冰箱 ) 卫生</w:t>
            </w:r>
          </w:p>
        </w:tc>
        <w:tc>
          <w:tcPr>
            <w:tcW w:w="7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164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9.冰库( 冰箱) 卫生责任到人，保持冰库( 冰箱) 清洁干净，无异味；每天检查登记显示温湿度；食品摆放整齐、规范，生熟分开，无过期；不放腐烂、变质、有毒有异味挥发性物品。</w:t>
            </w: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8AB8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5</w:t>
            </w: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F6A2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3</w:t>
            </w: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E271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1</w:t>
            </w:r>
          </w:p>
        </w:tc>
      </w:tr>
      <w:tr w14:paraId="3766C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71DF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heme="minorEastAsia" w:hAnsiTheme="minorEastAsia" w:eastAsiaTheme="minorEastAsia" w:cstheme="minorEastAsia"/>
                <w:b w:val="0"/>
                <w:bCs w:val="0"/>
                <w:i w:val="0"/>
                <w:iCs w:val="0"/>
                <w:color w:val="000000"/>
                <w:sz w:val="18"/>
                <w:szCs w:val="18"/>
                <w:highlight w:val="none"/>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5751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炊具、器具和熟食间卫生</w:t>
            </w:r>
          </w:p>
        </w:tc>
        <w:tc>
          <w:tcPr>
            <w:tcW w:w="7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98B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10.各种食具 ( 如盒、碗、碟、筷子、勺等 ) 应在餐后洗净，用前消毒，专柜保管，摆放整齐；砧板和菜刀、夹子、勺子等应生熟分开分别保管；熟食间专人操作，使用专用食具和器具，用后清洗，用前消毒， 每餐下班后进行清洁消毒，无关人员不准进入熟食间。</w:t>
            </w: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C5EA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5</w:t>
            </w: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A3E7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3</w:t>
            </w: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FE16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1</w:t>
            </w:r>
          </w:p>
        </w:tc>
      </w:tr>
      <w:tr w14:paraId="75CC1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45E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heme="minorEastAsia" w:hAnsiTheme="minorEastAsia" w:eastAsiaTheme="minorEastAsia" w:cstheme="minorEastAsia"/>
                <w:b w:val="0"/>
                <w:bCs w:val="0"/>
                <w:i w:val="0"/>
                <w:iCs w:val="0"/>
                <w:color w:val="000000"/>
                <w:sz w:val="18"/>
                <w:szCs w:val="18"/>
                <w:highlight w:val="none"/>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632E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消防安全</w:t>
            </w:r>
          </w:p>
        </w:tc>
        <w:tc>
          <w:tcPr>
            <w:tcW w:w="7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407C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11.有效执行水、电、煤气人离三关的安全准则，做到每天下班前，检查所有用水、用电及煤气设备，及时关闭，检查情况形成记录表。消防通道无堆放杂物，消防设施完好。</w:t>
            </w: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5BFE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5</w:t>
            </w: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DB63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3</w:t>
            </w: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C8E1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1</w:t>
            </w:r>
          </w:p>
        </w:tc>
      </w:tr>
      <w:tr w14:paraId="13AE6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947C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heme="minorEastAsia" w:hAnsiTheme="minorEastAsia" w:eastAsiaTheme="minorEastAsia" w:cstheme="minorEastAsia"/>
                <w:b w:val="0"/>
                <w:bCs w:val="0"/>
                <w:i w:val="0"/>
                <w:iCs w:val="0"/>
                <w:color w:val="000000"/>
                <w:sz w:val="18"/>
                <w:szCs w:val="18"/>
                <w:highlight w:val="none"/>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6CE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食品留样管理</w:t>
            </w:r>
          </w:p>
        </w:tc>
        <w:tc>
          <w:tcPr>
            <w:tcW w:w="7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585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12.专人负责留样，上锁管理，每样食品按规定留足150克，分别盛放在已消毒餐具中待冷却后，用保鲜膜密封好，并在其外部贴上标签，标明留样日期、时间、品名、餐次、制作人、留样人等信息。放置2-8℃冰箱保存48小时，重要接待活动宜保存72小时。进餐者如有异常立即封存送食品卫生安全部门查验。</w:t>
            </w: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1FE9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5</w:t>
            </w: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A086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3</w:t>
            </w: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BA68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1</w:t>
            </w:r>
          </w:p>
        </w:tc>
      </w:tr>
      <w:tr w14:paraId="2B6C2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nil"/>
              <w:right w:val="single" w:color="000000" w:sz="4" w:space="0"/>
            </w:tcBorders>
            <w:shd w:val="clear" w:color="auto" w:fill="auto"/>
            <w:noWrap/>
            <w:vAlign w:val="center"/>
          </w:tcPr>
          <w:p w14:paraId="6C9562E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heme="minorEastAsia" w:hAnsiTheme="minorEastAsia" w:eastAsiaTheme="minorEastAsia" w:cstheme="minorEastAsia"/>
                <w:b w:val="0"/>
                <w:bCs w:val="0"/>
                <w:i w:val="0"/>
                <w:iCs w:val="0"/>
                <w:color w:val="000000"/>
                <w:sz w:val="18"/>
                <w:szCs w:val="18"/>
                <w:highlight w:val="none"/>
                <w:u w:val="none"/>
              </w:rPr>
            </w:pPr>
          </w:p>
        </w:tc>
        <w:tc>
          <w:tcPr>
            <w:tcW w:w="1232" w:type="dxa"/>
            <w:tcBorders>
              <w:top w:val="single" w:color="000000" w:sz="4" w:space="0"/>
              <w:left w:val="single" w:color="000000" w:sz="4" w:space="0"/>
              <w:bottom w:val="nil"/>
              <w:right w:val="single" w:color="000000" w:sz="4" w:space="0"/>
            </w:tcBorders>
            <w:shd w:val="clear" w:color="auto" w:fill="auto"/>
            <w:vAlign w:val="center"/>
          </w:tcPr>
          <w:p w14:paraId="1ADD5AA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餐厨垃圾管理</w:t>
            </w:r>
          </w:p>
        </w:tc>
        <w:tc>
          <w:tcPr>
            <w:tcW w:w="7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F0A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13.餐厨垃圾日产日清。建立餐厨垃圾回收记录本，填写餐厨垃圾种类和数量，经交付清运单位核对签字后，留存记录存档。</w:t>
            </w:r>
          </w:p>
        </w:tc>
        <w:tc>
          <w:tcPr>
            <w:tcW w:w="236" w:type="dxa"/>
            <w:tcBorders>
              <w:top w:val="nil"/>
              <w:left w:val="single" w:color="000000" w:sz="4" w:space="0"/>
              <w:bottom w:val="single" w:color="000000" w:sz="4" w:space="0"/>
              <w:right w:val="single" w:color="000000" w:sz="4" w:space="0"/>
            </w:tcBorders>
            <w:shd w:val="clear" w:color="auto" w:fill="auto"/>
            <w:noWrap/>
            <w:vAlign w:val="center"/>
          </w:tcPr>
          <w:p w14:paraId="30E30E8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5</w:t>
            </w:r>
          </w:p>
        </w:tc>
        <w:tc>
          <w:tcPr>
            <w:tcW w:w="236" w:type="dxa"/>
            <w:tcBorders>
              <w:top w:val="nil"/>
              <w:left w:val="single" w:color="000000" w:sz="4" w:space="0"/>
              <w:bottom w:val="single" w:color="000000" w:sz="4" w:space="0"/>
              <w:right w:val="single" w:color="000000" w:sz="4" w:space="0"/>
            </w:tcBorders>
            <w:shd w:val="clear" w:color="auto" w:fill="auto"/>
            <w:noWrap/>
            <w:vAlign w:val="center"/>
          </w:tcPr>
          <w:p w14:paraId="3106F31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3</w:t>
            </w:r>
          </w:p>
        </w:tc>
        <w:tc>
          <w:tcPr>
            <w:tcW w:w="236" w:type="dxa"/>
            <w:tcBorders>
              <w:top w:val="nil"/>
              <w:left w:val="single" w:color="000000" w:sz="4" w:space="0"/>
              <w:bottom w:val="single" w:color="000000" w:sz="4" w:space="0"/>
              <w:right w:val="single" w:color="000000" w:sz="4" w:space="0"/>
            </w:tcBorders>
            <w:shd w:val="clear" w:color="auto" w:fill="auto"/>
            <w:noWrap/>
            <w:vAlign w:val="center"/>
          </w:tcPr>
          <w:p w14:paraId="2379004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1</w:t>
            </w:r>
          </w:p>
        </w:tc>
      </w:tr>
      <w:tr w14:paraId="2495D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D3DF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设备、设施管理制度</w:t>
            </w:r>
          </w:p>
        </w:tc>
        <w:tc>
          <w:tcPr>
            <w:tcW w:w="1232" w:type="dxa"/>
            <w:tcBorders>
              <w:top w:val="single" w:color="000000" w:sz="4" w:space="0"/>
              <w:left w:val="single" w:color="000000" w:sz="4" w:space="0"/>
              <w:bottom w:val="nil"/>
              <w:right w:val="single" w:color="000000" w:sz="4" w:space="0"/>
            </w:tcBorders>
            <w:shd w:val="clear" w:color="auto" w:fill="auto"/>
            <w:vAlign w:val="center"/>
          </w:tcPr>
          <w:p w14:paraId="703C133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维修保养</w:t>
            </w:r>
          </w:p>
        </w:tc>
        <w:tc>
          <w:tcPr>
            <w:tcW w:w="7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8A43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14.应当定期维护食品加工、贮存、陈列、消毒、保洁、保温、冷藏、冷冻等设备与设施，校验计量器具，及时清理清洗，必要时消毒，确保正常运转和使用。</w:t>
            </w:r>
          </w:p>
        </w:tc>
        <w:tc>
          <w:tcPr>
            <w:tcW w:w="236" w:type="dxa"/>
            <w:tcBorders>
              <w:top w:val="nil"/>
              <w:left w:val="single" w:color="000000" w:sz="4" w:space="0"/>
              <w:bottom w:val="single" w:color="000000" w:sz="4" w:space="0"/>
              <w:right w:val="single" w:color="000000" w:sz="4" w:space="0"/>
            </w:tcBorders>
            <w:shd w:val="clear" w:color="auto" w:fill="auto"/>
            <w:noWrap/>
            <w:vAlign w:val="center"/>
          </w:tcPr>
          <w:p w14:paraId="1F4B77B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5</w:t>
            </w:r>
          </w:p>
        </w:tc>
        <w:tc>
          <w:tcPr>
            <w:tcW w:w="236" w:type="dxa"/>
            <w:tcBorders>
              <w:top w:val="nil"/>
              <w:left w:val="single" w:color="000000" w:sz="4" w:space="0"/>
              <w:bottom w:val="single" w:color="000000" w:sz="4" w:space="0"/>
              <w:right w:val="single" w:color="000000" w:sz="4" w:space="0"/>
            </w:tcBorders>
            <w:shd w:val="clear" w:color="auto" w:fill="auto"/>
            <w:noWrap/>
            <w:vAlign w:val="center"/>
          </w:tcPr>
          <w:p w14:paraId="54DC40D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3</w:t>
            </w:r>
          </w:p>
        </w:tc>
        <w:tc>
          <w:tcPr>
            <w:tcW w:w="236" w:type="dxa"/>
            <w:tcBorders>
              <w:top w:val="nil"/>
              <w:left w:val="single" w:color="000000" w:sz="4" w:space="0"/>
              <w:bottom w:val="single" w:color="000000" w:sz="4" w:space="0"/>
              <w:right w:val="single" w:color="000000" w:sz="4" w:space="0"/>
            </w:tcBorders>
            <w:shd w:val="clear" w:color="auto" w:fill="auto"/>
            <w:noWrap/>
            <w:vAlign w:val="center"/>
          </w:tcPr>
          <w:p w14:paraId="462AB58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1</w:t>
            </w:r>
          </w:p>
        </w:tc>
      </w:tr>
      <w:tr w14:paraId="6E6E3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A940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heme="minorEastAsia" w:hAnsiTheme="minorEastAsia" w:eastAsiaTheme="minorEastAsia" w:cstheme="minorEastAsia"/>
                <w:b w:val="0"/>
                <w:bCs w:val="0"/>
                <w:i w:val="0"/>
                <w:iCs w:val="0"/>
                <w:color w:val="000000"/>
                <w:sz w:val="18"/>
                <w:szCs w:val="18"/>
                <w:highlight w:val="none"/>
                <w:u w:val="none"/>
              </w:rPr>
            </w:pPr>
          </w:p>
        </w:tc>
        <w:tc>
          <w:tcPr>
            <w:tcW w:w="1232" w:type="dxa"/>
            <w:tcBorders>
              <w:top w:val="single" w:color="000000" w:sz="4" w:space="0"/>
              <w:left w:val="single" w:color="000000" w:sz="4" w:space="0"/>
              <w:bottom w:val="nil"/>
              <w:right w:val="single" w:color="000000" w:sz="4" w:space="0"/>
            </w:tcBorders>
            <w:shd w:val="clear" w:color="auto" w:fill="auto"/>
            <w:vAlign w:val="center"/>
          </w:tcPr>
          <w:p w14:paraId="35AE184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存储、运输</w:t>
            </w:r>
          </w:p>
        </w:tc>
        <w:tc>
          <w:tcPr>
            <w:tcW w:w="7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58F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15.用于加工、贮存食品的用具、容器或包装材料和设备应当符合食品安全标准，无异味、耐腐蚀、不易发霉。各功能区和食品原料、半成品、成品操作台、刀具、砧板等工作用具，应分开定位存放使用，并有明显标识。贮存、运输食品，应具有符合保证食品安全所需要求的设备、设施，配备专用车辆和密闭容器，远程运输食品须使用符合要求的专用封闭式冷藏（保温）车。每次使用前应进行有效的清洗消毒，不得将食品与有毒、有害物品一同运输。</w:t>
            </w:r>
          </w:p>
        </w:tc>
        <w:tc>
          <w:tcPr>
            <w:tcW w:w="236" w:type="dxa"/>
            <w:tcBorders>
              <w:top w:val="nil"/>
              <w:left w:val="single" w:color="000000" w:sz="4" w:space="0"/>
              <w:bottom w:val="single" w:color="000000" w:sz="4" w:space="0"/>
              <w:right w:val="single" w:color="000000" w:sz="4" w:space="0"/>
            </w:tcBorders>
            <w:shd w:val="clear" w:color="auto" w:fill="auto"/>
            <w:noWrap/>
            <w:vAlign w:val="center"/>
          </w:tcPr>
          <w:p w14:paraId="4F2ED78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5</w:t>
            </w:r>
          </w:p>
        </w:tc>
        <w:tc>
          <w:tcPr>
            <w:tcW w:w="236" w:type="dxa"/>
            <w:tcBorders>
              <w:top w:val="nil"/>
              <w:left w:val="single" w:color="000000" w:sz="4" w:space="0"/>
              <w:bottom w:val="single" w:color="000000" w:sz="4" w:space="0"/>
              <w:right w:val="single" w:color="000000" w:sz="4" w:space="0"/>
            </w:tcBorders>
            <w:shd w:val="clear" w:color="auto" w:fill="auto"/>
            <w:noWrap/>
            <w:vAlign w:val="center"/>
          </w:tcPr>
          <w:p w14:paraId="2B6D46E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3</w:t>
            </w:r>
          </w:p>
        </w:tc>
        <w:tc>
          <w:tcPr>
            <w:tcW w:w="236" w:type="dxa"/>
            <w:tcBorders>
              <w:top w:val="nil"/>
              <w:left w:val="single" w:color="000000" w:sz="4" w:space="0"/>
              <w:bottom w:val="single" w:color="000000" w:sz="4" w:space="0"/>
              <w:right w:val="single" w:color="000000" w:sz="4" w:space="0"/>
            </w:tcBorders>
            <w:shd w:val="clear" w:color="auto" w:fill="auto"/>
            <w:noWrap/>
            <w:vAlign w:val="center"/>
          </w:tcPr>
          <w:p w14:paraId="4C5F465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1</w:t>
            </w:r>
          </w:p>
        </w:tc>
      </w:tr>
      <w:tr w14:paraId="5C94C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87F0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餐厅卫生管理</w:t>
            </w:r>
          </w:p>
        </w:tc>
        <w:tc>
          <w:tcPr>
            <w:tcW w:w="1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68C4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操作间卫生管理</w:t>
            </w:r>
          </w:p>
        </w:tc>
        <w:tc>
          <w:tcPr>
            <w:tcW w:w="7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302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16.初加工间、烹调加工间、面食加工间、食品仓库、配餐间等卫生管理制度落实情况。</w:t>
            </w: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A4A7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5</w:t>
            </w: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2EFB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3</w:t>
            </w: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8711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1</w:t>
            </w:r>
          </w:p>
        </w:tc>
      </w:tr>
      <w:tr w14:paraId="16867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CADA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heme="minorEastAsia" w:hAnsiTheme="minorEastAsia" w:eastAsiaTheme="minorEastAsia" w:cstheme="minorEastAsia"/>
                <w:b w:val="0"/>
                <w:bCs w:val="0"/>
                <w:i w:val="0"/>
                <w:iCs w:val="0"/>
                <w:color w:val="000000"/>
                <w:sz w:val="18"/>
                <w:szCs w:val="18"/>
                <w:highlight w:val="none"/>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B0F9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heme="minorEastAsia" w:hAnsiTheme="minorEastAsia" w:eastAsiaTheme="minorEastAsia" w:cstheme="minorEastAsia"/>
                <w:b w:val="0"/>
                <w:bCs w:val="0"/>
                <w:i w:val="0"/>
                <w:iCs w:val="0"/>
                <w:color w:val="000000"/>
                <w:sz w:val="18"/>
                <w:szCs w:val="18"/>
                <w:highlight w:val="none"/>
                <w:u w:val="none"/>
              </w:rPr>
            </w:pPr>
          </w:p>
        </w:tc>
        <w:tc>
          <w:tcPr>
            <w:tcW w:w="7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D4A9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17.餐具清洗消毒制度落实情况。</w:t>
            </w: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BF54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5</w:t>
            </w: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969F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3</w:t>
            </w: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0E0F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1</w:t>
            </w:r>
          </w:p>
        </w:tc>
      </w:tr>
      <w:tr w14:paraId="65FD4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8" w:type="dxa"/>
            <w:vMerge w:val="restart"/>
            <w:tcBorders>
              <w:top w:val="single" w:color="000000" w:sz="4" w:space="0"/>
              <w:left w:val="single" w:color="000000" w:sz="4" w:space="0"/>
              <w:bottom w:val="nil"/>
              <w:right w:val="single" w:color="000000" w:sz="4" w:space="0"/>
            </w:tcBorders>
            <w:shd w:val="clear" w:color="auto" w:fill="auto"/>
            <w:vAlign w:val="center"/>
          </w:tcPr>
          <w:p w14:paraId="4DB0660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满意度管理</w:t>
            </w:r>
          </w:p>
        </w:tc>
        <w:tc>
          <w:tcPr>
            <w:tcW w:w="1232" w:type="dxa"/>
            <w:vMerge w:val="restart"/>
            <w:tcBorders>
              <w:top w:val="single" w:color="000000" w:sz="4" w:space="0"/>
              <w:left w:val="single" w:color="000000" w:sz="4" w:space="0"/>
              <w:bottom w:val="nil"/>
              <w:right w:val="single" w:color="000000" w:sz="4" w:space="0"/>
            </w:tcBorders>
            <w:shd w:val="clear" w:color="auto" w:fill="auto"/>
            <w:vAlign w:val="center"/>
          </w:tcPr>
          <w:p w14:paraId="0F640C6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餐饮服务投诉、满意度管理</w:t>
            </w:r>
          </w:p>
        </w:tc>
        <w:tc>
          <w:tcPr>
            <w:tcW w:w="7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C13D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18.提供多途径（线上、线下、床边、电话等）订餐服务，方便快捷，配送及时、保温。</w:t>
            </w: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3303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5</w:t>
            </w: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550D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3</w:t>
            </w: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788F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1</w:t>
            </w:r>
          </w:p>
        </w:tc>
      </w:tr>
      <w:tr w14:paraId="5266D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8" w:type="dxa"/>
            <w:vMerge w:val="continue"/>
            <w:tcBorders>
              <w:top w:val="single" w:color="000000" w:sz="4" w:space="0"/>
              <w:left w:val="single" w:color="000000" w:sz="4" w:space="0"/>
              <w:bottom w:val="nil"/>
              <w:right w:val="single" w:color="000000" w:sz="4" w:space="0"/>
            </w:tcBorders>
            <w:shd w:val="clear" w:color="auto" w:fill="auto"/>
            <w:vAlign w:val="center"/>
          </w:tcPr>
          <w:p w14:paraId="6DAD85D8">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Theme="minorEastAsia" w:hAnsiTheme="minorEastAsia" w:eastAsiaTheme="minorEastAsia" w:cstheme="minorEastAsia"/>
                <w:b w:val="0"/>
                <w:bCs w:val="0"/>
                <w:i w:val="0"/>
                <w:iCs w:val="0"/>
                <w:color w:val="000000"/>
                <w:sz w:val="18"/>
                <w:szCs w:val="18"/>
                <w:highlight w:val="none"/>
                <w:u w:val="none"/>
              </w:rPr>
            </w:pPr>
          </w:p>
        </w:tc>
        <w:tc>
          <w:tcPr>
            <w:tcW w:w="1232" w:type="dxa"/>
            <w:vMerge w:val="continue"/>
            <w:tcBorders>
              <w:top w:val="single" w:color="000000" w:sz="4" w:space="0"/>
              <w:left w:val="single" w:color="000000" w:sz="4" w:space="0"/>
              <w:bottom w:val="nil"/>
              <w:right w:val="single" w:color="000000" w:sz="4" w:space="0"/>
            </w:tcBorders>
            <w:shd w:val="clear" w:color="auto" w:fill="auto"/>
            <w:vAlign w:val="center"/>
          </w:tcPr>
          <w:p w14:paraId="0045BF5C">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Theme="minorEastAsia" w:hAnsiTheme="minorEastAsia" w:eastAsiaTheme="minorEastAsia" w:cstheme="minorEastAsia"/>
                <w:b w:val="0"/>
                <w:bCs w:val="0"/>
                <w:i w:val="0"/>
                <w:iCs w:val="0"/>
                <w:color w:val="000000"/>
                <w:sz w:val="18"/>
                <w:szCs w:val="18"/>
                <w:highlight w:val="none"/>
                <w:u w:val="none"/>
              </w:rPr>
            </w:pPr>
          </w:p>
        </w:tc>
        <w:tc>
          <w:tcPr>
            <w:tcW w:w="7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86A7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19.满足医院膳食管理需求，提供科学合理多样化膳食服务，食谱每周更新，营养搭配合理，口味佳。</w:t>
            </w: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6FF6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5</w:t>
            </w: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FC75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3</w:t>
            </w: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EEDB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1</w:t>
            </w:r>
          </w:p>
        </w:tc>
      </w:tr>
      <w:tr w14:paraId="3605D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8" w:type="dxa"/>
            <w:vMerge w:val="continue"/>
            <w:tcBorders>
              <w:top w:val="single" w:color="000000" w:sz="4" w:space="0"/>
              <w:left w:val="single" w:color="000000" w:sz="4" w:space="0"/>
              <w:bottom w:val="nil"/>
              <w:right w:val="single" w:color="000000" w:sz="4" w:space="0"/>
            </w:tcBorders>
            <w:shd w:val="clear" w:color="auto" w:fill="auto"/>
            <w:vAlign w:val="center"/>
          </w:tcPr>
          <w:p w14:paraId="5F0C8573">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Theme="minorEastAsia" w:hAnsiTheme="minorEastAsia" w:eastAsiaTheme="minorEastAsia" w:cstheme="minorEastAsia"/>
                <w:b w:val="0"/>
                <w:bCs w:val="0"/>
                <w:i w:val="0"/>
                <w:iCs w:val="0"/>
                <w:color w:val="000000"/>
                <w:sz w:val="18"/>
                <w:szCs w:val="18"/>
                <w:highlight w:val="none"/>
                <w:u w:val="none"/>
              </w:rPr>
            </w:pPr>
          </w:p>
        </w:tc>
        <w:tc>
          <w:tcPr>
            <w:tcW w:w="1232" w:type="dxa"/>
            <w:vMerge w:val="continue"/>
            <w:tcBorders>
              <w:top w:val="single" w:color="000000" w:sz="4" w:space="0"/>
              <w:left w:val="single" w:color="000000" w:sz="4" w:space="0"/>
              <w:bottom w:val="nil"/>
              <w:right w:val="single" w:color="000000" w:sz="4" w:space="0"/>
            </w:tcBorders>
            <w:shd w:val="clear" w:color="auto" w:fill="auto"/>
            <w:vAlign w:val="center"/>
          </w:tcPr>
          <w:p w14:paraId="451C47A0">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Theme="minorEastAsia" w:hAnsiTheme="minorEastAsia" w:eastAsiaTheme="minorEastAsia" w:cstheme="minorEastAsia"/>
                <w:b w:val="0"/>
                <w:bCs w:val="0"/>
                <w:i w:val="0"/>
                <w:iCs w:val="0"/>
                <w:color w:val="000000"/>
                <w:sz w:val="18"/>
                <w:szCs w:val="18"/>
                <w:highlight w:val="none"/>
                <w:u w:val="none"/>
              </w:rPr>
            </w:pPr>
          </w:p>
        </w:tc>
        <w:tc>
          <w:tcPr>
            <w:tcW w:w="7263" w:type="dxa"/>
            <w:tcBorders>
              <w:top w:val="single" w:color="000000" w:sz="4" w:space="0"/>
              <w:left w:val="single" w:color="000000" w:sz="4" w:space="0"/>
              <w:bottom w:val="nil"/>
              <w:right w:val="single" w:color="000000" w:sz="4" w:space="0"/>
            </w:tcBorders>
            <w:shd w:val="clear" w:color="auto" w:fill="auto"/>
            <w:noWrap/>
            <w:vAlign w:val="center"/>
          </w:tcPr>
          <w:p w14:paraId="1AFDDA4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20.餐厅服务要做到文明、礼貌、主动、热情，对职工、患者的建议、投诉及时跟进处理；满意度</w:t>
            </w:r>
            <w:r>
              <w:rPr>
                <w:rStyle w:val="24"/>
                <w:rFonts w:hint="eastAsia" w:asciiTheme="minorEastAsia" w:hAnsiTheme="minorEastAsia" w:eastAsiaTheme="minorEastAsia" w:cstheme="minorEastAsia"/>
                <w:b w:val="0"/>
                <w:bCs w:val="0"/>
                <w:sz w:val="18"/>
                <w:szCs w:val="18"/>
                <w:highlight w:val="none"/>
                <w:lang w:val="en-US" w:eastAsia="zh-CN" w:bidi="ar"/>
              </w:rPr>
              <w:t>≥</w:t>
            </w:r>
            <w:r>
              <w:rPr>
                <w:rStyle w:val="25"/>
                <w:rFonts w:hint="eastAsia" w:asciiTheme="minorEastAsia" w:hAnsiTheme="minorEastAsia" w:eastAsiaTheme="minorEastAsia" w:cstheme="minorEastAsia"/>
                <w:b w:val="0"/>
                <w:bCs w:val="0"/>
                <w:sz w:val="18"/>
                <w:szCs w:val="18"/>
                <w:highlight w:val="none"/>
                <w:lang w:val="en-US" w:eastAsia="zh-CN" w:bidi="ar"/>
              </w:rPr>
              <w:t>80%。</w:t>
            </w:r>
          </w:p>
        </w:tc>
        <w:tc>
          <w:tcPr>
            <w:tcW w:w="236" w:type="dxa"/>
            <w:tcBorders>
              <w:top w:val="single" w:color="000000" w:sz="4" w:space="0"/>
              <w:left w:val="single" w:color="000000" w:sz="4" w:space="0"/>
              <w:bottom w:val="nil"/>
              <w:right w:val="single" w:color="000000" w:sz="4" w:space="0"/>
            </w:tcBorders>
            <w:shd w:val="clear" w:color="auto" w:fill="auto"/>
            <w:noWrap/>
            <w:vAlign w:val="center"/>
          </w:tcPr>
          <w:p w14:paraId="6A07133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5</w:t>
            </w:r>
          </w:p>
        </w:tc>
        <w:tc>
          <w:tcPr>
            <w:tcW w:w="236" w:type="dxa"/>
            <w:tcBorders>
              <w:top w:val="single" w:color="000000" w:sz="4" w:space="0"/>
              <w:left w:val="single" w:color="000000" w:sz="4" w:space="0"/>
              <w:bottom w:val="nil"/>
              <w:right w:val="single" w:color="000000" w:sz="4" w:space="0"/>
            </w:tcBorders>
            <w:shd w:val="clear" w:color="auto" w:fill="auto"/>
            <w:noWrap/>
            <w:vAlign w:val="center"/>
          </w:tcPr>
          <w:p w14:paraId="588B835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3</w:t>
            </w:r>
          </w:p>
        </w:tc>
        <w:tc>
          <w:tcPr>
            <w:tcW w:w="236" w:type="dxa"/>
            <w:tcBorders>
              <w:top w:val="single" w:color="000000" w:sz="4" w:space="0"/>
              <w:left w:val="single" w:color="000000" w:sz="4" w:space="0"/>
              <w:bottom w:val="nil"/>
              <w:right w:val="single" w:color="000000" w:sz="4" w:space="0"/>
            </w:tcBorders>
            <w:shd w:val="clear" w:color="auto" w:fill="auto"/>
            <w:noWrap/>
            <w:vAlign w:val="center"/>
          </w:tcPr>
          <w:p w14:paraId="189E122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1</w:t>
            </w:r>
          </w:p>
        </w:tc>
      </w:tr>
      <w:tr w14:paraId="4F2E0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921" w:type="dxa"/>
            <w:gridSpan w:val="6"/>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6B73091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top"/>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备注：</w:t>
            </w:r>
          </w:p>
        </w:tc>
      </w:tr>
      <w:tr w14:paraId="233B6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921"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581197B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Theme="minorEastAsia" w:hAnsiTheme="minorEastAsia" w:eastAsiaTheme="minorEastAsia" w:cstheme="minorEastAsia"/>
                <w:b w:val="0"/>
                <w:bCs w:val="0"/>
                <w:i w:val="0"/>
                <w:iCs w:val="0"/>
                <w:color w:val="000000"/>
                <w:sz w:val="18"/>
                <w:szCs w:val="18"/>
                <w:highlight w:val="none"/>
                <w:u w:val="none"/>
              </w:rPr>
            </w:pPr>
          </w:p>
        </w:tc>
      </w:tr>
      <w:tr w14:paraId="688DF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921"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7B27D00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Theme="minorEastAsia" w:hAnsiTheme="minorEastAsia" w:eastAsiaTheme="minorEastAsia" w:cstheme="minorEastAsia"/>
                <w:b w:val="0"/>
                <w:bCs w:val="0"/>
                <w:i w:val="0"/>
                <w:iCs w:val="0"/>
                <w:color w:val="000000"/>
                <w:sz w:val="18"/>
                <w:szCs w:val="18"/>
                <w:highlight w:val="none"/>
                <w:u w:val="none"/>
              </w:rPr>
            </w:pPr>
          </w:p>
        </w:tc>
      </w:tr>
      <w:tr w14:paraId="25B94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921"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56542AD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Theme="minorEastAsia" w:hAnsiTheme="minorEastAsia" w:eastAsiaTheme="minorEastAsia" w:cstheme="minorEastAsia"/>
                <w:b w:val="0"/>
                <w:bCs w:val="0"/>
                <w:i w:val="0"/>
                <w:iCs w:val="0"/>
                <w:color w:val="000000"/>
                <w:sz w:val="18"/>
                <w:szCs w:val="18"/>
                <w:highlight w:val="none"/>
                <w:u w:val="none"/>
              </w:rPr>
            </w:pPr>
          </w:p>
        </w:tc>
      </w:tr>
    </w:tbl>
    <w:p w14:paraId="546B69C6">
      <w:pPr>
        <w:rPr>
          <w:rFonts w:hint="eastAsia"/>
          <w:highlight w:val="none"/>
          <w:lang w:val="en-US" w:eastAsia="zh-CN"/>
        </w:rPr>
      </w:pPr>
    </w:p>
    <w:p w14:paraId="41E9791F">
      <w:pPr>
        <w:numPr>
          <w:ilvl w:val="0"/>
          <w:numId w:val="5"/>
        </w:numPr>
        <w:spacing w:line="360" w:lineRule="auto"/>
        <w:ind w:left="0" w:leftChars="0" w:firstLine="420" w:firstLineChars="0"/>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rPr>
        <w:t>★</w:t>
      </w:r>
      <w:r>
        <w:rPr>
          <w:rFonts w:hint="eastAsia" w:ascii="宋体" w:hAnsi="宋体" w:eastAsia="宋体" w:cs="宋体"/>
          <w:b/>
          <w:bCs/>
          <w:sz w:val="28"/>
          <w:szCs w:val="28"/>
          <w:highlight w:val="none"/>
          <w:lang w:val="en-US" w:eastAsia="zh-CN"/>
        </w:rPr>
        <w:t>商务要求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8011"/>
      </w:tblGrid>
      <w:tr w14:paraId="6EA07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675" w:type="dxa"/>
            <w:noWrap w:val="0"/>
            <w:vAlign w:val="center"/>
          </w:tcPr>
          <w:p w14:paraId="78E663B6">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b/>
                <w:szCs w:val="21"/>
                <w:highlight w:val="none"/>
              </w:rPr>
            </w:pPr>
            <w:r>
              <w:rPr>
                <w:rFonts w:hint="eastAsia"/>
                <w:b/>
                <w:szCs w:val="21"/>
                <w:highlight w:val="none"/>
              </w:rPr>
              <w:t>序号</w:t>
            </w:r>
          </w:p>
        </w:tc>
        <w:tc>
          <w:tcPr>
            <w:tcW w:w="1276" w:type="dxa"/>
            <w:noWrap w:val="0"/>
            <w:vAlign w:val="center"/>
          </w:tcPr>
          <w:p w14:paraId="1B1664E9">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b/>
                <w:szCs w:val="21"/>
                <w:highlight w:val="none"/>
              </w:rPr>
            </w:pPr>
            <w:r>
              <w:rPr>
                <w:rFonts w:hint="eastAsia"/>
                <w:b/>
                <w:szCs w:val="21"/>
                <w:highlight w:val="none"/>
              </w:rPr>
              <w:t>目录</w:t>
            </w:r>
          </w:p>
        </w:tc>
        <w:tc>
          <w:tcPr>
            <w:tcW w:w="8011" w:type="dxa"/>
            <w:noWrap w:val="0"/>
            <w:vAlign w:val="center"/>
          </w:tcPr>
          <w:p w14:paraId="4795EE1F">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b/>
                <w:szCs w:val="21"/>
                <w:highlight w:val="none"/>
              </w:rPr>
            </w:pPr>
            <w:r>
              <w:rPr>
                <w:rFonts w:hint="eastAsia" w:ascii="宋体" w:hAnsi="宋体" w:cs="宋体"/>
                <w:szCs w:val="21"/>
                <w:highlight w:val="none"/>
              </w:rPr>
              <w:t>★</w:t>
            </w:r>
            <w:r>
              <w:rPr>
                <w:rFonts w:hint="eastAsia"/>
                <w:b/>
                <w:szCs w:val="21"/>
                <w:highlight w:val="none"/>
              </w:rPr>
              <w:t>商务条款要求</w:t>
            </w:r>
          </w:p>
        </w:tc>
      </w:tr>
      <w:tr w14:paraId="5457B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3AE9B076">
            <w:pPr>
              <w:keepNext w:val="0"/>
              <w:keepLines w:val="0"/>
              <w:pageBreakBefore w:val="0"/>
              <w:kinsoku/>
              <w:wordWrap/>
              <w:overflowPunct/>
              <w:topLinePunct w:val="0"/>
              <w:autoSpaceDE/>
              <w:autoSpaceDN/>
              <w:bidi w:val="0"/>
              <w:adjustRightInd w:val="0"/>
              <w:snapToGrid w:val="0"/>
              <w:ind w:firstLine="0" w:firstLineChars="0"/>
              <w:jc w:val="center"/>
              <w:textAlignment w:val="auto"/>
              <w:outlineLvl w:val="0"/>
              <w:rPr>
                <w:rFonts w:ascii="宋体" w:hAnsi="宋体"/>
                <w:b/>
                <w:bCs/>
                <w:szCs w:val="21"/>
                <w:highlight w:val="none"/>
              </w:rPr>
            </w:pPr>
            <w:r>
              <w:rPr>
                <w:rFonts w:hint="eastAsia" w:ascii="宋体" w:hAnsi="宋体"/>
                <w:b/>
                <w:bCs/>
                <w:szCs w:val="21"/>
                <w:highlight w:val="none"/>
              </w:rPr>
              <w:t>1</w:t>
            </w:r>
          </w:p>
        </w:tc>
        <w:tc>
          <w:tcPr>
            <w:tcW w:w="1276" w:type="dxa"/>
            <w:noWrap w:val="0"/>
            <w:vAlign w:val="center"/>
          </w:tcPr>
          <w:p w14:paraId="2F9B2C9A">
            <w:pPr>
              <w:keepNext w:val="0"/>
              <w:keepLines w:val="0"/>
              <w:pageBreakBefore w:val="0"/>
              <w:kinsoku/>
              <w:wordWrap/>
              <w:overflowPunct/>
              <w:topLinePunct w:val="0"/>
              <w:autoSpaceDE/>
              <w:autoSpaceDN/>
              <w:bidi w:val="0"/>
              <w:adjustRightInd w:val="0"/>
              <w:snapToGrid w:val="0"/>
              <w:ind w:firstLine="0" w:firstLineChars="0"/>
              <w:jc w:val="center"/>
              <w:textAlignment w:val="auto"/>
              <w:outlineLvl w:val="0"/>
              <w:rPr>
                <w:rFonts w:ascii="宋体" w:hAnsi="宋体"/>
                <w:b/>
                <w:bCs/>
                <w:szCs w:val="21"/>
                <w:highlight w:val="none"/>
              </w:rPr>
            </w:pPr>
            <w:r>
              <w:rPr>
                <w:rFonts w:hint="eastAsia" w:ascii="宋体" w:hAnsi="宋体"/>
                <w:b/>
                <w:bCs/>
                <w:szCs w:val="21"/>
                <w:highlight w:val="none"/>
              </w:rPr>
              <w:t>服务期要求</w:t>
            </w:r>
          </w:p>
        </w:tc>
        <w:tc>
          <w:tcPr>
            <w:tcW w:w="8011" w:type="dxa"/>
            <w:noWrap w:val="0"/>
            <w:vAlign w:val="top"/>
          </w:tcPr>
          <w:p w14:paraId="37736888">
            <w:pPr>
              <w:keepNext w:val="0"/>
              <w:keepLines w:val="0"/>
              <w:pageBreakBefore w:val="0"/>
              <w:numPr>
                <w:ilvl w:val="0"/>
                <w:numId w:val="0"/>
              </w:numPr>
              <w:kinsoku/>
              <w:wordWrap/>
              <w:overflowPunct/>
              <w:topLinePunct w:val="0"/>
              <w:autoSpaceDE/>
              <w:autoSpaceDN/>
              <w:bidi w:val="0"/>
              <w:adjustRightInd w:val="0"/>
              <w:snapToGrid w:val="0"/>
              <w:spacing w:line="440" w:lineRule="atLeast"/>
              <w:ind w:firstLine="0" w:firstLineChars="0"/>
              <w:textAlignment w:val="auto"/>
              <w:rPr>
                <w:rFonts w:hint="eastAsia" w:ascii="宋体" w:hAnsi="宋体" w:cs="宋体"/>
                <w:kern w:val="0"/>
                <w:szCs w:val="21"/>
                <w:highlight w:val="none"/>
              </w:rPr>
            </w:pPr>
            <w:r>
              <w:rPr>
                <w:rFonts w:hint="eastAsia" w:ascii="宋体" w:hAnsi="宋体" w:cs="宋体"/>
                <w:kern w:val="0"/>
                <w:szCs w:val="21"/>
                <w:highlight w:val="none"/>
              </w:rPr>
              <w:t>自合同签订之日起1年。本项目为长期服务类项目，第一年为本次招标的中标服务期限，采购人可根据项目需求和中标供应商的履约情况确定合同期限是否延长，但最长不超过三年，合同一年一签。</w:t>
            </w:r>
          </w:p>
        </w:tc>
      </w:tr>
      <w:tr w14:paraId="2D094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5238AE">
            <w:pPr>
              <w:keepNext w:val="0"/>
              <w:keepLines w:val="0"/>
              <w:pageBreakBefore w:val="0"/>
              <w:kinsoku/>
              <w:wordWrap/>
              <w:overflowPunct/>
              <w:topLinePunct w:val="0"/>
              <w:autoSpaceDE/>
              <w:autoSpaceDN/>
              <w:bidi w:val="0"/>
              <w:adjustRightInd w:val="0"/>
              <w:snapToGrid w:val="0"/>
              <w:ind w:firstLine="0" w:firstLineChars="0"/>
              <w:jc w:val="center"/>
              <w:textAlignment w:val="auto"/>
              <w:outlineLvl w:val="0"/>
              <w:rPr>
                <w:rFonts w:ascii="宋体" w:hAnsi="宋体"/>
                <w:b/>
                <w:bCs/>
                <w:szCs w:val="21"/>
                <w:highlight w:val="none"/>
              </w:rPr>
            </w:pPr>
            <w:r>
              <w:rPr>
                <w:rFonts w:hint="eastAsia" w:ascii="宋体" w:hAnsi="宋体"/>
                <w:b/>
                <w:bCs/>
                <w:szCs w:val="21"/>
                <w:highlight w:val="none"/>
              </w:rPr>
              <w:t>2</w:t>
            </w:r>
          </w:p>
        </w:tc>
        <w:tc>
          <w:tcPr>
            <w:tcW w:w="1276" w:type="dxa"/>
            <w:noWrap w:val="0"/>
            <w:vAlign w:val="center"/>
          </w:tcPr>
          <w:p w14:paraId="047C4D48">
            <w:pPr>
              <w:keepNext w:val="0"/>
              <w:keepLines w:val="0"/>
              <w:pageBreakBefore w:val="0"/>
              <w:kinsoku/>
              <w:wordWrap/>
              <w:overflowPunct/>
              <w:topLinePunct w:val="0"/>
              <w:autoSpaceDE/>
              <w:autoSpaceDN/>
              <w:bidi w:val="0"/>
              <w:adjustRightInd w:val="0"/>
              <w:snapToGrid w:val="0"/>
              <w:ind w:firstLine="0" w:firstLineChars="0"/>
              <w:jc w:val="both"/>
              <w:textAlignment w:val="auto"/>
              <w:outlineLvl w:val="0"/>
              <w:rPr>
                <w:rFonts w:ascii="宋体" w:hAnsi="宋体"/>
                <w:b/>
                <w:bCs/>
                <w:szCs w:val="21"/>
                <w:highlight w:val="none"/>
              </w:rPr>
            </w:pPr>
            <w:r>
              <w:rPr>
                <w:rFonts w:hint="eastAsia" w:ascii="宋体" w:hAnsi="宋体"/>
                <w:b/>
                <w:bCs/>
                <w:szCs w:val="21"/>
                <w:highlight w:val="none"/>
              </w:rPr>
              <w:t>服务地点</w:t>
            </w:r>
          </w:p>
        </w:tc>
        <w:tc>
          <w:tcPr>
            <w:tcW w:w="8011" w:type="dxa"/>
            <w:noWrap w:val="0"/>
            <w:vAlign w:val="center"/>
          </w:tcPr>
          <w:p w14:paraId="48EC8312">
            <w:pPr>
              <w:keepNext w:val="0"/>
              <w:keepLines w:val="0"/>
              <w:pageBreakBefore w:val="0"/>
              <w:numPr>
                <w:ilvl w:val="0"/>
                <w:numId w:val="0"/>
              </w:numPr>
              <w:kinsoku/>
              <w:wordWrap/>
              <w:overflowPunct/>
              <w:topLinePunct w:val="0"/>
              <w:autoSpaceDE/>
              <w:autoSpaceDN/>
              <w:bidi w:val="0"/>
              <w:adjustRightInd w:val="0"/>
              <w:snapToGrid w:val="0"/>
              <w:spacing w:line="440" w:lineRule="atLeast"/>
              <w:ind w:firstLine="0" w:firstLineChars="0"/>
              <w:jc w:val="both"/>
              <w:textAlignment w:val="auto"/>
              <w:rPr>
                <w:rFonts w:hint="eastAsia" w:ascii="宋体" w:hAnsi="宋体" w:cs="宋体"/>
                <w:kern w:val="0"/>
                <w:szCs w:val="21"/>
                <w:highlight w:val="none"/>
                <w:lang w:eastAsia="zh-CN"/>
              </w:rPr>
            </w:pPr>
            <w:r>
              <w:rPr>
                <w:rFonts w:hint="eastAsia" w:ascii="宋体" w:hAnsi="宋体" w:cs="宋体"/>
                <w:kern w:val="0"/>
                <w:szCs w:val="21"/>
                <w:highlight w:val="none"/>
                <w:lang w:eastAsia="zh-CN"/>
              </w:rPr>
              <w:t>采购人指定地点</w:t>
            </w:r>
          </w:p>
        </w:tc>
      </w:tr>
      <w:tr w14:paraId="108B8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6906970E">
            <w:pPr>
              <w:keepNext w:val="0"/>
              <w:keepLines w:val="0"/>
              <w:pageBreakBefore w:val="0"/>
              <w:kinsoku/>
              <w:wordWrap/>
              <w:overflowPunct/>
              <w:topLinePunct w:val="0"/>
              <w:autoSpaceDE/>
              <w:autoSpaceDN/>
              <w:bidi w:val="0"/>
              <w:adjustRightInd w:val="0"/>
              <w:snapToGrid w:val="0"/>
              <w:ind w:firstLine="0" w:firstLineChars="0"/>
              <w:jc w:val="center"/>
              <w:textAlignment w:val="auto"/>
              <w:outlineLvl w:val="0"/>
              <w:rPr>
                <w:rFonts w:ascii="宋体" w:hAnsi="宋体"/>
                <w:b/>
                <w:bCs/>
                <w:szCs w:val="21"/>
                <w:highlight w:val="none"/>
              </w:rPr>
            </w:pPr>
            <w:r>
              <w:rPr>
                <w:rFonts w:hint="eastAsia" w:ascii="宋体" w:hAnsi="宋体"/>
                <w:b/>
                <w:bCs/>
                <w:szCs w:val="21"/>
                <w:highlight w:val="none"/>
              </w:rPr>
              <w:t>3</w:t>
            </w:r>
          </w:p>
        </w:tc>
        <w:tc>
          <w:tcPr>
            <w:tcW w:w="1276" w:type="dxa"/>
            <w:noWrap w:val="0"/>
            <w:vAlign w:val="center"/>
          </w:tcPr>
          <w:p w14:paraId="3E77D1F7">
            <w:pPr>
              <w:keepNext w:val="0"/>
              <w:keepLines w:val="0"/>
              <w:pageBreakBefore w:val="0"/>
              <w:kinsoku/>
              <w:wordWrap/>
              <w:overflowPunct/>
              <w:topLinePunct w:val="0"/>
              <w:autoSpaceDE/>
              <w:autoSpaceDN/>
              <w:bidi w:val="0"/>
              <w:adjustRightInd w:val="0"/>
              <w:snapToGrid w:val="0"/>
              <w:ind w:firstLine="0" w:firstLineChars="0"/>
              <w:jc w:val="center"/>
              <w:textAlignment w:val="auto"/>
              <w:outlineLvl w:val="0"/>
              <w:rPr>
                <w:rFonts w:ascii="宋体" w:hAnsi="宋体"/>
                <w:b/>
                <w:bCs/>
                <w:szCs w:val="21"/>
                <w:highlight w:val="none"/>
              </w:rPr>
            </w:pPr>
            <w:r>
              <w:rPr>
                <w:rFonts w:hint="eastAsia" w:ascii="宋体" w:hAnsi="宋体"/>
                <w:b/>
                <w:bCs/>
                <w:szCs w:val="21"/>
                <w:highlight w:val="none"/>
              </w:rPr>
              <w:t>付款方式</w:t>
            </w:r>
          </w:p>
        </w:tc>
        <w:tc>
          <w:tcPr>
            <w:tcW w:w="8011" w:type="dxa"/>
            <w:noWrap w:val="0"/>
            <w:vAlign w:val="top"/>
          </w:tcPr>
          <w:p w14:paraId="39232043">
            <w:pPr>
              <w:keepNext w:val="0"/>
              <w:keepLines w:val="0"/>
              <w:pageBreakBefore w:val="0"/>
              <w:numPr>
                <w:ilvl w:val="0"/>
                <w:numId w:val="0"/>
              </w:numPr>
              <w:kinsoku/>
              <w:wordWrap/>
              <w:overflowPunct/>
              <w:topLinePunct w:val="0"/>
              <w:autoSpaceDE/>
              <w:autoSpaceDN/>
              <w:bidi w:val="0"/>
              <w:adjustRightInd w:val="0"/>
              <w:snapToGrid w:val="0"/>
              <w:spacing w:line="440" w:lineRule="atLeast"/>
              <w:ind w:firstLine="0" w:firstLineChars="0"/>
              <w:textAlignment w:val="auto"/>
              <w:rPr>
                <w:rFonts w:hint="eastAsia" w:ascii="宋体" w:hAnsi="宋体" w:cs="宋体"/>
                <w:kern w:val="0"/>
                <w:szCs w:val="21"/>
                <w:highlight w:val="none"/>
              </w:rPr>
            </w:pPr>
            <w:r>
              <w:rPr>
                <w:rFonts w:hint="eastAsia" w:ascii="宋体" w:hAnsi="宋体" w:cs="宋体"/>
                <w:kern w:val="0"/>
                <w:szCs w:val="21"/>
                <w:highlight w:val="none"/>
              </w:rPr>
              <w:t>合同签订后，投标人于次月10日前，将上月</w:t>
            </w:r>
            <w:r>
              <w:rPr>
                <w:rFonts w:hint="eastAsia" w:ascii="宋体" w:hAnsi="宋体" w:cs="宋体"/>
                <w:kern w:val="0"/>
                <w:szCs w:val="21"/>
                <w:highlight w:val="none"/>
                <w:lang w:eastAsia="zh-CN"/>
              </w:rPr>
              <w:t>职工</w:t>
            </w:r>
            <w:r>
              <w:rPr>
                <w:rFonts w:hint="eastAsia" w:ascii="宋体" w:hAnsi="宋体" w:cs="宋体"/>
                <w:kern w:val="0"/>
                <w:szCs w:val="21"/>
                <w:highlight w:val="none"/>
              </w:rPr>
              <w:t>餐饮</w:t>
            </w:r>
            <w:r>
              <w:rPr>
                <w:rFonts w:hint="eastAsia" w:ascii="宋体" w:hAnsi="宋体" w:cs="宋体"/>
                <w:kern w:val="0"/>
                <w:szCs w:val="21"/>
                <w:highlight w:val="none"/>
                <w:lang w:eastAsia="zh-CN"/>
              </w:rPr>
              <w:t>的</w:t>
            </w:r>
            <w:r>
              <w:rPr>
                <w:rFonts w:hint="eastAsia" w:ascii="宋体" w:hAnsi="宋体" w:cs="宋体"/>
                <w:kern w:val="0"/>
                <w:szCs w:val="21"/>
                <w:highlight w:val="none"/>
              </w:rPr>
              <w:t>清单汇总表及其它采购人所需付款资料提交至采购人核对，双方确认一致后，</w:t>
            </w:r>
            <w:r>
              <w:rPr>
                <w:rFonts w:hint="eastAsia" w:ascii="宋体" w:hAnsi="宋体" w:cs="宋体"/>
                <w:kern w:val="0"/>
                <w:szCs w:val="21"/>
                <w:highlight w:val="none"/>
                <w:lang w:val="en-US" w:eastAsia="zh-CN"/>
              </w:rPr>
              <w:t>进行餐饮服务考核，考核情况落实到每月付款金额中，15日前</w:t>
            </w:r>
            <w:r>
              <w:rPr>
                <w:rFonts w:hint="eastAsia" w:ascii="宋体" w:hAnsi="宋体" w:cs="宋体"/>
                <w:kern w:val="0"/>
                <w:szCs w:val="21"/>
                <w:highlight w:val="none"/>
              </w:rPr>
              <w:t>投标人向采购人出具与上月结算金额等额的发票，自发票到达采购人财务之日起</w:t>
            </w:r>
            <w:r>
              <w:rPr>
                <w:rFonts w:hint="eastAsia" w:ascii="宋体" w:hAnsi="宋体" w:cs="宋体"/>
                <w:kern w:val="0"/>
                <w:szCs w:val="21"/>
                <w:highlight w:val="none"/>
                <w:lang w:val="en-US" w:eastAsia="zh-CN"/>
              </w:rPr>
              <w:t>10工作</w:t>
            </w:r>
            <w:r>
              <w:rPr>
                <w:rFonts w:hint="eastAsia" w:ascii="宋体" w:hAnsi="宋体" w:cs="宋体"/>
                <w:kern w:val="0"/>
                <w:szCs w:val="21"/>
                <w:highlight w:val="none"/>
              </w:rPr>
              <w:t>日内，采购人向投标人支</w:t>
            </w:r>
            <w:r>
              <w:rPr>
                <w:rFonts w:hint="eastAsia" w:ascii="宋体" w:hAnsi="宋体" w:cs="宋体"/>
                <w:kern w:val="0"/>
                <w:szCs w:val="21"/>
                <w:highlight w:val="none"/>
                <w:lang w:val="en-US" w:eastAsia="zh-CN"/>
              </w:rPr>
              <w:t>付</w:t>
            </w:r>
            <w:r>
              <w:rPr>
                <w:rFonts w:hint="eastAsia" w:ascii="宋体" w:hAnsi="宋体" w:cs="宋体"/>
                <w:kern w:val="0"/>
                <w:szCs w:val="21"/>
                <w:highlight w:val="none"/>
              </w:rPr>
              <w:t>发票等额货款。</w:t>
            </w:r>
          </w:p>
        </w:tc>
      </w:tr>
      <w:tr w14:paraId="43EA2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675" w:type="dxa"/>
            <w:noWrap w:val="0"/>
            <w:vAlign w:val="center"/>
          </w:tcPr>
          <w:p w14:paraId="3BCA3951">
            <w:pPr>
              <w:keepNext w:val="0"/>
              <w:keepLines w:val="0"/>
              <w:pageBreakBefore w:val="0"/>
              <w:kinsoku/>
              <w:wordWrap/>
              <w:overflowPunct/>
              <w:topLinePunct w:val="0"/>
              <w:autoSpaceDE/>
              <w:autoSpaceDN/>
              <w:bidi w:val="0"/>
              <w:adjustRightInd w:val="0"/>
              <w:snapToGrid w:val="0"/>
              <w:ind w:firstLine="0" w:firstLineChars="0"/>
              <w:jc w:val="center"/>
              <w:textAlignment w:val="auto"/>
              <w:outlineLvl w:val="0"/>
              <w:rPr>
                <w:rFonts w:ascii="宋体" w:hAnsi="宋体"/>
                <w:b/>
                <w:bCs/>
                <w:szCs w:val="21"/>
                <w:highlight w:val="none"/>
              </w:rPr>
            </w:pPr>
            <w:r>
              <w:rPr>
                <w:rFonts w:hint="eastAsia" w:ascii="宋体" w:hAnsi="宋体"/>
                <w:b/>
                <w:bCs/>
                <w:szCs w:val="21"/>
                <w:highlight w:val="none"/>
              </w:rPr>
              <w:t>4</w:t>
            </w:r>
          </w:p>
        </w:tc>
        <w:tc>
          <w:tcPr>
            <w:tcW w:w="1276" w:type="dxa"/>
            <w:noWrap w:val="0"/>
            <w:vAlign w:val="center"/>
          </w:tcPr>
          <w:p w14:paraId="3E16DE91">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ascii="宋体" w:hAnsi="宋体"/>
                <w:b/>
                <w:bCs/>
                <w:szCs w:val="21"/>
                <w:highlight w:val="none"/>
              </w:rPr>
            </w:pPr>
            <w:r>
              <w:rPr>
                <w:rFonts w:hint="eastAsia" w:ascii="宋体" w:hAnsi="宋体"/>
                <w:b/>
                <w:bCs/>
                <w:szCs w:val="21"/>
                <w:highlight w:val="none"/>
              </w:rPr>
              <w:t>关于验收</w:t>
            </w:r>
          </w:p>
        </w:tc>
        <w:tc>
          <w:tcPr>
            <w:tcW w:w="8011" w:type="dxa"/>
            <w:noWrap w:val="0"/>
            <w:vAlign w:val="top"/>
          </w:tcPr>
          <w:p w14:paraId="24753F16">
            <w:pPr>
              <w:keepNext w:val="0"/>
              <w:keepLines w:val="0"/>
              <w:pageBreakBefore w:val="0"/>
              <w:numPr>
                <w:ilvl w:val="0"/>
                <w:numId w:val="0"/>
              </w:numPr>
              <w:kinsoku/>
              <w:wordWrap/>
              <w:overflowPunct/>
              <w:topLinePunct w:val="0"/>
              <w:autoSpaceDE/>
              <w:autoSpaceDN/>
              <w:bidi w:val="0"/>
              <w:adjustRightInd w:val="0"/>
              <w:snapToGrid w:val="0"/>
              <w:spacing w:line="440" w:lineRule="atLeast"/>
              <w:ind w:firstLine="0" w:firstLineChars="0"/>
              <w:textAlignment w:val="auto"/>
              <w:rPr>
                <w:rFonts w:hint="eastAsia" w:ascii="宋体" w:hAnsi="宋体" w:cs="宋体"/>
                <w:kern w:val="0"/>
                <w:szCs w:val="21"/>
                <w:highlight w:val="none"/>
              </w:rPr>
            </w:pPr>
            <w:r>
              <w:rPr>
                <w:rFonts w:hint="eastAsia" w:ascii="宋体" w:hAnsi="宋体" w:cs="宋体"/>
                <w:kern w:val="0"/>
                <w:szCs w:val="21"/>
                <w:highlight w:val="none"/>
              </w:rPr>
              <w:t>1）服务经过双方检验认可后，签署验收报告。</w:t>
            </w:r>
          </w:p>
          <w:p w14:paraId="0B75DF01">
            <w:pPr>
              <w:keepNext w:val="0"/>
              <w:keepLines w:val="0"/>
              <w:pageBreakBefore w:val="0"/>
              <w:numPr>
                <w:ilvl w:val="0"/>
                <w:numId w:val="0"/>
              </w:numPr>
              <w:kinsoku/>
              <w:wordWrap/>
              <w:overflowPunct/>
              <w:topLinePunct w:val="0"/>
              <w:autoSpaceDE/>
              <w:autoSpaceDN/>
              <w:bidi w:val="0"/>
              <w:adjustRightInd w:val="0"/>
              <w:snapToGrid w:val="0"/>
              <w:spacing w:line="440" w:lineRule="atLeast"/>
              <w:ind w:firstLine="0" w:firstLineChars="0"/>
              <w:textAlignment w:val="auto"/>
              <w:rPr>
                <w:rFonts w:hint="eastAsia" w:ascii="宋体" w:hAnsi="宋体" w:cs="宋体"/>
                <w:kern w:val="0"/>
                <w:szCs w:val="21"/>
                <w:highlight w:val="none"/>
              </w:rPr>
            </w:pPr>
            <w:r>
              <w:rPr>
                <w:rFonts w:hint="eastAsia" w:ascii="宋体" w:hAnsi="宋体" w:cs="宋体"/>
                <w:kern w:val="0"/>
                <w:szCs w:val="21"/>
                <w:highlight w:val="none"/>
              </w:rPr>
              <w:t>2）当满足以下条件时，采购人才向投标人签发验收报告：</w:t>
            </w:r>
          </w:p>
          <w:p w14:paraId="69E43233">
            <w:pPr>
              <w:keepNext w:val="0"/>
              <w:keepLines w:val="0"/>
              <w:pageBreakBefore w:val="0"/>
              <w:numPr>
                <w:ilvl w:val="0"/>
                <w:numId w:val="0"/>
              </w:numPr>
              <w:kinsoku/>
              <w:wordWrap/>
              <w:overflowPunct/>
              <w:topLinePunct w:val="0"/>
              <w:autoSpaceDE/>
              <w:autoSpaceDN/>
              <w:bidi w:val="0"/>
              <w:adjustRightInd w:val="0"/>
              <w:snapToGrid w:val="0"/>
              <w:spacing w:line="440" w:lineRule="atLeast"/>
              <w:ind w:firstLine="0" w:firstLineChars="0"/>
              <w:textAlignment w:val="auto"/>
              <w:rPr>
                <w:rFonts w:hint="eastAsia" w:ascii="宋体" w:hAnsi="宋体" w:cs="宋体"/>
                <w:kern w:val="0"/>
                <w:szCs w:val="21"/>
                <w:highlight w:val="none"/>
              </w:rPr>
            </w:pPr>
            <w:r>
              <w:rPr>
                <w:rFonts w:hint="eastAsia" w:ascii="宋体" w:hAnsi="宋体" w:cs="宋体"/>
                <w:kern w:val="0"/>
                <w:szCs w:val="21"/>
                <w:highlight w:val="none"/>
              </w:rPr>
              <w:t>a、投标人已按照合同规定提供了全部资料。</w:t>
            </w:r>
          </w:p>
          <w:p w14:paraId="3FBF0125">
            <w:pPr>
              <w:keepNext w:val="0"/>
              <w:keepLines w:val="0"/>
              <w:pageBreakBefore w:val="0"/>
              <w:numPr>
                <w:ilvl w:val="0"/>
                <w:numId w:val="0"/>
              </w:numPr>
              <w:kinsoku/>
              <w:wordWrap/>
              <w:overflowPunct/>
              <w:topLinePunct w:val="0"/>
              <w:autoSpaceDE/>
              <w:autoSpaceDN/>
              <w:bidi w:val="0"/>
              <w:adjustRightInd w:val="0"/>
              <w:snapToGrid w:val="0"/>
              <w:spacing w:line="440" w:lineRule="atLeast"/>
              <w:ind w:firstLine="0" w:firstLineChars="0"/>
              <w:textAlignment w:val="auto"/>
              <w:rPr>
                <w:rFonts w:hint="eastAsia" w:ascii="宋体" w:hAnsi="宋体" w:cs="宋体"/>
                <w:kern w:val="0"/>
                <w:szCs w:val="21"/>
                <w:highlight w:val="none"/>
              </w:rPr>
            </w:pPr>
            <w:r>
              <w:rPr>
                <w:rFonts w:hint="eastAsia" w:ascii="宋体" w:hAnsi="宋体" w:cs="宋体"/>
                <w:kern w:val="0"/>
                <w:szCs w:val="21"/>
                <w:highlight w:val="none"/>
              </w:rPr>
              <w:t>b、服务项目符合招标文件的服务要求</w:t>
            </w:r>
          </w:p>
        </w:tc>
      </w:tr>
      <w:tr w14:paraId="23CA2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675" w:type="dxa"/>
            <w:noWrap w:val="0"/>
            <w:vAlign w:val="center"/>
          </w:tcPr>
          <w:p w14:paraId="4B202321">
            <w:pPr>
              <w:keepNext w:val="0"/>
              <w:keepLines w:val="0"/>
              <w:pageBreakBefore w:val="0"/>
              <w:kinsoku/>
              <w:wordWrap/>
              <w:overflowPunct/>
              <w:topLinePunct w:val="0"/>
              <w:autoSpaceDE/>
              <w:autoSpaceDN/>
              <w:bidi w:val="0"/>
              <w:adjustRightInd w:val="0"/>
              <w:snapToGrid w:val="0"/>
              <w:ind w:firstLine="0" w:firstLineChars="0"/>
              <w:jc w:val="center"/>
              <w:textAlignment w:val="auto"/>
              <w:outlineLvl w:val="0"/>
              <w:rPr>
                <w:rFonts w:hint="eastAsia" w:ascii="宋体" w:hAnsi="宋体"/>
                <w:b/>
                <w:bCs/>
                <w:szCs w:val="21"/>
                <w:highlight w:val="none"/>
              </w:rPr>
            </w:pPr>
            <w:r>
              <w:rPr>
                <w:rFonts w:hint="eastAsia" w:ascii="宋体" w:hAnsi="宋体"/>
                <w:b/>
                <w:bCs/>
                <w:szCs w:val="21"/>
                <w:highlight w:val="none"/>
              </w:rPr>
              <w:t>5</w:t>
            </w:r>
          </w:p>
        </w:tc>
        <w:tc>
          <w:tcPr>
            <w:tcW w:w="1276" w:type="dxa"/>
            <w:noWrap w:val="0"/>
            <w:vAlign w:val="center"/>
          </w:tcPr>
          <w:p w14:paraId="4799BB98">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ascii="宋体" w:hAnsi="宋体"/>
                <w:b/>
                <w:bCs/>
                <w:szCs w:val="21"/>
                <w:highlight w:val="none"/>
              </w:rPr>
            </w:pPr>
            <w:r>
              <w:rPr>
                <w:rFonts w:hint="eastAsia" w:ascii="宋体" w:hAnsi="宋体" w:cs="宋体"/>
                <w:b/>
                <w:bCs/>
                <w:sz w:val="24"/>
                <w:szCs w:val="24"/>
                <w:highlight w:val="none"/>
              </w:rPr>
              <w:t>相关费用要求</w:t>
            </w:r>
          </w:p>
        </w:tc>
        <w:tc>
          <w:tcPr>
            <w:tcW w:w="8011" w:type="dxa"/>
            <w:noWrap w:val="0"/>
            <w:vAlign w:val="top"/>
          </w:tcPr>
          <w:p w14:paraId="390B53B2">
            <w:pPr>
              <w:keepNext w:val="0"/>
              <w:keepLines w:val="0"/>
              <w:pageBreakBefore w:val="0"/>
              <w:numPr>
                <w:ilvl w:val="0"/>
                <w:numId w:val="0"/>
              </w:numPr>
              <w:kinsoku/>
              <w:wordWrap/>
              <w:overflowPunct/>
              <w:topLinePunct w:val="0"/>
              <w:autoSpaceDE/>
              <w:autoSpaceDN/>
              <w:bidi w:val="0"/>
              <w:adjustRightInd w:val="0"/>
              <w:snapToGrid w:val="0"/>
              <w:spacing w:line="440" w:lineRule="atLeast"/>
              <w:ind w:firstLine="0" w:firstLineChars="0"/>
              <w:textAlignment w:val="auto"/>
              <w:rPr>
                <w:rFonts w:hint="eastAsia" w:ascii="宋体" w:hAnsi="宋体" w:cs="宋体"/>
                <w:kern w:val="0"/>
                <w:szCs w:val="21"/>
                <w:highlight w:val="none"/>
              </w:rPr>
            </w:pPr>
            <w:r>
              <w:rPr>
                <w:rFonts w:hint="eastAsia" w:ascii="宋体" w:hAnsi="宋体" w:cs="宋体"/>
                <w:kern w:val="0"/>
                <w:szCs w:val="21"/>
                <w:highlight w:val="none"/>
                <w:lang w:val="en-US" w:eastAsia="zh-CN"/>
              </w:rPr>
              <w:t>1.</w:t>
            </w:r>
            <w:r>
              <w:rPr>
                <w:rFonts w:hint="eastAsia" w:ascii="宋体" w:hAnsi="宋体" w:cs="宋体"/>
                <w:kern w:val="0"/>
                <w:szCs w:val="21"/>
                <w:highlight w:val="none"/>
              </w:rPr>
              <w:t>履约保证金：</w:t>
            </w:r>
            <w:r>
              <w:rPr>
                <w:rFonts w:hint="eastAsia" w:ascii="宋体" w:hAnsi="宋体" w:cs="宋体"/>
                <w:kern w:val="0"/>
                <w:szCs w:val="21"/>
                <w:highlight w:val="none"/>
                <w:lang w:val="en-US" w:eastAsia="zh-CN"/>
              </w:rPr>
              <w:t>5</w:t>
            </w:r>
            <w:r>
              <w:rPr>
                <w:rFonts w:hint="eastAsia" w:ascii="宋体" w:hAnsi="宋体" w:cs="宋体"/>
                <w:kern w:val="0"/>
                <w:szCs w:val="21"/>
                <w:highlight w:val="none"/>
              </w:rPr>
              <w:t>0万元</w:t>
            </w:r>
            <w:r>
              <w:rPr>
                <w:rFonts w:hint="eastAsia" w:ascii="宋体" w:hAnsi="宋体" w:cs="宋体"/>
                <w:kern w:val="0"/>
                <w:szCs w:val="21"/>
                <w:highlight w:val="none"/>
                <w:lang w:eastAsia="zh-CN"/>
              </w:rPr>
              <w:t>。</w:t>
            </w:r>
            <w:r>
              <w:rPr>
                <w:rFonts w:hint="eastAsia" w:ascii="宋体" w:hAnsi="宋体" w:cs="宋体"/>
                <w:kern w:val="0"/>
                <w:szCs w:val="21"/>
                <w:highlight w:val="none"/>
              </w:rPr>
              <w:t>双方签订合同前，</w:t>
            </w:r>
            <w:r>
              <w:rPr>
                <w:rFonts w:hint="eastAsia" w:ascii="宋体" w:hAnsi="宋体" w:cs="宋体"/>
                <w:kern w:val="0"/>
                <w:szCs w:val="21"/>
                <w:highlight w:val="none"/>
                <w:lang w:val="en-US" w:eastAsia="zh-CN"/>
              </w:rPr>
              <w:t>投标人</w:t>
            </w:r>
            <w:r>
              <w:rPr>
                <w:rFonts w:hint="eastAsia" w:ascii="宋体" w:hAnsi="宋体" w:cs="宋体"/>
                <w:kern w:val="0"/>
                <w:szCs w:val="21"/>
                <w:highlight w:val="none"/>
              </w:rPr>
              <w:t>向</w:t>
            </w:r>
            <w:r>
              <w:rPr>
                <w:rFonts w:hint="eastAsia" w:ascii="宋体" w:hAnsi="宋体" w:cs="宋体"/>
                <w:kern w:val="0"/>
                <w:szCs w:val="21"/>
                <w:highlight w:val="none"/>
                <w:lang w:eastAsia="zh-CN"/>
              </w:rPr>
              <w:t>采购人</w:t>
            </w:r>
            <w:r>
              <w:rPr>
                <w:rFonts w:hint="eastAsia" w:ascii="宋体" w:hAnsi="宋体" w:cs="宋体"/>
                <w:kern w:val="0"/>
                <w:szCs w:val="21"/>
                <w:highlight w:val="none"/>
              </w:rPr>
              <w:t>缴纳</w:t>
            </w:r>
            <w:r>
              <w:rPr>
                <w:rFonts w:hint="eastAsia" w:ascii="宋体" w:hAnsi="宋体" w:cs="宋体"/>
                <w:kern w:val="0"/>
                <w:szCs w:val="21"/>
                <w:highlight w:val="none"/>
                <w:lang w:val="en-US" w:eastAsia="zh-CN"/>
              </w:rPr>
              <w:t>5</w:t>
            </w:r>
            <w:r>
              <w:rPr>
                <w:rFonts w:hint="eastAsia" w:ascii="宋体" w:hAnsi="宋体" w:cs="宋体"/>
                <w:kern w:val="0"/>
                <w:szCs w:val="21"/>
                <w:highlight w:val="none"/>
              </w:rPr>
              <w:t>0万元履约保金，若</w:t>
            </w:r>
            <w:r>
              <w:rPr>
                <w:rFonts w:hint="eastAsia" w:ascii="宋体" w:hAnsi="宋体" w:cs="宋体"/>
                <w:kern w:val="0"/>
                <w:szCs w:val="21"/>
                <w:highlight w:val="none"/>
                <w:lang w:val="en-US" w:eastAsia="zh-CN"/>
              </w:rPr>
              <w:t>投标人</w:t>
            </w:r>
            <w:r>
              <w:rPr>
                <w:rFonts w:hint="eastAsia" w:ascii="宋体" w:hAnsi="宋体" w:cs="宋体"/>
                <w:kern w:val="0"/>
                <w:szCs w:val="21"/>
                <w:highlight w:val="none"/>
              </w:rPr>
              <w:t>的行为直接或间接造成</w:t>
            </w:r>
            <w:r>
              <w:rPr>
                <w:rFonts w:hint="eastAsia" w:ascii="宋体" w:hAnsi="宋体" w:cs="宋体"/>
                <w:kern w:val="0"/>
                <w:szCs w:val="21"/>
                <w:highlight w:val="none"/>
                <w:lang w:eastAsia="zh-CN"/>
              </w:rPr>
              <w:t>采购人</w:t>
            </w:r>
            <w:r>
              <w:rPr>
                <w:rFonts w:hint="eastAsia" w:ascii="宋体" w:hAnsi="宋体" w:cs="宋体"/>
                <w:kern w:val="0"/>
                <w:szCs w:val="21"/>
                <w:highlight w:val="none"/>
              </w:rPr>
              <w:t>财产损失的，</w:t>
            </w:r>
            <w:r>
              <w:rPr>
                <w:rFonts w:hint="eastAsia" w:ascii="宋体" w:hAnsi="宋体" w:cs="宋体"/>
                <w:kern w:val="0"/>
                <w:szCs w:val="21"/>
                <w:highlight w:val="none"/>
                <w:lang w:eastAsia="zh-CN"/>
              </w:rPr>
              <w:t>采购人</w:t>
            </w:r>
            <w:r>
              <w:rPr>
                <w:rFonts w:hint="eastAsia" w:ascii="宋体" w:hAnsi="宋体" w:cs="宋体"/>
                <w:kern w:val="0"/>
                <w:szCs w:val="21"/>
                <w:highlight w:val="none"/>
              </w:rPr>
              <w:t>有权直接从履约保证金中扣除损失赔偿费用，履约保证金不足以赔偿的，</w:t>
            </w:r>
            <w:r>
              <w:rPr>
                <w:rFonts w:hint="eastAsia" w:ascii="宋体" w:hAnsi="宋体" w:cs="宋体"/>
                <w:kern w:val="0"/>
                <w:szCs w:val="21"/>
                <w:highlight w:val="none"/>
                <w:lang w:val="en-US" w:eastAsia="zh-CN"/>
              </w:rPr>
              <w:t>投标人</w:t>
            </w:r>
            <w:r>
              <w:rPr>
                <w:rFonts w:hint="eastAsia" w:ascii="宋体" w:hAnsi="宋体" w:cs="宋体"/>
                <w:kern w:val="0"/>
                <w:szCs w:val="21"/>
                <w:highlight w:val="none"/>
              </w:rPr>
              <w:t>还须继续向</w:t>
            </w:r>
            <w:r>
              <w:rPr>
                <w:rFonts w:hint="eastAsia" w:ascii="宋体" w:hAnsi="宋体" w:cs="宋体"/>
                <w:kern w:val="0"/>
                <w:szCs w:val="21"/>
                <w:highlight w:val="none"/>
                <w:lang w:eastAsia="zh-CN"/>
              </w:rPr>
              <w:t>采购人</w:t>
            </w:r>
            <w:r>
              <w:rPr>
                <w:rFonts w:hint="eastAsia" w:ascii="宋体" w:hAnsi="宋体" w:cs="宋体"/>
                <w:kern w:val="0"/>
                <w:szCs w:val="21"/>
                <w:highlight w:val="none"/>
              </w:rPr>
              <w:t>赔偿。</w:t>
            </w:r>
            <w:r>
              <w:rPr>
                <w:rFonts w:hint="eastAsia" w:ascii="宋体" w:hAnsi="宋体" w:cs="宋体"/>
                <w:kern w:val="0"/>
                <w:szCs w:val="21"/>
                <w:highlight w:val="none"/>
                <w:lang w:val="en-US" w:eastAsia="zh-CN"/>
              </w:rPr>
              <w:t>若在双方合同期间投标人无任何违约行为且无任何扣罚情形的，在双方合同终止后，投标人向采购人申请退回履约保证金，自采购人</w:t>
            </w:r>
            <w:r>
              <w:rPr>
                <w:rFonts w:hint="eastAsia" w:ascii="宋体" w:hAnsi="宋体" w:cs="宋体"/>
                <w:kern w:val="0"/>
                <w:szCs w:val="21"/>
                <w:highlight w:val="none"/>
              </w:rPr>
              <w:t>财务</w:t>
            </w:r>
            <w:r>
              <w:rPr>
                <w:rFonts w:hint="eastAsia" w:ascii="宋体" w:hAnsi="宋体" w:cs="宋体"/>
                <w:kern w:val="0"/>
                <w:szCs w:val="21"/>
                <w:highlight w:val="none"/>
                <w:lang w:val="en-US" w:eastAsia="zh-CN"/>
              </w:rPr>
              <w:t>收到投标人书面申请及相应的完整资料</w:t>
            </w:r>
            <w:r>
              <w:rPr>
                <w:rFonts w:hint="eastAsia" w:ascii="宋体" w:hAnsi="宋体" w:cs="宋体"/>
                <w:kern w:val="0"/>
                <w:szCs w:val="21"/>
                <w:highlight w:val="none"/>
              </w:rPr>
              <w:t>之日起30日</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最长不超过60日</w:t>
            </w:r>
            <w:r>
              <w:rPr>
                <w:rFonts w:hint="eastAsia" w:ascii="宋体" w:hAnsi="宋体" w:cs="宋体"/>
                <w:kern w:val="0"/>
                <w:szCs w:val="21"/>
                <w:highlight w:val="none"/>
                <w:lang w:eastAsia="zh-CN"/>
              </w:rPr>
              <w:t>）</w:t>
            </w:r>
            <w:r>
              <w:rPr>
                <w:rFonts w:hint="eastAsia" w:ascii="宋体" w:hAnsi="宋体" w:cs="宋体"/>
                <w:kern w:val="0"/>
                <w:szCs w:val="21"/>
                <w:highlight w:val="none"/>
              </w:rPr>
              <w:t>内，</w:t>
            </w:r>
            <w:r>
              <w:rPr>
                <w:rFonts w:hint="eastAsia" w:ascii="宋体" w:hAnsi="宋体" w:cs="宋体"/>
                <w:kern w:val="0"/>
                <w:szCs w:val="21"/>
                <w:highlight w:val="none"/>
                <w:lang w:val="en-US" w:eastAsia="zh-CN"/>
              </w:rPr>
              <w:t>采购人</w:t>
            </w:r>
            <w:r>
              <w:rPr>
                <w:rFonts w:hint="eastAsia" w:ascii="宋体" w:hAnsi="宋体" w:cs="宋体"/>
                <w:kern w:val="0"/>
                <w:szCs w:val="21"/>
                <w:highlight w:val="none"/>
              </w:rPr>
              <w:t>将履约保证金无息返还给</w:t>
            </w:r>
            <w:r>
              <w:rPr>
                <w:rFonts w:hint="eastAsia" w:ascii="宋体" w:hAnsi="宋体" w:cs="宋体"/>
                <w:kern w:val="0"/>
                <w:szCs w:val="21"/>
                <w:highlight w:val="none"/>
                <w:lang w:val="en-US" w:eastAsia="zh-CN"/>
              </w:rPr>
              <w:t>投标人</w:t>
            </w:r>
            <w:r>
              <w:rPr>
                <w:rFonts w:hint="eastAsia" w:ascii="宋体" w:hAnsi="宋体" w:cs="宋体"/>
                <w:kern w:val="0"/>
                <w:szCs w:val="21"/>
                <w:highlight w:val="none"/>
              </w:rPr>
              <w:t>。</w:t>
            </w:r>
          </w:p>
          <w:p w14:paraId="58AD3805">
            <w:pPr>
              <w:keepNext w:val="0"/>
              <w:keepLines w:val="0"/>
              <w:pageBreakBefore w:val="0"/>
              <w:numPr>
                <w:ilvl w:val="0"/>
                <w:numId w:val="0"/>
              </w:numPr>
              <w:kinsoku/>
              <w:wordWrap/>
              <w:overflowPunct/>
              <w:topLinePunct w:val="0"/>
              <w:autoSpaceDE/>
              <w:autoSpaceDN/>
              <w:bidi w:val="0"/>
              <w:adjustRightInd w:val="0"/>
              <w:snapToGrid w:val="0"/>
              <w:spacing w:line="440" w:lineRule="atLeast"/>
              <w:ind w:firstLine="0" w:firstLineChars="0"/>
              <w:textAlignment w:val="auto"/>
              <w:rPr>
                <w:rFonts w:hint="eastAsia" w:ascii="宋体" w:hAnsi="宋体" w:cs="宋体"/>
                <w:kern w:val="0"/>
                <w:szCs w:val="21"/>
                <w:highlight w:val="none"/>
              </w:rPr>
            </w:pPr>
            <w:r>
              <w:rPr>
                <w:rFonts w:hint="eastAsia" w:ascii="宋体" w:hAnsi="宋体" w:cs="宋体"/>
                <w:kern w:val="0"/>
                <w:szCs w:val="21"/>
                <w:highlight w:val="none"/>
                <w:lang w:val="en-US" w:eastAsia="zh-CN"/>
              </w:rPr>
              <w:t>2.</w:t>
            </w:r>
            <w:r>
              <w:rPr>
                <w:rFonts w:hint="eastAsia" w:ascii="宋体" w:hAnsi="宋体" w:cs="宋体"/>
                <w:kern w:val="0"/>
                <w:szCs w:val="21"/>
                <w:highlight w:val="none"/>
              </w:rPr>
              <w:t>投标人负责经营中的用水、用电、用气等使用费用，按安装的度量设备计量于次月10日前据实结算。</w:t>
            </w:r>
          </w:p>
        </w:tc>
      </w:tr>
      <w:tr w14:paraId="5BA72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6" w:hRule="atLeast"/>
          <w:jc w:val="center"/>
        </w:trPr>
        <w:tc>
          <w:tcPr>
            <w:tcW w:w="675" w:type="dxa"/>
            <w:noWrap w:val="0"/>
            <w:vAlign w:val="center"/>
          </w:tcPr>
          <w:p w14:paraId="4D953A72">
            <w:pPr>
              <w:keepNext w:val="0"/>
              <w:keepLines w:val="0"/>
              <w:pageBreakBefore w:val="0"/>
              <w:kinsoku/>
              <w:wordWrap/>
              <w:overflowPunct/>
              <w:topLinePunct w:val="0"/>
              <w:autoSpaceDE/>
              <w:autoSpaceDN/>
              <w:bidi w:val="0"/>
              <w:adjustRightInd w:val="0"/>
              <w:snapToGrid w:val="0"/>
              <w:ind w:firstLine="0" w:firstLineChars="0"/>
              <w:jc w:val="center"/>
              <w:textAlignment w:val="auto"/>
              <w:outlineLvl w:val="0"/>
              <w:rPr>
                <w:rFonts w:hint="eastAsia" w:ascii="宋体" w:hAnsi="宋体"/>
                <w:b/>
                <w:bCs/>
                <w:szCs w:val="21"/>
                <w:highlight w:val="none"/>
              </w:rPr>
            </w:pPr>
            <w:r>
              <w:rPr>
                <w:rFonts w:hint="eastAsia" w:ascii="宋体" w:hAnsi="宋体"/>
                <w:b/>
                <w:bCs/>
                <w:szCs w:val="21"/>
                <w:highlight w:val="none"/>
              </w:rPr>
              <w:t>6</w:t>
            </w:r>
          </w:p>
        </w:tc>
        <w:tc>
          <w:tcPr>
            <w:tcW w:w="1276" w:type="dxa"/>
            <w:noWrap w:val="0"/>
            <w:vAlign w:val="center"/>
          </w:tcPr>
          <w:p w14:paraId="71210423">
            <w:pPr>
              <w:keepNext w:val="0"/>
              <w:keepLines w:val="0"/>
              <w:pageBreakBefore w:val="0"/>
              <w:kinsoku/>
              <w:wordWrap/>
              <w:overflowPunct/>
              <w:topLinePunct w:val="0"/>
              <w:autoSpaceDE/>
              <w:autoSpaceDN/>
              <w:bidi w:val="0"/>
              <w:adjustRightInd w:val="0"/>
              <w:snapToGrid w:val="0"/>
              <w:ind w:firstLine="0" w:firstLineChars="0"/>
              <w:jc w:val="center"/>
              <w:textAlignment w:val="auto"/>
              <w:outlineLvl w:val="0"/>
              <w:rPr>
                <w:rFonts w:ascii="宋体" w:hAnsi="宋体"/>
                <w:b/>
                <w:bCs/>
                <w:szCs w:val="21"/>
                <w:highlight w:val="none"/>
              </w:rPr>
            </w:pPr>
            <w:r>
              <w:rPr>
                <w:rFonts w:hint="eastAsia" w:ascii="宋体" w:hAnsi="宋体" w:cs="宋体"/>
                <w:b/>
                <w:bCs/>
                <w:sz w:val="24"/>
                <w:szCs w:val="24"/>
                <w:highlight w:val="none"/>
              </w:rPr>
              <w:t>违约责任</w:t>
            </w:r>
          </w:p>
        </w:tc>
        <w:tc>
          <w:tcPr>
            <w:tcW w:w="8011" w:type="dxa"/>
            <w:noWrap w:val="0"/>
            <w:vAlign w:val="top"/>
          </w:tcPr>
          <w:p w14:paraId="0AD3DEBB">
            <w:pPr>
              <w:keepNext w:val="0"/>
              <w:keepLines w:val="0"/>
              <w:pageBreakBefore w:val="0"/>
              <w:numPr>
                <w:ilvl w:val="0"/>
                <w:numId w:val="0"/>
              </w:numPr>
              <w:kinsoku/>
              <w:wordWrap/>
              <w:overflowPunct/>
              <w:topLinePunct w:val="0"/>
              <w:autoSpaceDE/>
              <w:autoSpaceDN/>
              <w:bidi w:val="0"/>
              <w:adjustRightInd w:val="0"/>
              <w:snapToGrid w:val="0"/>
              <w:spacing w:line="440" w:lineRule="atLeast"/>
              <w:ind w:firstLine="0" w:firstLineChars="0"/>
              <w:textAlignment w:val="auto"/>
              <w:rPr>
                <w:rFonts w:hint="eastAsia" w:ascii="宋体" w:hAnsi="宋体" w:cs="宋体"/>
                <w:kern w:val="0"/>
                <w:szCs w:val="21"/>
                <w:highlight w:val="none"/>
              </w:rPr>
            </w:pPr>
            <w:r>
              <w:rPr>
                <w:rFonts w:hint="eastAsia" w:ascii="宋体" w:hAnsi="宋体" w:cs="宋体"/>
                <w:kern w:val="0"/>
                <w:szCs w:val="21"/>
                <w:highlight w:val="none"/>
                <w:lang w:val="en-US" w:eastAsia="zh-CN"/>
              </w:rPr>
              <w:t>1.</w:t>
            </w:r>
            <w:r>
              <w:rPr>
                <w:rFonts w:hint="eastAsia" w:ascii="宋体" w:hAnsi="宋体" w:cs="宋体"/>
                <w:kern w:val="0"/>
                <w:szCs w:val="21"/>
                <w:highlight w:val="none"/>
              </w:rPr>
              <w:t>服务期间内，如因投标人丧失为提供该项目服务所必需的资质或其他投标人方面的原因导致项目无法进行的，投标人应在丧失资质或相关事由发生的当天立即通知采购人，投标人无法在3天内恢复资质或消除事由的，采购人有权单方解除合同，不再向投标人支付未支付的款项，并要求投标人支付合同总金额30%的违约金。</w:t>
            </w:r>
          </w:p>
          <w:p w14:paraId="72740F0B">
            <w:pPr>
              <w:keepNext w:val="0"/>
              <w:keepLines w:val="0"/>
              <w:pageBreakBefore w:val="0"/>
              <w:numPr>
                <w:ilvl w:val="0"/>
                <w:numId w:val="0"/>
              </w:numPr>
              <w:kinsoku/>
              <w:wordWrap/>
              <w:overflowPunct/>
              <w:topLinePunct w:val="0"/>
              <w:autoSpaceDE/>
              <w:autoSpaceDN/>
              <w:bidi w:val="0"/>
              <w:adjustRightInd w:val="0"/>
              <w:snapToGrid w:val="0"/>
              <w:spacing w:line="440" w:lineRule="atLeast"/>
              <w:ind w:firstLine="0" w:firstLineChars="0"/>
              <w:textAlignment w:val="auto"/>
              <w:rPr>
                <w:rFonts w:hint="eastAsia" w:ascii="宋体" w:hAnsi="宋体" w:cs="宋体"/>
                <w:kern w:val="0"/>
                <w:szCs w:val="21"/>
                <w:highlight w:val="none"/>
              </w:rPr>
            </w:pPr>
            <w:r>
              <w:rPr>
                <w:rFonts w:hint="eastAsia" w:ascii="宋体" w:hAnsi="宋体" w:cs="宋体"/>
                <w:kern w:val="0"/>
                <w:szCs w:val="21"/>
                <w:highlight w:val="none"/>
                <w:lang w:val="en-US" w:eastAsia="zh-CN"/>
              </w:rPr>
              <w:t>2.</w:t>
            </w:r>
            <w:r>
              <w:rPr>
                <w:rFonts w:hint="eastAsia" w:ascii="宋体" w:hAnsi="宋体" w:cs="宋体"/>
                <w:kern w:val="0"/>
                <w:szCs w:val="21"/>
                <w:highlight w:val="none"/>
              </w:rPr>
              <w:t>如投标人未按采购人需求或采购文件、投标文件、合同约定时间提供服务，经采购人催告后无正当理由仍不履行义务的，自催告后每逾期一日，应每日按该项目总金额的5‰向采购人支付违约金；且自投标人逾期之日起，采购人有权自行委托第三方提供采购人所需要的服务，因此产生的费用由投标人承担，因此造成采购人损失的，</w:t>
            </w:r>
            <w:r>
              <w:rPr>
                <w:rFonts w:hint="eastAsia" w:ascii="宋体" w:hAnsi="宋体" w:cs="宋体"/>
                <w:kern w:val="0"/>
                <w:szCs w:val="21"/>
                <w:highlight w:val="none"/>
                <w:lang w:val="en-US" w:eastAsia="zh-CN"/>
              </w:rPr>
              <w:t xml:space="preserve">  </w:t>
            </w:r>
            <w:r>
              <w:rPr>
                <w:rFonts w:hint="eastAsia" w:ascii="宋体" w:hAnsi="宋体" w:cs="宋体"/>
                <w:kern w:val="0"/>
                <w:szCs w:val="21"/>
                <w:highlight w:val="none"/>
              </w:rPr>
              <w:t>投标人应承担赔偿责任。逾期超过10日的，采购人有权单方解除合同；</w:t>
            </w:r>
          </w:p>
          <w:p w14:paraId="2CC57B69">
            <w:pPr>
              <w:keepNext w:val="0"/>
              <w:keepLines w:val="0"/>
              <w:pageBreakBefore w:val="0"/>
              <w:numPr>
                <w:ilvl w:val="0"/>
                <w:numId w:val="0"/>
              </w:numPr>
              <w:kinsoku/>
              <w:wordWrap/>
              <w:overflowPunct/>
              <w:topLinePunct w:val="0"/>
              <w:autoSpaceDE/>
              <w:autoSpaceDN/>
              <w:bidi w:val="0"/>
              <w:adjustRightInd w:val="0"/>
              <w:snapToGrid w:val="0"/>
              <w:spacing w:line="440" w:lineRule="atLeast"/>
              <w:ind w:firstLine="0" w:firstLineChars="0"/>
              <w:textAlignment w:val="auto"/>
              <w:rPr>
                <w:rFonts w:hint="eastAsia" w:ascii="宋体" w:hAnsi="宋体" w:cs="宋体"/>
                <w:kern w:val="0"/>
                <w:szCs w:val="21"/>
                <w:highlight w:val="none"/>
              </w:rPr>
            </w:pPr>
            <w:r>
              <w:rPr>
                <w:rFonts w:hint="eastAsia" w:ascii="宋体" w:hAnsi="宋体" w:cs="宋体"/>
                <w:kern w:val="0"/>
                <w:szCs w:val="21"/>
                <w:highlight w:val="none"/>
                <w:lang w:val="en-US" w:eastAsia="zh-CN"/>
              </w:rPr>
              <w:t>3.</w:t>
            </w:r>
            <w:r>
              <w:rPr>
                <w:rFonts w:hint="eastAsia" w:ascii="宋体" w:hAnsi="宋体" w:cs="宋体"/>
                <w:kern w:val="0"/>
                <w:szCs w:val="21"/>
                <w:highlight w:val="none"/>
              </w:rPr>
              <w:t>投标人提供的服务未能满足采购文件、投标文件、合同约定的服务要求和标准的，采购人有权拒绝验收并要求投标人立即整改；投标人整改后仍未能满足前述条件的或投标人拒绝整改的，采购人有权单方解除合同，并要求投标人向采购人支付该项目总费用的30%的违约金。如因此给采购人造成损失的，投标人应当承担赔偿责任。</w:t>
            </w:r>
          </w:p>
        </w:tc>
      </w:tr>
      <w:tr w14:paraId="796E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6" w:hRule="atLeast"/>
          <w:jc w:val="center"/>
        </w:trPr>
        <w:tc>
          <w:tcPr>
            <w:tcW w:w="675" w:type="dxa"/>
            <w:noWrap w:val="0"/>
            <w:vAlign w:val="center"/>
          </w:tcPr>
          <w:p w14:paraId="69F4F1F1">
            <w:pPr>
              <w:keepNext w:val="0"/>
              <w:keepLines w:val="0"/>
              <w:pageBreakBefore w:val="0"/>
              <w:kinsoku/>
              <w:wordWrap/>
              <w:overflowPunct/>
              <w:topLinePunct w:val="0"/>
              <w:autoSpaceDE/>
              <w:autoSpaceDN/>
              <w:bidi w:val="0"/>
              <w:adjustRightInd w:val="0"/>
              <w:snapToGrid w:val="0"/>
              <w:ind w:firstLine="0" w:firstLineChars="0"/>
              <w:jc w:val="center"/>
              <w:textAlignment w:val="auto"/>
              <w:outlineLvl w:val="0"/>
              <w:rPr>
                <w:rFonts w:hint="eastAsia" w:ascii="宋体" w:hAnsi="宋体"/>
                <w:b/>
                <w:bCs/>
                <w:szCs w:val="21"/>
                <w:highlight w:val="none"/>
              </w:rPr>
            </w:pPr>
          </w:p>
        </w:tc>
        <w:tc>
          <w:tcPr>
            <w:tcW w:w="1276" w:type="dxa"/>
            <w:noWrap w:val="0"/>
            <w:vAlign w:val="center"/>
          </w:tcPr>
          <w:p w14:paraId="20B0377D">
            <w:pPr>
              <w:keepNext w:val="0"/>
              <w:keepLines w:val="0"/>
              <w:pageBreakBefore w:val="0"/>
              <w:kinsoku/>
              <w:wordWrap/>
              <w:overflowPunct/>
              <w:topLinePunct w:val="0"/>
              <w:autoSpaceDE/>
              <w:autoSpaceDN/>
              <w:bidi w:val="0"/>
              <w:adjustRightInd w:val="0"/>
              <w:snapToGrid w:val="0"/>
              <w:ind w:firstLine="0" w:firstLineChars="0"/>
              <w:jc w:val="center"/>
              <w:textAlignment w:val="auto"/>
              <w:outlineLvl w:val="0"/>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其他条款</w:t>
            </w:r>
          </w:p>
        </w:tc>
        <w:tc>
          <w:tcPr>
            <w:tcW w:w="8011" w:type="dxa"/>
            <w:noWrap w:val="0"/>
            <w:vAlign w:val="top"/>
          </w:tcPr>
          <w:p w14:paraId="21C288F1">
            <w:pPr>
              <w:keepNext w:val="0"/>
              <w:keepLines w:val="0"/>
              <w:pageBreakBefore w:val="0"/>
              <w:numPr>
                <w:ilvl w:val="0"/>
                <w:numId w:val="0"/>
              </w:numPr>
              <w:kinsoku/>
              <w:wordWrap/>
              <w:overflowPunct/>
              <w:topLinePunct w:val="0"/>
              <w:autoSpaceDE/>
              <w:autoSpaceDN/>
              <w:bidi w:val="0"/>
              <w:adjustRightInd w:val="0"/>
              <w:snapToGrid w:val="0"/>
              <w:spacing w:line="440" w:lineRule="atLeast"/>
              <w:ind w:firstLine="0" w:firstLineChars="0"/>
              <w:textAlignment w:val="auto"/>
              <w:rPr>
                <w:rFonts w:hint="eastAsia" w:ascii="宋体" w:hAnsi="宋体" w:cs="宋体"/>
                <w:kern w:val="0"/>
                <w:szCs w:val="21"/>
                <w:highlight w:val="none"/>
              </w:rPr>
            </w:pPr>
            <w:r>
              <w:rPr>
                <w:rFonts w:hint="eastAsia" w:ascii="宋体" w:hAnsi="宋体" w:cs="宋体"/>
                <w:kern w:val="0"/>
                <w:szCs w:val="21"/>
                <w:highlight w:val="none"/>
              </w:rPr>
              <w:t>终止合同特别条款</w:t>
            </w:r>
          </w:p>
          <w:p w14:paraId="6C290138">
            <w:pPr>
              <w:keepNext w:val="0"/>
              <w:keepLines w:val="0"/>
              <w:pageBreakBefore w:val="0"/>
              <w:numPr>
                <w:ilvl w:val="0"/>
                <w:numId w:val="16"/>
              </w:numPr>
              <w:kinsoku/>
              <w:wordWrap/>
              <w:overflowPunct/>
              <w:topLinePunct w:val="0"/>
              <w:autoSpaceDE/>
              <w:autoSpaceDN/>
              <w:bidi w:val="0"/>
              <w:adjustRightInd w:val="0"/>
              <w:snapToGrid w:val="0"/>
              <w:spacing w:line="440" w:lineRule="atLeast"/>
              <w:ind w:left="0" w:leftChars="0" w:firstLine="48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在合同期内出现下列情形之一，招标人有权提前终止合同：</w:t>
            </w:r>
          </w:p>
          <w:p w14:paraId="40163435">
            <w:pPr>
              <w:keepNext w:val="0"/>
              <w:keepLines w:val="0"/>
              <w:pageBreakBefore w:val="0"/>
              <w:numPr>
                <w:ilvl w:val="2"/>
                <w:numId w:val="17"/>
              </w:numPr>
              <w:kinsoku/>
              <w:wordWrap/>
              <w:overflowPunct/>
              <w:topLinePunct w:val="0"/>
              <w:autoSpaceDE/>
              <w:autoSpaceDN/>
              <w:bidi w:val="0"/>
              <w:adjustRightInd w:val="0"/>
              <w:snapToGrid w:val="0"/>
              <w:spacing w:line="440" w:lineRule="atLeast"/>
              <w:ind w:left="0" w:leftChars="0" w:firstLine="402" w:firstLineChars="0"/>
              <w:textAlignment w:val="auto"/>
              <w:rPr>
                <w:rFonts w:hint="eastAsia" w:ascii="宋体" w:hAnsi="宋体" w:cs="宋体"/>
                <w:kern w:val="0"/>
                <w:szCs w:val="21"/>
                <w:highlight w:val="none"/>
              </w:rPr>
            </w:pPr>
            <w:r>
              <w:rPr>
                <w:rFonts w:hint="eastAsia" w:ascii="宋体" w:hAnsi="宋体" w:cs="宋体"/>
                <w:kern w:val="0"/>
                <w:szCs w:val="21"/>
                <w:highlight w:val="none"/>
              </w:rPr>
              <w:t>投标人违反本合同约定的经营范围造成严重后果或擅自将食堂的经营权进行转包、挂靠。</w:t>
            </w:r>
          </w:p>
          <w:p w14:paraId="5487BBAF">
            <w:pPr>
              <w:keepNext w:val="0"/>
              <w:keepLines w:val="0"/>
              <w:pageBreakBefore w:val="0"/>
              <w:numPr>
                <w:ilvl w:val="2"/>
                <w:numId w:val="17"/>
              </w:numPr>
              <w:kinsoku/>
              <w:wordWrap/>
              <w:overflowPunct/>
              <w:topLinePunct w:val="0"/>
              <w:autoSpaceDE/>
              <w:autoSpaceDN/>
              <w:bidi w:val="0"/>
              <w:adjustRightInd w:val="0"/>
              <w:snapToGrid w:val="0"/>
              <w:spacing w:line="440" w:lineRule="atLeast"/>
              <w:ind w:left="0" w:leftChars="0" w:firstLine="402" w:firstLineChars="0"/>
              <w:textAlignment w:val="auto"/>
              <w:rPr>
                <w:rFonts w:hint="eastAsia" w:ascii="宋体" w:hAnsi="宋体" w:cs="宋体"/>
                <w:kern w:val="0"/>
                <w:szCs w:val="21"/>
                <w:highlight w:val="none"/>
              </w:rPr>
            </w:pPr>
            <w:r>
              <w:rPr>
                <w:rFonts w:hint="eastAsia" w:ascii="宋体" w:hAnsi="宋体" w:cs="宋体"/>
                <w:kern w:val="0"/>
                <w:szCs w:val="21"/>
                <w:highlight w:val="none"/>
              </w:rPr>
              <w:t>发生食物中毒或安全生产责任事故，且造成严重后果的。</w:t>
            </w:r>
          </w:p>
          <w:p w14:paraId="161D32EB">
            <w:pPr>
              <w:keepNext w:val="0"/>
              <w:keepLines w:val="0"/>
              <w:pageBreakBefore w:val="0"/>
              <w:numPr>
                <w:ilvl w:val="2"/>
                <w:numId w:val="17"/>
              </w:numPr>
              <w:kinsoku/>
              <w:wordWrap/>
              <w:overflowPunct/>
              <w:topLinePunct w:val="0"/>
              <w:autoSpaceDE/>
              <w:autoSpaceDN/>
              <w:bidi w:val="0"/>
              <w:adjustRightInd w:val="0"/>
              <w:snapToGrid w:val="0"/>
              <w:spacing w:line="440" w:lineRule="atLeast"/>
              <w:ind w:left="0" w:leftChars="0" w:firstLine="402" w:firstLineChars="0"/>
              <w:textAlignment w:val="auto"/>
              <w:rPr>
                <w:rFonts w:hint="eastAsia" w:ascii="宋体" w:hAnsi="宋体" w:cs="宋体"/>
                <w:kern w:val="0"/>
                <w:szCs w:val="21"/>
                <w:highlight w:val="none"/>
              </w:rPr>
            </w:pPr>
            <w:r>
              <w:rPr>
                <w:rFonts w:hint="eastAsia" w:ascii="宋体" w:hAnsi="宋体" w:cs="宋体"/>
                <w:kern w:val="0"/>
                <w:szCs w:val="21"/>
                <w:highlight w:val="none"/>
              </w:rPr>
              <w:t>投标人擅自加建、扩建、拆建、拆改变动、装修房屋、造成损坏经营场所的房屋主体，或未能履行合同约定的日常维护义务，在招标人提出的合理期限内，仍未将房屋修复。</w:t>
            </w:r>
          </w:p>
          <w:p w14:paraId="29896877">
            <w:pPr>
              <w:keepNext w:val="0"/>
              <w:keepLines w:val="0"/>
              <w:pageBreakBefore w:val="0"/>
              <w:numPr>
                <w:ilvl w:val="2"/>
                <w:numId w:val="17"/>
              </w:numPr>
              <w:kinsoku/>
              <w:wordWrap/>
              <w:overflowPunct/>
              <w:topLinePunct w:val="0"/>
              <w:autoSpaceDE/>
              <w:autoSpaceDN/>
              <w:bidi w:val="0"/>
              <w:adjustRightInd w:val="0"/>
              <w:snapToGrid w:val="0"/>
              <w:spacing w:line="440" w:lineRule="atLeast"/>
              <w:ind w:left="0" w:leftChars="0" w:firstLine="402" w:firstLineChars="0"/>
              <w:textAlignment w:val="auto"/>
              <w:rPr>
                <w:rFonts w:hint="eastAsia" w:ascii="宋体" w:hAnsi="宋体" w:cs="宋体"/>
                <w:kern w:val="0"/>
                <w:szCs w:val="21"/>
                <w:highlight w:val="none"/>
              </w:rPr>
            </w:pPr>
            <w:r>
              <w:rPr>
                <w:rFonts w:hint="eastAsia" w:ascii="宋体" w:hAnsi="宋体" w:cs="宋体"/>
                <w:kern w:val="0"/>
                <w:szCs w:val="21"/>
                <w:highlight w:val="none"/>
              </w:rPr>
              <w:t>投标人利用该经营场所进行违法活动、存放危险（或违禁）物品，或进行其它损害公共利益的活动。</w:t>
            </w:r>
          </w:p>
          <w:p w14:paraId="01EE3573">
            <w:pPr>
              <w:keepNext w:val="0"/>
              <w:keepLines w:val="0"/>
              <w:pageBreakBefore w:val="0"/>
              <w:numPr>
                <w:ilvl w:val="2"/>
                <w:numId w:val="17"/>
              </w:numPr>
              <w:kinsoku/>
              <w:wordWrap/>
              <w:overflowPunct/>
              <w:topLinePunct w:val="0"/>
              <w:autoSpaceDE/>
              <w:autoSpaceDN/>
              <w:bidi w:val="0"/>
              <w:adjustRightInd w:val="0"/>
              <w:snapToGrid w:val="0"/>
              <w:spacing w:line="440" w:lineRule="atLeast"/>
              <w:ind w:left="0" w:leftChars="0" w:firstLine="402" w:firstLineChars="0"/>
              <w:textAlignment w:val="auto"/>
              <w:rPr>
                <w:rFonts w:hint="eastAsia" w:ascii="宋体" w:hAnsi="宋体" w:cs="宋体"/>
                <w:kern w:val="0"/>
                <w:szCs w:val="21"/>
                <w:highlight w:val="none"/>
              </w:rPr>
            </w:pPr>
            <w:r>
              <w:rPr>
                <w:rFonts w:hint="eastAsia" w:ascii="宋体" w:hAnsi="宋体" w:cs="宋体"/>
                <w:kern w:val="0"/>
                <w:szCs w:val="21"/>
                <w:highlight w:val="none"/>
              </w:rPr>
              <w:t>违反招标人的相关管理制度，给招标人正常的医疗、工作秩序造成较大影响和干扰。</w:t>
            </w:r>
          </w:p>
          <w:p w14:paraId="4820C6DD">
            <w:pPr>
              <w:keepNext w:val="0"/>
              <w:keepLines w:val="0"/>
              <w:pageBreakBefore w:val="0"/>
              <w:numPr>
                <w:ilvl w:val="2"/>
                <w:numId w:val="17"/>
              </w:numPr>
              <w:kinsoku/>
              <w:wordWrap/>
              <w:overflowPunct/>
              <w:topLinePunct w:val="0"/>
              <w:autoSpaceDE/>
              <w:autoSpaceDN/>
              <w:bidi w:val="0"/>
              <w:adjustRightInd w:val="0"/>
              <w:snapToGrid w:val="0"/>
              <w:spacing w:line="440" w:lineRule="atLeast"/>
              <w:ind w:left="0" w:leftChars="0" w:firstLine="402" w:firstLineChars="0"/>
              <w:textAlignment w:val="auto"/>
              <w:rPr>
                <w:rFonts w:hint="eastAsia" w:ascii="宋体" w:hAnsi="宋体" w:cs="宋体"/>
                <w:kern w:val="0"/>
                <w:szCs w:val="21"/>
                <w:highlight w:val="none"/>
              </w:rPr>
            </w:pPr>
            <w:r>
              <w:rPr>
                <w:rFonts w:hint="eastAsia" w:ascii="宋体" w:hAnsi="宋体" w:cs="宋体"/>
                <w:kern w:val="0"/>
                <w:szCs w:val="21"/>
                <w:highlight w:val="none"/>
              </w:rPr>
              <w:t>逾期</w:t>
            </w:r>
          </w:p>
          <w:p w14:paraId="31ABF3E6">
            <w:pPr>
              <w:keepNext w:val="0"/>
              <w:keepLines w:val="0"/>
              <w:pageBreakBefore w:val="0"/>
              <w:numPr>
                <w:ilvl w:val="2"/>
                <w:numId w:val="17"/>
              </w:numPr>
              <w:kinsoku/>
              <w:wordWrap/>
              <w:overflowPunct/>
              <w:topLinePunct w:val="0"/>
              <w:autoSpaceDE/>
              <w:autoSpaceDN/>
              <w:bidi w:val="0"/>
              <w:adjustRightInd w:val="0"/>
              <w:snapToGrid w:val="0"/>
              <w:spacing w:line="440" w:lineRule="atLeast"/>
              <w:ind w:left="0" w:leftChars="0" w:firstLine="402" w:firstLineChars="0"/>
              <w:textAlignment w:val="auto"/>
              <w:rPr>
                <w:rFonts w:hint="eastAsia" w:ascii="宋体" w:hAnsi="宋体" w:cs="宋体"/>
                <w:kern w:val="0"/>
                <w:szCs w:val="21"/>
                <w:highlight w:val="none"/>
              </w:rPr>
            </w:pPr>
          </w:p>
          <w:p w14:paraId="5AF5BFCF">
            <w:pPr>
              <w:keepNext w:val="0"/>
              <w:keepLines w:val="0"/>
              <w:pageBreakBefore w:val="0"/>
              <w:numPr>
                <w:ilvl w:val="2"/>
                <w:numId w:val="17"/>
              </w:numPr>
              <w:kinsoku/>
              <w:wordWrap/>
              <w:overflowPunct/>
              <w:topLinePunct w:val="0"/>
              <w:autoSpaceDE/>
              <w:autoSpaceDN/>
              <w:bidi w:val="0"/>
              <w:adjustRightInd w:val="0"/>
              <w:snapToGrid w:val="0"/>
              <w:spacing w:line="440" w:lineRule="atLeast"/>
              <w:ind w:left="0" w:leftChars="0" w:firstLine="402" w:firstLineChars="0"/>
              <w:textAlignment w:val="auto"/>
              <w:rPr>
                <w:rFonts w:hint="eastAsia" w:ascii="宋体" w:hAnsi="宋体" w:cs="宋体"/>
                <w:kern w:val="0"/>
                <w:szCs w:val="21"/>
                <w:highlight w:val="none"/>
              </w:rPr>
            </w:pPr>
          </w:p>
          <w:p w14:paraId="7E2B8D24">
            <w:pPr>
              <w:keepNext w:val="0"/>
              <w:keepLines w:val="0"/>
              <w:pageBreakBefore w:val="0"/>
              <w:numPr>
                <w:ilvl w:val="2"/>
                <w:numId w:val="17"/>
              </w:numPr>
              <w:kinsoku/>
              <w:wordWrap/>
              <w:overflowPunct/>
              <w:topLinePunct w:val="0"/>
              <w:autoSpaceDE/>
              <w:autoSpaceDN/>
              <w:bidi w:val="0"/>
              <w:adjustRightInd w:val="0"/>
              <w:snapToGrid w:val="0"/>
              <w:spacing w:line="440" w:lineRule="atLeast"/>
              <w:ind w:left="0" w:leftChars="0" w:firstLine="402" w:firstLineChars="0"/>
              <w:textAlignment w:val="auto"/>
              <w:rPr>
                <w:rFonts w:hint="eastAsia" w:ascii="宋体" w:hAnsi="宋体" w:cs="宋体"/>
                <w:kern w:val="0"/>
                <w:szCs w:val="21"/>
                <w:highlight w:val="none"/>
              </w:rPr>
            </w:pPr>
          </w:p>
          <w:p w14:paraId="6B98D481">
            <w:pPr>
              <w:keepNext w:val="0"/>
              <w:keepLines w:val="0"/>
              <w:pageBreakBefore w:val="0"/>
              <w:numPr>
                <w:ilvl w:val="2"/>
                <w:numId w:val="17"/>
              </w:numPr>
              <w:kinsoku/>
              <w:wordWrap/>
              <w:overflowPunct/>
              <w:topLinePunct w:val="0"/>
              <w:autoSpaceDE/>
              <w:autoSpaceDN/>
              <w:bidi w:val="0"/>
              <w:adjustRightInd w:val="0"/>
              <w:snapToGrid w:val="0"/>
              <w:spacing w:line="440" w:lineRule="atLeast"/>
              <w:ind w:left="0" w:leftChars="0" w:firstLine="402" w:firstLineChars="0"/>
              <w:textAlignment w:val="auto"/>
              <w:rPr>
                <w:rFonts w:hint="eastAsia" w:ascii="宋体" w:hAnsi="宋体" w:cs="宋体"/>
                <w:kern w:val="0"/>
                <w:szCs w:val="21"/>
                <w:highlight w:val="none"/>
              </w:rPr>
            </w:pPr>
          </w:p>
          <w:p w14:paraId="27C5188C">
            <w:pPr>
              <w:keepNext w:val="0"/>
              <w:keepLines w:val="0"/>
              <w:pageBreakBefore w:val="0"/>
              <w:numPr>
                <w:ilvl w:val="2"/>
                <w:numId w:val="17"/>
              </w:numPr>
              <w:kinsoku/>
              <w:wordWrap/>
              <w:overflowPunct/>
              <w:topLinePunct w:val="0"/>
              <w:autoSpaceDE/>
              <w:autoSpaceDN/>
              <w:bidi w:val="0"/>
              <w:adjustRightInd w:val="0"/>
              <w:snapToGrid w:val="0"/>
              <w:spacing w:line="440" w:lineRule="atLeast"/>
              <w:ind w:left="0" w:leftChars="0" w:firstLine="402" w:firstLineChars="0"/>
              <w:textAlignment w:val="auto"/>
              <w:rPr>
                <w:rFonts w:hint="eastAsia" w:ascii="宋体" w:hAnsi="宋体" w:cs="宋体"/>
                <w:kern w:val="0"/>
                <w:szCs w:val="21"/>
                <w:highlight w:val="none"/>
              </w:rPr>
            </w:pPr>
            <w:r>
              <w:rPr>
                <w:rFonts w:hint="eastAsia" w:ascii="宋体" w:hAnsi="宋体" w:cs="宋体"/>
                <w:kern w:val="0"/>
                <w:szCs w:val="21"/>
                <w:highlight w:val="none"/>
                <w:lang w:val="en-US" w:eastAsia="zh-CN"/>
              </w:rPr>
              <w:t>..</w:t>
            </w:r>
            <w:r>
              <w:rPr>
                <w:rFonts w:hint="eastAsia" w:ascii="宋体" w:hAnsi="宋体" w:cs="宋体"/>
                <w:kern w:val="0"/>
                <w:szCs w:val="21"/>
                <w:highlight w:val="none"/>
              </w:rPr>
              <w:t>未交纳应交纳的费用，已经给招标人造成严重损失的。</w:t>
            </w:r>
          </w:p>
          <w:p w14:paraId="106C28EA">
            <w:pPr>
              <w:keepNext w:val="0"/>
              <w:keepLines w:val="0"/>
              <w:pageBreakBefore w:val="0"/>
              <w:numPr>
                <w:ilvl w:val="2"/>
                <w:numId w:val="17"/>
              </w:numPr>
              <w:kinsoku/>
              <w:wordWrap/>
              <w:overflowPunct/>
              <w:topLinePunct w:val="0"/>
              <w:autoSpaceDE/>
              <w:autoSpaceDN/>
              <w:bidi w:val="0"/>
              <w:adjustRightInd w:val="0"/>
              <w:snapToGrid w:val="0"/>
              <w:spacing w:line="440" w:lineRule="atLeast"/>
              <w:ind w:left="0" w:leftChars="0" w:firstLine="402" w:firstLineChars="0"/>
              <w:textAlignment w:val="auto"/>
              <w:rPr>
                <w:rFonts w:hint="eastAsia" w:ascii="宋体" w:hAnsi="宋体" w:cs="宋体"/>
                <w:kern w:val="0"/>
                <w:szCs w:val="21"/>
                <w:highlight w:val="none"/>
              </w:rPr>
            </w:pPr>
            <w:r>
              <w:rPr>
                <w:rFonts w:hint="eastAsia" w:ascii="宋体" w:hAnsi="宋体" w:cs="宋体"/>
                <w:kern w:val="0"/>
                <w:szCs w:val="21"/>
                <w:highlight w:val="none"/>
              </w:rPr>
              <w:t>投标人擅自以招标人的名义开展经营活动或者在对外的宣传、经营活动以及票据的使用中使用招标人的标志、名称或字样，或者作出任何有可能使第三方认为投标人是招标人的代表、雇员或者代理人的行为的。</w:t>
            </w:r>
          </w:p>
          <w:p w14:paraId="15A57E70">
            <w:pPr>
              <w:keepNext w:val="0"/>
              <w:keepLines w:val="0"/>
              <w:pageBreakBefore w:val="0"/>
              <w:numPr>
                <w:ilvl w:val="2"/>
                <w:numId w:val="17"/>
              </w:numPr>
              <w:kinsoku/>
              <w:wordWrap/>
              <w:overflowPunct/>
              <w:topLinePunct w:val="0"/>
              <w:autoSpaceDE/>
              <w:autoSpaceDN/>
              <w:bidi w:val="0"/>
              <w:adjustRightInd w:val="0"/>
              <w:snapToGrid w:val="0"/>
              <w:spacing w:line="440" w:lineRule="atLeast"/>
              <w:ind w:left="0" w:leftChars="0" w:firstLine="402" w:firstLineChars="0"/>
              <w:textAlignment w:val="auto"/>
              <w:rPr>
                <w:rFonts w:hint="eastAsia" w:ascii="宋体" w:hAnsi="宋体" w:cs="宋体"/>
                <w:kern w:val="0"/>
                <w:szCs w:val="21"/>
                <w:highlight w:val="none"/>
              </w:rPr>
            </w:pPr>
            <w:r>
              <w:rPr>
                <w:rFonts w:hint="eastAsia" w:ascii="宋体" w:hAnsi="宋体" w:cs="宋体"/>
                <w:kern w:val="0"/>
                <w:szCs w:val="21"/>
                <w:highlight w:val="none"/>
              </w:rPr>
              <w:t>合同期内，招标人对投标人进行</w:t>
            </w:r>
            <w:r>
              <w:rPr>
                <w:rFonts w:hint="eastAsia" w:ascii="宋体" w:hAnsi="宋体" w:cs="宋体"/>
                <w:kern w:val="0"/>
                <w:szCs w:val="21"/>
                <w:highlight w:val="none"/>
                <w:lang w:val="en-US" w:eastAsia="zh-CN"/>
              </w:rPr>
              <w:t>满意度调查</w:t>
            </w:r>
            <w:r>
              <w:rPr>
                <w:rFonts w:hint="eastAsia" w:ascii="宋体" w:hAnsi="宋体" w:cs="宋体"/>
                <w:kern w:val="0"/>
                <w:szCs w:val="21"/>
                <w:highlight w:val="none"/>
              </w:rPr>
              <w:t>，连续三</w:t>
            </w:r>
            <w:r>
              <w:rPr>
                <w:rFonts w:hint="eastAsia" w:ascii="宋体" w:hAnsi="宋体" w:cs="宋体"/>
                <w:kern w:val="0"/>
                <w:szCs w:val="21"/>
                <w:highlight w:val="none"/>
                <w:lang w:val="en-US" w:eastAsia="zh-CN"/>
              </w:rPr>
              <w:t>次满意度调查平均分低于80分的</w:t>
            </w:r>
            <w:r>
              <w:rPr>
                <w:rFonts w:hint="eastAsia" w:ascii="宋体" w:hAnsi="宋体" w:cs="宋体"/>
                <w:kern w:val="0"/>
                <w:szCs w:val="21"/>
                <w:highlight w:val="none"/>
              </w:rPr>
              <w:t>，</w:t>
            </w:r>
            <w:r>
              <w:rPr>
                <w:rFonts w:hint="eastAsia" w:ascii="宋体" w:hAnsi="宋体" w:cs="宋体"/>
                <w:kern w:val="0"/>
                <w:szCs w:val="21"/>
                <w:highlight w:val="none"/>
                <w:lang w:val="en-US" w:eastAsia="zh-CN"/>
              </w:rPr>
              <w:t>采购</w:t>
            </w:r>
            <w:r>
              <w:rPr>
                <w:rFonts w:hint="eastAsia" w:ascii="宋体" w:hAnsi="宋体" w:cs="宋体"/>
                <w:kern w:val="0"/>
                <w:szCs w:val="21"/>
                <w:highlight w:val="none"/>
              </w:rPr>
              <w:t>人有权提前与投标人解除合同。</w:t>
            </w:r>
          </w:p>
          <w:p w14:paraId="326C731E">
            <w:pPr>
              <w:keepNext w:val="0"/>
              <w:keepLines w:val="0"/>
              <w:pageBreakBefore w:val="0"/>
              <w:numPr>
                <w:ilvl w:val="0"/>
                <w:numId w:val="16"/>
              </w:numPr>
              <w:kinsoku/>
              <w:wordWrap/>
              <w:overflowPunct/>
              <w:topLinePunct w:val="0"/>
              <w:autoSpaceDE/>
              <w:autoSpaceDN/>
              <w:bidi w:val="0"/>
              <w:adjustRightInd w:val="0"/>
              <w:snapToGrid w:val="0"/>
              <w:spacing w:line="440" w:lineRule="atLeast"/>
              <w:ind w:left="0" w:leftChars="0" w:firstLine="48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因投标人原因，需解除合同时，投标人必须提前五个月向招标人提出书面请求，未获得招标人同意投标人应按合同要求继续提供饮食服务，不得擅自离场，否则所有的责任的损失均由投标人承担。招标人应在接到投标人书面请求后的15天内给予明确答复，超过15天未答复的投标人视招标人同意终止合同。投标人投入的设施设备作为违约补偿归招标人所有，且投标人仍需承担违约责任。</w:t>
            </w:r>
          </w:p>
          <w:p w14:paraId="5FFDAD1B">
            <w:pPr>
              <w:keepNext w:val="0"/>
              <w:keepLines w:val="0"/>
              <w:pageBreakBefore w:val="0"/>
              <w:numPr>
                <w:ilvl w:val="0"/>
                <w:numId w:val="16"/>
              </w:numPr>
              <w:kinsoku/>
              <w:wordWrap/>
              <w:overflowPunct/>
              <w:topLinePunct w:val="0"/>
              <w:autoSpaceDE/>
              <w:autoSpaceDN/>
              <w:bidi w:val="0"/>
              <w:adjustRightInd w:val="0"/>
              <w:snapToGrid w:val="0"/>
              <w:spacing w:line="440" w:lineRule="atLeast"/>
              <w:ind w:left="0" w:leftChars="0" w:firstLine="48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招标人如在合同期内无故中止合同，应无条件无息全额退还投标人的履约保证金，并对投标人所造成的损失经济给予相应的赔偿。</w:t>
            </w:r>
          </w:p>
          <w:p w14:paraId="38FD6A8B">
            <w:pPr>
              <w:keepNext w:val="0"/>
              <w:keepLines w:val="0"/>
              <w:pageBreakBefore w:val="0"/>
              <w:numPr>
                <w:ilvl w:val="0"/>
                <w:numId w:val="16"/>
              </w:numPr>
              <w:kinsoku/>
              <w:wordWrap/>
              <w:overflowPunct/>
              <w:topLinePunct w:val="0"/>
              <w:autoSpaceDE/>
              <w:autoSpaceDN/>
              <w:bidi w:val="0"/>
              <w:adjustRightInd w:val="0"/>
              <w:snapToGrid w:val="0"/>
              <w:spacing w:line="440" w:lineRule="atLeast"/>
              <w:ind w:left="0" w:leftChars="0" w:firstLine="480" w:firstLineChars="200"/>
              <w:textAlignment w:val="auto"/>
              <w:rPr>
                <w:rFonts w:hint="eastAsia" w:ascii="宋体" w:hAnsi="宋体" w:cs="宋体"/>
                <w:kern w:val="0"/>
                <w:szCs w:val="21"/>
                <w:highlight w:val="none"/>
                <w:lang w:val="en-US" w:eastAsia="zh-CN"/>
              </w:rPr>
            </w:pPr>
            <w:r>
              <w:rPr>
                <w:rFonts w:hint="eastAsia" w:ascii="宋体" w:hAnsi="宋体" w:cs="宋体"/>
                <w:kern w:val="0"/>
                <w:szCs w:val="21"/>
                <w:highlight w:val="none"/>
              </w:rPr>
              <w:t>投标人在合同期内无故终止合同，招标人将不予退还履约保证金，招标人保留进一步追索赔偿经济损失的权利。投标人投入的设施设备作为违约补偿归招标人所有，且投标人仍需承担违约责任。</w:t>
            </w:r>
          </w:p>
        </w:tc>
      </w:tr>
    </w:tbl>
    <w:p w14:paraId="63056195">
      <w:pPr>
        <w:pStyle w:val="2"/>
        <w:rPr>
          <w:rFonts w:hint="eastAsia" w:ascii="宋体" w:hAnsi="宋体" w:cs="宋体"/>
          <w:kern w:val="0"/>
          <w:szCs w:val="21"/>
          <w:highlight w:val="none"/>
        </w:rPr>
      </w:pPr>
    </w:p>
    <w:p w14:paraId="77E577AE">
      <w:pPr>
        <w:pStyle w:val="23"/>
        <w:ind w:left="0" w:leftChars="0" w:firstLine="0" w:firstLineChars="0"/>
        <w:rPr>
          <w:rFonts w:hint="eastAsia"/>
          <w:highlight w:val="none"/>
        </w:rPr>
      </w:pPr>
    </w:p>
    <w:p w14:paraId="191514E6">
      <w:pPr>
        <w:keepNext w:val="0"/>
        <w:keepLines w:val="0"/>
        <w:pageBreakBefore w:val="0"/>
        <w:widowControl w:val="0"/>
        <w:kinsoku/>
        <w:wordWrap/>
        <w:overflowPunct/>
        <w:topLinePunct w:val="0"/>
        <w:autoSpaceDE/>
        <w:autoSpaceDN/>
        <w:bidi w:val="0"/>
        <w:adjustRightInd/>
        <w:snapToGrid w:val="0"/>
        <w:spacing w:beforeLines="50" w:afterLines="50" w:line="240" w:lineRule="auto"/>
        <w:jc w:val="left"/>
        <w:textAlignment w:val="auto"/>
        <w:outlineLvl w:val="0"/>
        <w:rPr>
          <w:rFonts w:hint="eastAsia" w:ascii="宋体" w:hAnsi="宋体"/>
          <w:b/>
          <w:bCs/>
          <w:sz w:val="22"/>
          <w:szCs w:val="22"/>
          <w:highlight w:val="none"/>
          <w:lang w:val="en-US" w:eastAsia="zh-CN"/>
        </w:rPr>
      </w:pPr>
      <w:r>
        <w:rPr>
          <w:rFonts w:hint="eastAsia" w:ascii="宋体" w:hAnsi="宋体"/>
          <w:b/>
          <w:bCs/>
          <w:sz w:val="22"/>
          <w:szCs w:val="22"/>
          <w:highlight w:val="none"/>
          <w:lang w:val="en-US" w:eastAsia="zh-CN"/>
        </w:rPr>
        <w:t>附件1：</w:t>
      </w:r>
    </w:p>
    <w:tbl>
      <w:tblPr>
        <w:tblStyle w:val="13"/>
        <w:tblW w:w="94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833"/>
        <w:gridCol w:w="1616"/>
        <w:gridCol w:w="6989"/>
      </w:tblGrid>
      <w:tr w14:paraId="34400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833" w:type="dxa"/>
            <w:vMerge w:val="restart"/>
            <w:tcBorders>
              <w:tl2br w:val="nil"/>
              <w:tr2bl w:val="nil"/>
            </w:tcBorders>
            <w:shd w:val="clear" w:color="auto" w:fill="auto"/>
            <w:vAlign w:val="center"/>
          </w:tcPr>
          <w:p w14:paraId="1DDDD31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序号</w:t>
            </w:r>
          </w:p>
        </w:tc>
        <w:tc>
          <w:tcPr>
            <w:tcW w:w="1616" w:type="dxa"/>
            <w:vMerge w:val="restart"/>
            <w:tcBorders>
              <w:tl2br w:val="nil"/>
              <w:tr2bl w:val="nil"/>
            </w:tcBorders>
            <w:shd w:val="clear" w:color="auto" w:fill="auto"/>
            <w:vAlign w:val="center"/>
          </w:tcPr>
          <w:p w14:paraId="665551A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社康机构</w:t>
            </w:r>
          </w:p>
        </w:tc>
        <w:tc>
          <w:tcPr>
            <w:tcW w:w="6989" w:type="dxa"/>
            <w:vMerge w:val="restart"/>
            <w:tcBorders>
              <w:tl2br w:val="nil"/>
              <w:tr2bl w:val="nil"/>
            </w:tcBorders>
            <w:shd w:val="clear" w:color="auto" w:fill="auto"/>
            <w:vAlign w:val="center"/>
          </w:tcPr>
          <w:p w14:paraId="074BBD0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地    址</w:t>
            </w:r>
          </w:p>
        </w:tc>
      </w:tr>
      <w:tr w14:paraId="5AB17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833" w:type="dxa"/>
            <w:vMerge w:val="continue"/>
            <w:tcBorders>
              <w:tl2br w:val="nil"/>
              <w:tr2bl w:val="nil"/>
            </w:tcBorders>
            <w:shd w:val="clear" w:color="auto" w:fill="auto"/>
            <w:vAlign w:val="center"/>
          </w:tcPr>
          <w:p w14:paraId="63B58D5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heme="minorEastAsia" w:hAnsiTheme="minorEastAsia" w:eastAsiaTheme="minorEastAsia" w:cstheme="minorEastAsia"/>
                <w:b w:val="0"/>
                <w:bCs w:val="0"/>
                <w:i w:val="0"/>
                <w:iCs w:val="0"/>
                <w:color w:val="000000"/>
                <w:sz w:val="24"/>
                <w:szCs w:val="24"/>
                <w:highlight w:val="none"/>
                <w:u w:val="none"/>
              </w:rPr>
            </w:pPr>
          </w:p>
        </w:tc>
        <w:tc>
          <w:tcPr>
            <w:tcW w:w="1616" w:type="dxa"/>
            <w:vMerge w:val="continue"/>
            <w:tcBorders>
              <w:tl2br w:val="nil"/>
              <w:tr2bl w:val="nil"/>
            </w:tcBorders>
            <w:shd w:val="clear" w:color="auto" w:fill="auto"/>
            <w:vAlign w:val="center"/>
          </w:tcPr>
          <w:p w14:paraId="53B44C0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heme="minorEastAsia" w:hAnsiTheme="minorEastAsia" w:eastAsiaTheme="minorEastAsia" w:cstheme="minorEastAsia"/>
                <w:b w:val="0"/>
                <w:bCs w:val="0"/>
                <w:i w:val="0"/>
                <w:iCs w:val="0"/>
                <w:color w:val="000000"/>
                <w:sz w:val="24"/>
                <w:szCs w:val="24"/>
                <w:highlight w:val="none"/>
                <w:u w:val="none"/>
              </w:rPr>
            </w:pPr>
          </w:p>
        </w:tc>
        <w:tc>
          <w:tcPr>
            <w:tcW w:w="6989" w:type="dxa"/>
            <w:vMerge w:val="continue"/>
            <w:tcBorders>
              <w:tl2br w:val="nil"/>
              <w:tr2bl w:val="nil"/>
            </w:tcBorders>
            <w:shd w:val="clear" w:color="auto" w:fill="auto"/>
            <w:vAlign w:val="center"/>
          </w:tcPr>
          <w:p w14:paraId="7D3A25C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heme="minorEastAsia" w:hAnsiTheme="minorEastAsia" w:eastAsiaTheme="minorEastAsia" w:cstheme="minorEastAsia"/>
                <w:b w:val="0"/>
                <w:bCs w:val="0"/>
                <w:i w:val="0"/>
                <w:iCs w:val="0"/>
                <w:color w:val="000000"/>
                <w:sz w:val="24"/>
                <w:szCs w:val="24"/>
                <w:highlight w:val="none"/>
                <w:u w:val="none"/>
              </w:rPr>
            </w:pPr>
          </w:p>
        </w:tc>
      </w:tr>
      <w:tr w14:paraId="7802B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33" w:type="dxa"/>
            <w:tcBorders>
              <w:tl2br w:val="nil"/>
              <w:tr2bl w:val="nil"/>
            </w:tcBorders>
            <w:shd w:val="clear" w:color="auto" w:fill="auto"/>
            <w:vAlign w:val="center"/>
          </w:tcPr>
          <w:p w14:paraId="28C1B6E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1</w:t>
            </w:r>
          </w:p>
        </w:tc>
        <w:tc>
          <w:tcPr>
            <w:tcW w:w="1616" w:type="dxa"/>
            <w:tcBorders>
              <w:tl2br w:val="nil"/>
              <w:tr2bl w:val="nil"/>
            </w:tcBorders>
            <w:shd w:val="clear" w:color="auto" w:fill="auto"/>
            <w:vAlign w:val="center"/>
          </w:tcPr>
          <w:p w14:paraId="543AB16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福南</w:t>
            </w:r>
          </w:p>
        </w:tc>
        <w:tc>
          <w:tcPr>
            <w:tcW w:w="6989" w:type="dxa"/>
            <w:tcBorders>
              <w:tl2br w:val="nil"/>
              <w:tr2bl w:val="nil"/>
            </w:tcBorders>
            <w:shd w:val="clear" w:color="auto" w:fill="auto"/>
            <w:vAlign w:val="center"/>
          </w:tcPr>
          <w:p w14:paraId="7D56AC1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深圳市福田区福华路222号1-2层</w:t>
            </w:r>
          </w:p>
        </w:tc>
      </w:tr>
      <w:tr w14:paraId="3A723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33" w:type="dxa"/>
            <w:tcBorders>
              <w:tl2br w:val="nil"/>
              <w:tr2bl w:val="nil"/>
            </w:tcBorders>
            <w:shd w:val="clear" w:color="auto" w:fill="auto"/>
            <w:vAlign w:val="center"/>
          </w:tcPr>
          <w:p w14:paraId="15BBD5D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2</w:t>
            </w:r>
          </w:p>
        </w:tc>
        <w:tc>
          <w:tcPr>
            <w:tcW w:w="1616" w:type="dxa"/>
            <w:tcBorders>
              <w:tl2br w:val="nil"/>
              <w:tr2bl w:val="nil"/>
            </w:tcBorders>
            <w:shd w:val="clear" w:color="auto" w:fill="auto"/>
            <w:vAlign w:val="center"/>
          </w:tcPr>
          <w:p w14:paraId="4C0B0E0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福田</w:t>
            </w:r>
          </w:p>
        </w:tc>
        <w:tc>
          <w:tcPr>
            <w:tcW w:w="6989" w:type="dxa"/>
            <w:tcBorders>
              <w:tl2br w:val="nil"/>
              <w:tr2bl w:val="nil"/>
            </w:tcBorders>
            <w:shd w:val="clear" w:color="auto" w:fill="auto"/>
            <w:vAlign w:val="center"/>
          </w:tcPr>
          <w:p w14:paraId="55AA2CC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深圳市福田区福祥街89号福田环庆文化广场101</w:t>
            </w:r>
          </w:p>
        </w:tc>
      </w:tr>
      <w:tr w14:paraId="0FD90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33" w:type="dxa"/>
            <w:tcBorders>
              <w:tl2br w:val="nil"/>
              <w:tr2bl w:val="nil"/>
            </w:tcBorders>
            <w:shd w:val="clear" w:color="auto" w:fill="auto"/>
            <w:vAlign w:val="center"/>
          </w:tcPr>
          <w:p w14:paraId="212CED2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3</w:t>
            </w:r>
          </w:p>
        </w:tc>
        <w:tc>
          <w:tcPr>
            <w:tcW w:w="1616" w:type="dxa"/>
            <w:tcBorders>
              <w:tl2br w:val="nil"/>
              <w:tr2bl w:val="nil"/>
            </w:tcBorders>
            <w:shd w:val="clear" w:color="auto" w:fill="auto"/>
            <w:vAlign w:val="center"/>
          </w:tcPr>
          <w:p w14:paraId="7BF0916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东园</w:t>
            </w:r>
          </w:p>
        </w:tc>
        <w:tc>
          <w:tcPr>
            <w:tcW w:w="6989" w:type="dxa"/>
            <w:tcBorders>
              <w:tl2br w:val="nil"/>
              <w:tr2bl w:val="nil"/>
            </w:tcBorders>
            <w:shd w:val="clear" w:color="auto" w:fill="auto"/>
            <w:vAlign w:val="center"/>
          </w:tcPr>
          <w:p w14:paraId="6B7B568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红岭南路御河堤花园104-107、113-116、117A商铺（396.31㎡）及一层附加商铺（112房）（196.18㎡）</w:t>
            </w:r>
          </w:p>
        </w:tc>
      </w:tr>
      <w:tr w14:paraId="16C68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33" w:type="dxa"/>
            <w:tcBorders>
              <w:tl2br w:val="nil"/>
              <w:tr2bl w:val="nil"/>
            </w:tcBorders>
            <w:shd w:val="clear" w:color="auto" w:fill="auto"/>
            <w:vAlign w:val="center"/>
          </w:tcPr>
          <w:p w14:paraId="4643BD3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4</w:t>
            </w:r>
          </w:p>
        </w:tc>
        <w:tc>
          <w:tcPr>
            <w:tcW w:w="1616" w:type="dxa"/>
            <w:tcBorders>
              <w:tl2br w:val="nil"/>
              <w:tr2bl w:val="nil"/>
            </w:tcBorders>
            <w:shd w:val="clear" w:color="auto" w:fill="auto"/>
            <w:vAlign w:val="center"/>
          </w:tcPr>
          <w:p w14:paraId="47C562D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锦龙</w:t>
            </w:r>
          </w:p>
        </w:tc>
        <w:tc>
          <w:tcPr>
            <w:tcW w:w="6989" w:type="dxa"/>
            <w:tcBorders>
              <w:tl2br w:val="nil"/>
              <w:tr2bl w:val="nil"/>
            </w:tcBorders>
            <w:shd w:val="clear" w:color="auto" w:fill="auto"/>
            <w:vAlign w:val="center"/>
          </w:tcPr>
          <w:p w14:paraId="517BF39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福田区爱华南路锦绣新居一楼(爱华路14号01铺位和8号01铺位)、12号01房铺位</w:t>
            </w:r>
          </w:p>
        </w:tc>
      </w:tr>
      <w:tr w14:paraId="726B9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33" w:type="dxa"/>
            <w:tcBorders>
              <w:tl2br w:val="nil"/>
              <w:tr2bl w:val="nil"/>
            </w:tcBorders>
            <w:shd w:val="clear" w:color="auto" w:fill="auto"/>
            <w:vAlign w:val="center"/>
          </w:tcPr>
          <w:p w14:paraId="4DAA1EF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5</w:t>
            </w:r>
          </w:p>
        </w:tc>
        <w:tc>
          <w:tcPr>
            <w:tcW w:w="1616" w:type="dxa"/>
            <w:tcBorders>
              <w:tl2br w:val="nil"/>
              <w:tr2bl w:val="nil"/>
            </w:tcBorders>
            <w:shd w:val="clear" w:color="auto" w:fill="auto"/>
            <w:vAlign w:val="center"/>
          </w:tcPr>
          <w:p w14:paraId="5F3ACA8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福强</w:t>
            </w:r>
          </w:p>
        </w:tc>
        <w:tc>
          <w:tcPr>
            <w:tcW w:w="6989" w:type="dxa"/>
            <w:tcBorders>
              <w:tl2br w:val="nil"/>
              <w:tr2bl w:val="nil"/>
            </w:tcBorders>
            <w:shd w:val="clear" w:color="auto" w:fill="auto"/>
            <w:vAlign w:val="center"/>
          </w:tcPr>
          <w:p w14:paraId="15AE255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振兴路桑达小区405栋一层102室、405栋一层西单元之一</w:t>
            </w:r>
          </w:p>
        </w:tc>
      </w:tr>
      <w:tr w14:paraId="68466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33" w:type="dxa"/>
            <w:tcBorders>
              <w:tl2br w:val="nil"/>
              <w:tr2bl w:val="nil"/>
            </w:tcBorders>
            <w:shd w:val="clear" w:color="auto" w:fill="auto"/>
            <w:vAlign w:val="center"/>
          </w:tcPr>
          <w:p w14:paraId="1283E8B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6</w:t>
            </w:r>
          </w:p>
        </w:tc>
        <w:tc>
          <w:tcPr>
            <w:tcW w:w="1616" w:type="dxa"/>
            <w:tcBorders>
              <w:tl2br w:val="nil"/>
              <w:tr2bl w:val="nil"/>
            </w:tcBorders>
            <w:shd w:val="clear" w:color="auto" w:fill="auto"/>
            <w:vAlign w:val="center"/>
          </w:tcPr>
          <w:p w14:paraId="51DB158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皇岗</w:t>
            </w:r>
          </w:p>
        </w:tc>
        <w:tc>
          <w:tcPr>
            <w:tcW w:w="6989" w:type="dxa"/>
            <w:tcBorders>
              <w:tl2br w:val="nil"/>
              <w:tr2bl w:val="nil"/>
            </w:tcBorders>
            <w:shd w:val="clear" w:color="auto" w:fill="auto"/>
            <w:vAlign w:val="center"/>
          </w:tcPr>
          <w:p w14:paraId="380BA06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深圳市福田区皇岗上围三村88-3号,88-4号铺一楼（新址）</w:t>
            </w:r>
          </w:p>
        </w:tc>
      </w:tr>
      <w:tr w14:paraId="0574B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33" w:type="dxa"/>
            <w:tcBorders>
              <w:tl2br w:val="nil"/>
              <w:tr2bl w:val="nil"/>
            </w:tcBorders>
            <w:shd w:val="clear" w:color="auto" w:fill="auto"/>
            <w:vAlign w:val="center"/>
          </w:tcPr>
          <w:p w14:paraId="1CB72E2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7</w:t>
            </w:r>
          </w:p>
        </w:tc>
        <w:tc>
          <w:tcPr>
            <w:tcW w:w="1616" w:type="dxa"/>
            <w:tcBorders>
              <w:tl2br w:val="nil"/>
              <w:tr2bl w:val="nil"/>
            </w:tcBorders>
            <w:shd w:val="clear" w:color="auto" w:fill="auto"/>
            <w:vAlign w:val="center"/>
          </w:tcPr>
          <w:p w14:paraId="17B0CD9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水围</w:t>
            </w:r>
          </w:p>
        </w:tc>
        <w:tc>
          <w:tcPr>
            <w:tcW w:w="6989" w:type="dxa"/>
            <w:tcBorders>
              <w:tl2br w:val="nil"/>
              <w:tr2bl w:val="nil"/>
            </w:tcBorders>
            <w:shd w:val="clear" w:color="auto" w:fill="auto"/>
            <w:vAlign w:val="center"/>
          </w:tcPr>
          <w:p w14:paraId="4A54B55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水围村122号地下一层及1-2层</w:t>
            </w:r>
          </w:p>
        </w:tc>
      </w:tr>
      <w:tr w14:paraId="2A450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33" w:type="dxa"/>
            <w:tcBorders>
              <w:tl2br w:val="nil"/>
              <w:tr2bl w:val="nil"/>
            </w:tcBorders>
            <w:shd w:val="clear" w:color="auto" w:fill="auto"/>
            <w:vAlign w:val="center"/>
          </w:tcPr>
          <w:p w14:paraId="7931EAB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8</w:t>
            </w:r>
          </w:p>
        </w:tc>
        <w:tc>
          <w:tcPr>
            <w:tcW w:w="1616" w:type="dxa"/>
            <w:tcBorders>
              <w:tl2br w:val="nil"/>
              <w:tr2bl w:val="nil"/>
            </w:tcBorders>
            <w:shd w:val="clear" w:color="auto" w:fill="auto"/>
            <w:vAlign w:val="center"/>
          </w:tcPr>
          <w:p w14:paraId="7F617A0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渔农</w:t>
            </w:r>
          </w:p>
        </w:tc>
        <w:tc>
          <w:tcPr>
            <w:tcW w:w="6989" w:type="dxa"/>
            <w:tcBorders>
              <w:tl2br w:val="nil"/>
              <w:tr2bl w:val="nil"/>
            </w:tcBorders>
            <w:shd w:val="clear" w:color="auto" w:fill="auto"/>
            <w:vAlign w:val="center"/>
          </w:tcPr>
          <w:p w14:paraId="4B36A95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渔农村名津广场商业1楼110-01号</w:t>
            </w:r>
          </w:p>
        </w:tc>
      </w:tr>
      <w:tr w14:paraId="7D5EB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33" w:type="dxa"/>
            <w:tcBorders>
              <w:tl2br w:val="nil"/>
              <w:tr2bl w:val="nil"/>
            </w:tcBorders>
            <w:shd w:val="clear" w:color="auto" w:fill="auto"/>
            <w:vAlign w:val="center"/>
          </w:tcPr>
          <w:p w14:paraId="57CA65B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9</w:t>
            </w:r>
          </w:p>
        </w:tc>
        <w:tc>
          <w:tcPr>
            <w:tcW w:w="1616" w:type="dxa"/>
            <w:tcBorders>
              <w:tl2br w:val="nil"/>
              <w:tr2bl w:val="nil"/>
            </w:tcBorders>
            <w:shd w:val="clear" w:color="auto" w:fill="auto"/>
            <w:vAlign w:val="center"/>
          </w:tcPr>
          <w:p w14:paraId="50FB102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园西</w:t>
            </w:r>
          </w:p>
        </w:tc>
        <w:tc>
          <w:tcPr>
            <w:tcW w:w="6989" w:type="dxa"/>
            <w:tcBorders>
              <w:tl2br w:val="nil"/>
              <w:tr2bl w:val="nil"/>
            </w:tcBorders>
            <w:shd w:val="clear" w:color="auto" w:fill="auto"/>
            <w:vAlign w:val="center"/>
          </w:tcPr>
          <w:p w14:paraId="72FB70A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华发南路35号中电住宅楼101-105</w:t>
            </w:r>
          </w:p>
        </w:tc>
      </w:tr>
      <w:tr w14:paraId="22C7C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33" w:type="dxa"/>
            <w:tcBorders>
              <w:tl2br w:val="nil"/>
              <w:tr2bl w:val="nil"/>
            </w:tcBorders>
            <w:shd w:val="clear" w:color="auto" w:fill="auto"/>
            <w:vAlign w:val="center"/>
          </w:tcPr>
          <w:p w14:paraId="458EF8F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10</w:t>
            </w:r>
          </w:p>
        </w:tc>
        <w:tc>
          <w:tcPr>
            <w:tcW w:w="1616" w:type="dxa"/>
            <w:tcBorders>
              <w:tl2br w:val="nil"/>
              <w:tr2bl w:val="nil"/>
            </w:tcBorders>
            <w:shd w:val="clear" w:color="auto" w:fill="auto"/>
            <w:vAlign w:val="center"/>
          </w:tcPr>
          <w:p w14:paraId="156A749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新港</w:t>
            </w:r>
          </w:p>
        </w:tc>
        <w:tc>
          <w:tcPr>
            <w:tcW w:w="6989" w:type="dxa"/>
            <w:tcBorders>
              <w:tl2br w:val="nil"/>
              <w:tr2bl w:val="nil"/>
            </w:tcBorders>
            <w:shd w:val="clear" w:color="auto" w:fill="auto"/>
            <w:vAlign w:val="center"/>
          </w:tcPr>
          <w:p w14:paraId="18D978C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福田区建鑫苑AB栋裙楼商铺12、13号</w:t>
            </w:r>
          </w:p>
        </w:tc>
      </w:tr>
      <w:tr w14:paraId="205EF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33" w:type="dxa"/>
            <w:tcBorders>
              <w:tl2br w:val="nil"/>
              <w:tr2bl w:val="nil"/>
            </w:tcBorders>
            <w:shd w:val="clear" w:color="auto" w:fill="auto"/>
            <w:vAlign w:val="center"/>
          </w:tcPr>
          <w:p w14:paraId="0AD6B5C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11</w:t>
            </w:r>
          </w:p>
        </w:tc>
        <w:tc>
          <w:tcPr>
            <w:tcW w:w="1616" w:type="dxa"/>
            <w:tcBorders>
              <w:tl2br w:val="nil"/>
              <w:tr2bl w:val="nil"/>
            </w:tcBorders>
            <w:shd w:val="clear" w:color="auto" w:fill="auto"/>
            <w:vAlign w:val="center"/>
          </w:tcPr>
          <w:p w14:paraId="161D729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文山</w:t>
            </w:r>
          </w:p>
        </w:tc>
        <w:tc>
          <w:tcPr>
            <w:tcW w:w="6989" w:type="dxa"/>
            <w:tcBorders>
              <w:tl2br w:val="nil"/>
              <w:tr2bl w:val="nil"/>
            </w:tcBorders>
            <w:shd w:val="clear" w:color="auto" w:fill="auto"/>
            <w:vAlign w:val="center"/>
          </w:tcPr>
          <w:p w14:paraId="189B7EB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高科利花园大厦裙楼1J、2B（一楼新址）</w:t>
            </w:r>
          </w:p>
        </w:tc>
      </w:tr>
      <w:tr w14:paraId="7674D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33" w:type="dxa"/>
            <w:tcBorders>
              <w:tl2br w:val="nil"/>
              <w:tr2bl w:val="nil"/>
            </w:tcBorders>
            <w:shd w:val="clear" w:color="auto" w:fill="auto"/>
            <w:vAlign w:val="center"/>
          </w:tcPr>
          <w:p w14:paraId="7E22240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12</w:t>
            </w:r>
          </w:p>
        </w:tc>
        <w:tc>
          <w:tcPr>
            <w:tcW w:w="1616" w:type="dxa"/>
            <w:tcBorders>
              <w:tl2br w:val="nil"/>
              <w:tr2bl w:val="nil"/>
            </w:tcBorders>
            <w:shd w:val="clear" w:color="auto" w:fill="auto"/>
            <w:vAlign w:val="center"/>
          </w:tcPr>
          <w:p w14:paraId="17C3630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福山</w:t>
            </w:r>
          </w:p>
        </w:tc>
        <w:tc>
          <w:tcPr>
            <w:tcW w:w="6989" w:type="dxa"/>
            <w:tcBorders>
              <w:tl2br w:val="nil"/>
              <w:tr2bl w:val="nil"/>
            </w:tcBorders>
            <w:shd w:val="clear" w:color="auto" w:fill="auto"/>
            <w:vAlign w:val="center"/>
          </w:tcPr>
          <w:p w14:paraId="0572ADE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彩田路滨河大道5004号首层皇洲花园皇辉阁首层E、F、G号房</w:t>
            </w:r>
          </w:p>
        </w:tc>
      </w:tr>
      <w:tr w14:paraId="65228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33" w:type="dxa"/>
            <w:vMerge w:val="restart"/>
            <w:tcBorders>
              <w:tl2br w:val="nil"/>
              <w:tr2bl w:val="nil"/>
            </w:tcBorders>
            <w:shd w:val="clear" w:color="auto" w:fill="auto"/>
            <w:vAlign w:val="center"/>
          </w:tcPr>
          <w:p w14:paraId="65B34C5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13</w:t>
            </w:r>
          </w:p>
        </w:tc>
        <w:tc>
          <w:tcPr>
            <w:tcW w:w="1616" w:type="dxa"/>
            <w:vMerge w:val="restart"/>
            <w:tcBorders>
              <w:tl2br w:val="nil"/>
              <w:tr2bl w:val="nil"/>
            </w:tcBorders>
            <w:shd w:val="clear" w:color="auto" w:fill="auto"/>
            <w:vAlign w:val="center"/>
          </w:tcPr>
          <w:p w14:paraId="453DA23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圩镇</w:t>
            </w:r>
          </w:p>
        </w:tc>
        <w:tc>
          <w:tcPr>
            <w:tcW w:w="6989" w:type="dxa"/>
            <w:tcBorders>
              <w:tl2br w:val="nil"/>
              <w:tr2bl w:val="nil"/>
            </w:tcBorders>
            <w:shd w:val="clear" w:color="auto" w:fill="auto"/>
            <w:vAlign w:val="center"/>
          </w:tcPr>
          <w:p w14:paraId="4E31024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福田南路与滨河路交界处城投福滨苑裙楼二楼</w:t>
            </w:r>
          </w:p>
        </w:tc>
      </w:tr>
      <w:tr w14:paraId="6F5EA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33" w:type="dxa"/>
            <w:vMerge w:val="continue"/>
            <w:tcBorders>
              <w:tl2br w:val="nil"/>
              <w:tr2bl w:val="nil"/>
            </w:tcBorders>
            <w:shd w:val="clear" w:color="auto" w:fill="auto"/>
            <w:vAlign w:val="center"/>
          </w:tcPr>
          <w:p w14:paraId="2933C16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heme="minorEastAsia" w:hAnsiTheme="minorEastAsia" w:eastAsiaTheme="minorEastAsia" w:cstheme="minorEastAsia"/>
                <w:b w:val="0"/>
                <w:bCs w:val="0"/>
                <w:i w:val="0"/>
                <w:iCs w:val="0"/>
                <w:color w:val="000000"/>
                <w:sz w:val="24"/>
                <w:szCs w:val="24"/>
                <w:highlight w:val="none"/>
                <w:u w:val="none"/>
              </w:rPr>
            </w:pPr>
          </w:p>
        </w:tc>
        <w:tc>
          <w:tcPr>
            <w:tcW w:w="1616" w:type="dxa"/>
            <w:vMerge w:val="continue"/>
            <w:tcBorders>
              <w:tl2br w:val="nil"/>
              <w:tr2bl w:val="nil"/>
            </w:tcBorders>
            <w:shd w:val="clear" w:color="auto" w:fill="auto"/>
            <w:vAlign w:val="center"/>
          </w:tcPr>
          <w:p w14:paraId="066CC3D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heme="minorEastAsia" w:hAnsiTheme="minorEastAsia" w:eastAsiaTheme="minorEastAsia" w:cstheme="minorEastAsia"/>
                <w:b w:val="0"/>
                <w:bCs w:val="0"/>
                <w:i w:val="0"/>
                <w:iCs w:val="0"/>
                <w:color w:val="000000"/>
                <w:sz w:val="24"/>
                <w:szCs w:val="24"/>
                <w:highlight w:val="none"/>
                <w:u w:val="none"/>
              </w:rPr>
            </w:pPr>
          </w:p>
        </w:tc>
        <w:tc>
          <w:tcPr>
            <w:tcW w:w="6989" w:type="dxa"/>
            <w:tcBorders>
              <w:tl2br w:val="nil"/>
              <w:tr2bl w:val="nil"/>
            </w:tcBorders>
            <w:shd w:val="clear" w:color="auto" w:fill="auto"/>
            <w:vAlign w:val="center"/>
          </w:tcPr>
          <w:p w14:paraId="6FEDC7A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福田区福华路以南福田路以东城市春天3栋配套01层101号房、102号房（延伸点）</w:t>
            </w:r>
          </w:p>
        </w:tc>
      </w:tr>
      <w:tr w14:paraId="6DBB9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33" w:type="dxa"/>
            <w:tcBorders>
              <w:tl2br w:val="nil"/>
              <w:tr2bl w:val="nil"/>
            </w:tcBorders>
            <w:shd w:val="clear" w:color="auto" w:fill="auto"/>
            <w:vAlign w:val="center"/>
          </w:tcPr>
          <w:p w14:paraId="716054A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14</w:t>
            </w:r>
          </w:p>
        </w:tc>
        <w:tc>
          <w:tcPr>
            <w:tcW w:w="1616" w:type="dxa"/>
            <w:tcBorders>
              <w:tl2br w:val="nil"/>
              <w:tr2bl w:val="nil"/>
            </w:tcBorders>
            <w:shd w:val="clear" w:color="auto" w:fill="auto"/>
            <w:vAlign w:val="center"/>
          </w:tcPr>
          <w:p w14:paraId="2A8D331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通新岭</w:t>
            </w:r>
          </w:p>
        </w:tc>
        <w:tc>
          <w:tcPr>
            <w:tcW w:w="6989" w:type="dxa"/>
            <w:tcBorders>
              <w:tl2br w:val="nil"/>
              <w:tr2bl w:val="nil"/>
            </w:tcBorders>
            <w:shd w:val="clear" w:color="auto" w:fill="auto"/>
            <w:vAlign w:val="center"/>
          </w:tcPr>
          <w:p w14:paraId="3AECB91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上步中路通新岭4栋一层</w:t>
            </w:r>
          </w:p>
        </w:tc>
      </w:tr>
      <w:tr w14:paraId="2B5B8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33" w:type="dxa"/>
            <w:tcBorders>
              <w:tl2br w:val="nil"/>
              <w:tr2bl w:val="nil"/>
            </w:tcBorders>
            <w:shd w:val="clear" w:color="auto" w:fill="auto"/>
            <w:vAlign w:val="center"/>
          </w:tcPr>
          <w:p w14:paraId="42ACF87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15</w:t>
            </w:r>
          </w:p>
        </w:tc>
        <w:tc>
          <w:tcPr>
            <w:tcW w:w="1616" w:type="dxa"/>
            <w:tcBorders>
              <w:tl2br w:val="nil"/>
              <w:tr2bl w:val="nil"/>
            </w:tcBorders>
            <w:shd w:val="clear" w:color="auto" w:fill="auto"/>
            <w:vAlign w:val="center"/>
          </w:tcPr>
          <w:p w14:paraId="3737EDC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赤尾</w:t>
            </w:r>
          </w:p>
        </w:tc>
        <w:tc>
          <w:tcPr>
            <w:tcW w:w="6989" w:type="dxa"/>
            <w:tcBorders>
              <w:tl2br w:val="nil"/>
              <w:tr2bl w:val="nil"/>
            </w:tcBorders>
            <w:shd w:val="clear" w:color="auto" w:fill="auto"/>
            <w:vAlign w:val="center"/>
          </w:tcPr>
          <w:p w14:paraId="27D2EA2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御景华城花园商业楼32号</w:t>
            </w:r>
          </w:p>
        </w:tc>
      </w:tr>
      <w:tr w14:paraId="2067C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33" w:type="dxa"/>
            <w:tcBorders>
              <w:tl2br w:val="nil"/>
              <w:tr2bl w:val="nil"/>
            </w:tcBorders>
            <w:shd w:val="clear" w:color="auto" w:fill="auto"/>
            <w:vAlign w:val="center"/>
          </w:tcPr>
          <w:p w14:paraId="164C819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16</w:t>
            </w:r>
          </w:p>
        </w:tc>
        <w:tc>
          <w:tcPr>
            <w:tcW w:w="1616" w:type="dxa"/>
            <w:tcBorders>
              <w:tl2br w:val="nil"/>
              <w:tr2bl w:val="nil"/>
            </w:tcBorders>
            <w:shd w:val="clear" w:color="auto" w:fill="auto"/>
            <w:vAlign w:val="center"/>
          </w:tcPr>
          <w:p w14:paraId="57BB472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滨河</w:t>
            </w:r>
          </w:p>
        </w:tc>
        <w:tc>
          <w:tcPr>
            <w:tcW w:w="6989" w:type="dxa"/>
            <w:tcBorders>
              <w:tl2br w:val="nil"/>
              <w:tr2bl w:val="nil"/>
            </w:tcBorders>
            <w:shd w:val="clear" w:color="auto" w:fill="auto"/>
            <w:vAlign w:val="center"/>
          </w:tcPr>
          <w:p w14:paraId="465ED2D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汇港名苑南区一层A001、A002</w:t>
            </w:r>
          </w:p>
        </w:tc>
      </w:tr>
      <w:tr w14:paraId="31F05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33" w:type="dxa"/>
            <w:tcBorders>
              <w:tl2br w:val="nil"/>
              <w:tr2bl w:val="nil"/>
            </w:tcBorders>
            <w:shd w:val="clear" w:color="auto" w:fill="auto"/>
            <w:vAlign w:val="center"/>
          </w:tcPr>
          <w:p w14:paraId="707E63C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17</w:t>
            </w:r>
          </w:p>
        </w:tc>
        <w:tc>
          <w:tcPr>
            <w:tcW w:w="1616" w:type="dxa"/>
            <w:tcBorders>
              <w:tl2br w:val="nil"/>
              <w:tr2bl w:val="nil"/>
            </w:tcBorders>
            <w:shd w:val="clear" w:color="auto" w:fill="auto"/>
            <w:vAlign w:val="center"/>
          </w:tcPr>
          <w:p w14:paraId="47E2194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红树福苑</w:t>
            </w:r>
          </w:p>
        </w:tc>
        <w:tc>
          <w:tcPr>
            <w:tcW w:w="6989" w:type="dxa"/>
            <w:tcBorders>
              <w:tl2br w:val="nil"/>
              <w:tr2bl w:val="nil"/>
            </w:tcBorders>
            <w:shd w:val="clear" w:color="auto" w:fill="auto"/>
            <w:vAlign w:val="center"/>
          </w:tcPr>
          <w:p w14:paraId="3DAF101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福田保税区桂花路南红树福苑6栋商铺01层136、137号</w:t>
            </w:r>
          </w:p>
        </w:tc>
      </w:tr>
      <w:tr w14:paraId="19B5C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33" w:type="dxa"/>
            <w:tcBorders>
              <w:tl2br w:val="nil"/>
              <w:tr2bl w:val="nil"/>
            </w:tcBorders>
            <w:shd w:val="clear" w:color="auto" w:fill="auto"/>
            <w:vAlign w:val="center"/>
          </w:tcPr>
          <w:p w14:paraId="415E605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18</w:t>
            </w:r>
          </w:p>
        </w:tc>
        <w:tc>
          <w:tcPr>
            <w:tcW w:w="1616" w:type="dxa"/>
            <w:tcBorders>
              <w:tl2br w:val="nil"/>
              <w:tr2bl w:val="nil"/>
            </w:tcBorders>
            <w:shd w:val="clear" w:color="auto" w:fill="auto"/>
            <w:vAlign w:val="center"/>
          </w:tcPr>
          <w:p w14:paraId="448EB17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福保</w:t>
            </w:r>
          </w:p>
        </w:tc>
        <w:tc>
          <w:tcPr>
            <w:tcW w:w="6989" w:type="dxa"/>
            <w:tcBorders>
              <w:tl2br w:val="nil"/>
              <w:tr2bl w:val="nil"/>
            </w:tcBorders>
            <w:shd w:val="clear" w:color="auto" w:fill="auto"/>
            <w:vAlign w:val="center"/>
          </w:tcPr>
          <w:p w14:paraId="7D8573A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福强路 2225 号京隆苑 26-31 栋裙楼 2A、3A、4A 号及D-E-G栋裙楼第1层7A</w:t>
            </w:r>
          </w:p>
        </w:tc>
      </w:tr>
      <w:tr w14:paraId="03E55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33" w:type="dxa"/>
            <w:tcBorders>
              <w:tl2br w:val="nil"/>
              <w:tr2bl w:val="nil"/>
            </w:tcBorders>
            <w:shd w:val="clear" w:color="auto" w:fill="auto"/>
            <w:vAlign w:val="center"/>
          </w:tcPr>
          <w:p w14:paraId="79EB56A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19</w:t>
            </w:r>
          </w:p>
        </w:tc>
        <w:tc>
          <w:tcPr>
            <w:tcW w:w="1616" w:type="dxa"/>
            <w:tcBorders>
              <w:tl2br w:val="nil"/>
              <w:tr2bl w:val="nil"/>
            </w:tcBorders>
            <w:shd w:val="clear" w:color="auto" w:fill="auto"/>
            <w:vAlign w:val="center"/>
          </w:tcPr>
          <w:p w14:paraId="4F73B37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明月</w:t>
            </w:r>
          </w:p>
        </w:tc>
        <w:tc>
          <w:tcPr>
            <w:tcW w:w="6989" w:type="dxa"/>
            <w:tcBorders>
              <w:tl2br w:val="nil"/>
              <w:tr2bl w:val="nil"/>
            </w:tcBorders>
            <w:shd w:val="clear" w:color="auto" w:fill="auto"/>
            <w:vAlign w:val="center"/>
          </w:tcPr>
          <w:p w14:paraId="0D98660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福田区滨河大道石厦北一街信托花园1栋第一层02号</w:t>
            </w:r>
          </w:p>
        </w:tc>
      </w:tr>
      <w:tr w14:paraId="7F258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33" w:type="dxa"/>
            <w:tcBorders>
              <w:tl2br w:val="nil"/>
              <w:tr2bl w:val="nil"/>
            </w:tcBorders>
            <w:shd w:val="clear" w:color="auto" w:fill="auto"/>
            <w:vAlign w:val="center"/>
          </w:tcPr>
          <w:p w14:paraId="2A08C8E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20</w:t>
            </w:r>
          </w:p>
        </w:tc>
        <w:tc>
          <w:tcPr>
            <w:tcW w:w="1616" w:type="dxa"/>
            <w:tcBorders>
              <w:tl2br w:val="nil"/>
              <w:tr2bl w:val="nil"/>
            </w:tcBorders>
            <w:shd w:val="clear" w:color="auto" w:fill="auto"/>
            <w:vAlign w:val="center"/>
          </w:tcPr>
          <w:p w14:paraId="419FFC3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益田</w:t>
            </w:r>
          </w:p>
        </w:tc>
        <w:tc>
          <w:tcPr>
            <w:tcW w:w="6989" w:type="dxa"/>
            <w:tcBorders>
              <w:tl2br w:val="nil"/>
              <w:tr2bl w:val="nil"/>
            </w:tcBorders>
            <w:shd w:val="clear" w:color="auto" w:fill="auto"/>
            <w:vAlign w:val="center"/>
          </w:tcPr>
          <w:p w14:paraId="0BFDD08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深圳市福田区益田村康乐中心1-2层南侧</w:t>
            </w:r>
          </w:p>
        </w:tc>
      </w:tr>
      <w:tr w14:paraId="505D2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33" w:type="dxa"/>
            <w:tcBorders>
              <w:tl2br w:val="nil"/>
              <w:tr2bl w:val="nil"/>
            </w:tcBorders>
            <w:shd w:val="clear" w:color="auto" w:fill="auto"/>
            <w:vAlign w:val="center"/>
          </w:tcPr>
          <w:p w14:paraId="55E85A9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21</w:t>
            </w:r>
          </w:p>
        </w:tc>
        <w:tc>
          <w:tcPr>
            <w:tcW w:w="1616" w:type="dxa"/>
            <w:tcBorders>
              <w:tl2br w:val="nil"/>
              <w:tr2bl w:val="nil"/>
            </w:tcBorders>
            <w:shd w:val="clear" w:color="auto" w:fill="auto"/>
            <w:vAlign w:val="center"/>
          </w:tcPr>
          <w:p w14:paraId="5305357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海滨</w:t>
            </w:r>
          </w:p>
        </w:tc>
        <w:tc>
          <w:tcPr>
            <w:tcW w:w="6989" w:type="dxa"/>
            <w:tcBorders>
              <w:tl2br w:val="nil"/>
              <w:tr2bl w:val="nil"/>
            </w:tcBorders>
            <w:shd w:val="clear" w:color="auto" w:fill="auto"/>
            <w:vAlign w:val="center"/>
          </w:tcPr>
          <w:p w14:paraId="1C3255A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海滨广场福华阁裙楼第1层</w:t>
            </w:r>
          </w:p>
        </w:tc>
      </w:tr>
      <w:tr w14:paraId="32106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33" w:type="dxa"/>
            <w:tcBorders>
              <w:tl2br w:val="nil"/>
              <w:tr2bl w:val="nil"/>
            </w:tcBorders>
            <w:shd w:val="clear" w:color="auto" w:fill="auto"/>
            <w:vAlign w:val="center"/>
          </w:tcPr>
          <w:p w14:paraId="6C6E471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22</w:t>
            </w:r>
          </w:p>
        </w:tc>
        <w:tc>
          <w:tcPr>
            <w:tcW w:w="1616" w:type="dxa"/>
            <w:tcBorders>
              <w:tl2br w:val="nil"/>
              <w:tr2bl w:val="nil"/>
            </w:tcBorders>
            <w:shd w:val="clear" w:color="auto" w:fill="auto"/>
            <w:vAlign w:val="center"/>
          </w:tcPr>
          <w:p w14:paraId="539D3A0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福民</w:t>
            </w:r>
          </w:p>
        </w:tc>
        <w:tc>
          <w:tcPr>
            <w:tcW w:w="6989" w:type="dxa"/>
            <w:tcBorders>
              <w:tl2br w:val="nil"/>
              <w:tr2bl w:val="nil"/>
            </w:tcBorders>
            <w:shd w:val="clear" w:color="auto" w:fill="auto"/>
            <w:vAlign w:val="center"/>
          </w:tcPr>
          <w:p w14:paraId="50B3E03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福民大厦裙楼第一层102号、108号</w:t>
            </w:r>
          </w:p>
        </w:tc>
      </w:tr>
      <w:tr w14:paraId="3E4D9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33" w:type="dxa"/>
            <w:tcBorders>
              <w:tl2br w:val="nil"/>
              <w:tr2bl w:val="nil"/>
            </w:tcBorders>
            <w:shd w:val="clear" w:color="auto" w:fill="auto"/>
            <w:vAlign w:val="center"/>
          </w:tcPr>
          <w:p w14:paraId="259F68E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23</w:t>
            </w:r>
          </w:p>
        </w:tc>
        <w:tc>
          <w:tcPr>
            <w:tcW w:w="1616" w:type="dxa"/>
            <w:tcBorders>
              <w:tl2br w:val="nil"/>
              <w:tr2bl w:val="nil"/>
            </w:tcBorders>
            <w:shd w:val="clear" w:color="auto" w:fill="auto"/>
            <w:vAlign w:val="center"/>
          </w:tcPr>
          <w:p w14:paraId="1E46C82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口岸</w:t>
            </w:r>
          </w:p>
        </w:tc>
        <w:tc>
          <w:tcPr>
            <w:tcW w:w="6989" w:type="dxa"/>
            <w:tcBorders>
              <w:tl2br w:val="nil"/>
              <w:tr2bl w:val="nil"/>
            </w:tcBorders>
            <w:shd w:val="clear" w:color="auto" w:fill="auto"/>
            <w:vAlign w:val="center"/>
          </w:tcPr>
          <w:p w14:paraId="1C3D285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福田区百合路廊桥花园一层01、28、29号房</w:t>
            </w:r>
          </w:p>
        </w:tc>
      </w:tr>
      <w:tr w14:paraId="6D58B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33" w:type="dxa"/>
            <w:tcBorders>
              <w:tl2br w:val="nil"/>
              <w:tr2bl w:val="nil"/>
            </w:tcBorders>
            <w:shd w:val="clear" w:color="auto" w:fill="auto"/>
            <w:vAlign w:val="center"/>
          </w:tcPr>
          <w:p w14:paraId="28F28BE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24</w:t>
            </w:r>
          </w:p>
        </w:tc>
        <w:tc>
          <w:tcPr>
            <w:tcW w:w="1616" w:type="dxa"/>
            <w:tcBorders>
              <w:tl2br w:val="nil"/>
              <w:tr2bl w:val="nil"/>
            </w:tcBorders>
            <w:shd w:val="clear" w:color="auto" w:fill="auto"/>
            <w:vAlign w:val="center"/>
          </w:tcPr>
          <w:p w14:paraId="5535FFB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荔村</w:t>
            </w:r>
          </w:p>
        </w:tc>
        <w:tc>
          <w:tcPr>
            <w:tcW w:w="6989" w:type="dxa"/>
            <w:tcBorders>
              <w:tl2br w:val="nil"/>
              <w:tr2bl w:val="nil"/>
            </w:tcBorders>
            <w:shd w:val="clear" w:color="auto" w:fill="auto"/>
            <w:vAlign w:val="center"/>
          </w:tcPr>
          <w:p w14:paraId="315A61D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福田区华发北路桑达雅苑北区02层N01号及01层的N10号、N11号商铺</w:t>
            </w:r>
          </w:p>
        </w:tc>
      </w:tr>
      <w:tr w14:paraId="58111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33" w:type="dxa"/>
            <w:tcBorders>
              <w:tl2br w:val="nil"/>
              <w:tr2bl w:val="nil"/>
            </w:tcBorders>
            <w:shd w:val="clear" w:color="auto" w:fill="auto"/>
            <w:vAlign w:val="center"/>
          </w:tcPr>
          <w:p w14:paraId="6A06FBD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25</w:t>
            </w:r>
          </w:p>
        </w:tc>
        <w:tc>
          <w:tcPr>
            <w:tcW w:w="1616" w:type="dxa"/>
            <w:tcBorders>
              <w:tl2br w:val="nil"/>
              <w:tr2bl w:val="nil"/>
            </w:tcBorders>
            <w:shd w:val="clear" w:color="auto" w:fill="auto"/>
            <w:vAlign w:val="center"/>
          </w:tcPr>
          <w:p w14:paraId="4124796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区政府大院</w:t>
            </w:r>
          </w:p>
        </w:tc>
        <w:tc>
          <w:tcPr>
            <w:tcW w:w="6989" w:type="dxa"/>
            <w:tcBorders>
              <w:tl2br w:val="nil"/>
              <w:tr2bl w:val="nil"/>
            </w:tcBorders>
            <w:shd w:val="clear" w:color="auto" w:fill="auto"/>
            <w:vAlign w:val="center"/>
          </w:tcPr>
          <w:p w14:paraId="0426C6D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福民路123号区委大院内</w:t>
            </w:r>
          </w:p>
        </w:tc>
      </w:tr>
      <w:tr w14:paraId="52A02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33" w:type="dxa"/>
            <w:tcBorders>
              <w:tl2br w:val="nil"/>
              <w:tr2bl w:val="nil"/>
            </w:tcBorders>
            <w:shd w:val="clear" w:color="auto" w:fill="auto"/>
            <w:vAlign w:val="center"/>
          </w:tcPr>
          <w:p w14:paraId="10611C0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26</w:t>
            </w:r>
          </w:p>
        </w:tc>
        <w:tc>
          <w:tcPr>
            <w:tcW w:w="1616" w:type="dxa"/>
            <w:tcBorders>
              <w:tl2br w:val="nil"/>
              <w:tr2bl w:val="nil"/>
            </w:tcBorders>
            <w:shd w:val="clear" w:color="auto" w:fill="auto"/>
            <w:vAlign w:val="center"/>
          </w:tcPr>
          <w:p w14:paraId="1062919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人才园</w:t>
            </w:r>
          </w:p>
        </w:tc>
        <w:tc>
          <w:tcPr>
            <w:tcW w:w="6989" w:type="dxa"/>
            <w:tcBorders>
              <w:tl2br w:val="nil"/>
              <w:tr2bl w:val="nil"/>
            </w:tcBorders>
            <w:shd w:val="clear" w:color="auto" w:fill="auto"/>
            <w:vAlign w:val="center"/>
          </w:tcPr>
          <w:p w14:paraId="1B9D3C6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福田区深南大道8005号深圳人才园裙楼2楼2043房</w:t>
            </w:r>
          </w:p>
        </w:tc>
      </w:tr>
      <w:tr w14:paraId="77051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33" w:type="dxa"/>
            <w:tcBorders>
              <w:tl2br w:val="nil"/>
              <w:tr2bl w:val="nil"/>
            </w:tcBorders>
            <w:shd w:val="clear" w:color="auto" w:fill="auto"/>
            <w:vAlign w:val="center"/>
          </w:tcPr>
          <w:p w14:paraId="2D28587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27</w:t>
            </w:r>
          </w:p>
        </w:tc>
        <w:tc>
          <w:tcPr>
            <w:tcW w:w="1616" w:type="dxa"/>
            <w:tcBorders>
              <w:tl2br w:val="nil"/>
              <w:tr2bl w:val="nil"/>
            </w:tcBorders>
            <w:shd w:val="clear" w:color="auto" w:fill="auto"/>
            <w:vAlign w:val="center"/>
          </w:tcPr>
          <w:p w14:paraId="05D42EB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核电花园</w:t>
            </w:r>
          </w:p>
        </w:tc>
        <w:tc>
          <w:tcPr>
            <w:tcW w:w="6989" w:type="dxa"/>
            <w:tcBorders>
              <w:tl2br w:val="nil"/>
              <w:tr2bl w:val="nil"/>
            </w:tcBorders>
            <w:shd w:val="clear" w:color="auto" w:fill="auto"/>
            <w:vAlign w:val="center"/>
          </w:tcPr>
          <w:p w14:paraId="1DF66EB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深圳市福田区百花五路长城大厦9栋D座首层101</w:t>
            </w:r>
          </w:p>
        </w:tc>
      </w:tr>
      <w:tr w14:paraId="081B0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33" w:type="dxa"/>
            <w:tcBorders>
              <w:tl2br w:val="nil"/>
              <w:tr2bl w:val="nil"/>
            </w:tcBorders>
            <w:shd w:val="clear" w:color="auto" w:fill="auto"/>
            <w:vAlign w:val="center"/>
          </w:tcPr>
          <w:p w14:paraId="025B119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28</w:t>
            </w:r>
          </w:p>
        </w:tc>
        <w:tc>
          <w:tcPr>
            <w:tcW w:w="1616" w:type="dxa"/>
            <w:tcBorders>
              <w:tl2br w:val="nil"/>
              <w:tr2bl w:val="nil"/>
            </w:tcBorders>
            <w:shd w:val="clear" w:color="auto" w:fill="auto"/>
            <w:vAlign w:val="center"/>
          </w:tcPr>
          <w:p w14:paraId="035F81E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中国移动</w:t>
            </w:r>
          </w:p>
        </w:tc>
        <w:tc>
          <w:tcPr>
            <w:tcW w:w="6989" w:type="dxa"/>
            <w:tcBorders>
              <w:tl2br w:val="nil"/>
              <w:tr2bl w:val="nil"/>
            </w:tcBorders>
            <w:shd w:val="clear" w:color="auto" w:fill="auto"/>
            <w:vAlign w:val="center"/>
          </w:tcPr>
          <w:p w14:paraId="613CCE8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深圳市福田中心区深南大道2010号中国移动深圳信息大厦五楼</w:t>
            </w:r>
          </w:p>
        </w:tc>
      </w:tr>
      <w:tr w14:paraId="28BCE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33" w:type="dxa"/>
            <w:tcBorders>
              <w:tl2br w:val="nil"/>
              <w:tr2bl w:val="nil"/>
            </w:tcBorders>
            <w:shd w:val="clear" w:color="auto" w:fill="auto"/>
            <w:vAlign w:val="center"/>
          </w:tcPr>
          <w:p w14:paraId="683389C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29</w:t>
            </w:r>
          </w:p>
        </w:tc>
        <w:tc>
          <w:tcPr>
            <w:tcW w:w="1616" w:type="dxa"/>
            <w:tcBorders>
              <w:tl2br w:val="nil"/>
              <w:tr2bl w:val="nil"/>
            </w:tcBorders>
            <w:shd w:val="clear" w:color="auto" w:fill="auto"/>
            <w:vAlign w:val="center"/>
          </w:tcPr>
          <w:p w14:paraId="0474DBD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富德</w:t>
            </w:r>
          </w:p>
        </w:tc>
        <w:tc>
          <w:tcPr>
            <w:tcW w:w="6989" w:type="dxa"/>
            <w:tcBorders>
              <w:tl2br w:val="nil"/>
              <w:tr2bl w:val="nil"/>
            </w:tcBorders>
            <w:shd w:val="clear" w:color="auto" w:fill="auto"/>
            <w:vAlign w:val="center"/>
          </w:tcPr>
          <w:p w14:paraId="2007D19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深圳市福田区生命保险大厦3楼</w:t>
            </w:r>
          </w:p>
        </w:tc>
      </w:tr>
      <w:tr w14:paraId="37878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33" w:type="dxa"/>
            <w:tcBorders>
              <w:tl2br w:val="nil"/>
              <w:tr2bl w:val="nil"/>
            </w:tcBorders>
            <w:shd w:val="clear" w:color="auto" w:fill="auto"/>
            <w:vAlign w:val="center"/>
          </w:tcPr>
          <w:p w14:paraId="42B0188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30</w:t>
            </w:r>
          </w:p>
        </w:tc>
        <w:tc>
          <w:tcPr>
            <w:tcW w:w="1616" w:type="dxa"/>
            <w:tcBorders>
              <w:tl2br w:val="nil"/>
              <w:tr2bl w:val="nil"/>
            </w:tcBorders>
            <w:shd w:val="clear" w:color="auto" w:fill="auto"/>
            <w:vAlign w:val="center"/>
          </w:tcPr>
          <w:p w14:paraId="59FE164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福安</w:t>
            </w:r>
          </w:p>
        </w:tc>
        <w:tc>
          <w:tcPr>
            <w:tcW w:w="6989" w:type="dxa"/>
            <w:tcBorders>
              <w:tl2br w:val="nil"/>
              <w:tr2bl w:val="nil"/>
            </w:tcBorders>
            <w:shd w:val="clear" w:color="auto" w:fill="auto"/>
            <w:vAlign w:val="center"/>
          </w:tcPr>
          <w:p w14:paraId="0327A7A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福田区中心二路1号佳兆业佳园B座01层03、04号</w:t>
            </w:r>
          </w:p>
        </w:tc>
      </w:tr>
      <w:tr w14:paraId="606EE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33" w:type="dxa"/>
            <w:tcBorders>
              <w:tl2br w:val="nil"/>
              <w:tr2bl w:val="nil"/>
            </w:tcBorders>
            <w:shd w:val="clear" w:color="auto" w:fill="auto"/>
            <w:vAlign w:val="center"/>
          </w:tcPr>
          <w:p w14:paraId="6363708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FF0000"/>
                <w:sz w:val="24"/>
                <w:szCs w:val="24"/>
                <w:highlight w:val="none"/>
                <w:u w:val="none"/>
              </w:rPr>
            </w:pPr>
            <w:r>
              <w:rPr>
                <w:rFonts w:hint="eastAsia" w:asciiTheme="minorEastAsia" w:hAnsiTheme="minorEastAsia" w:eastAsiaTheme="minorEastAsia" w:cstheme="minorEastAsia"/>
                <w:b w:val="0"/>
                <w:bCs w:val="0"/>
                <w:i w:val="0"/>
                <w:iCs w:val="0"/>
                <w:color w:val="FF0000"/>
                <w:kern w:val="0"/>
                <w:sz w:val="24"/>
                <w:szCs w:val="24"/>
                <w:highlight w:val="none"/>
                <w:u w:val="none"/>
                <w:lang w:val="en-US" w:eastAsia="zh-CN" w:bidi="ar"/>
              </w:rPr>
              <w:t>即将开业</w:t>
            </w:r>
          </w:p>
        </w:tc>
        <w:tc>
          <w:tcPr>
            <w:tcW w:w="1616" w:type="dxa"/>
            <w:tcBorders>
              <w:tl2br w:val="nil"/>
              <w:tr2bl w:val="nil"/>
            </w:tcBorders>
            <w:shd w:val="clear" w:color="auto" w:fill="auto"/>
            <w:vAlign w:val="center"/>
          </w:tcPr>
          <w:p w14:paraId="7486BC7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华红社康(新)</w:t>
            </w:r>
          </w:p>
        </w:tc>
        <w:tc>
          <w:tcPr>
            <w:tcW w:w="6989" w:type="dxa"/>
            <w:tcBorders>
              <w:tl2br w:val="nil"/>
              <w:tr2bl w:val="nil"/>
            </w:tcBorders>
            <w:shd w:val="clear" w:color="auto" w:fill="auto"/>
            <w:vAlign w:val="center"/>
          </w:tcPr>
          <w:p w14:paraId="0F82E8A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深圳市福田区华强北街道红荔西路华新大厦第一层103、105</w:t>
            </w:r>
          </w:p>
        </w:tc>
      </w:tr>
      <w:tr w14:paraId="74311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33" w:type="dxa"/>
            <w:vMerge w:val="restart"/>
            <w:tcBorders>
              <w:tl2br w:val="nil"/>
              <w:tr2bl w:val="nil"/>
            </w:tcBorders>
            <w:shd w:val="clear" w:color="auto" w:fill="auto"/>
            <w:vAlign w:val="center"/>
          </w:tcPr>
          <w:p w14:paraId="022E526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FF0000"/>
                <w:sz w:val="24"/>
                <w:szCs w:val="24"/>
                <w:highlight w:val="none"/>
                <w:u w:val="none"/>
              </w:rPr>
            </w:pPr>
            <w:r>
              <w:rPr>
                <w:rFonts w:hint="eastAsia" w:asciiTheme="minorEastAsia" w:hAnsiTheme="minorEastAsia" w:eastAsiaTheme="minorEastAsia" w:cstheme="minorEastAsia"/>
                <w:b w:val="0"/>
                <w:bCs w:val="0"/>
                <w:i w:val="0"/>
                <w:iCs w:val="0"/>
                <w:color w:val="FF0000"/>
                <w:kern w:val="0"/>
                <w:sz w:val="24"/>
                <w:szCs w:val="24"/>
                <w:highlight w:val="none"/>
                <w:u w:val="none"/>
                <w:lang w:val="en-US" w:eastAsia="zh-CN" w:bidi="ar"/>
              </w:rPr>
              <w:t>未营业</w:t>
            </w:r>
          </w:p>
        </w:tc>
        <w:tc>
          <w:tcPr>
            <w:tcW w:w="1616" w:type="dxa"/>
            <w:tcBorders>
              <w:tl2br w:val="nil"/>
              <w:tr2bl w:val="nil"/>
            </w:tcBorders>
            <w:shd w:val="clear" w:color="auto" w:fill="auto"/>
            <w:vAlign w:val="center"/>
          </w:tcPr>
          <w:p w14:paraId="7D1CE00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锦龙社康(新)</w:t>
            </w:r>
          </w:p>
        </w:tc>
        <w:tc>
          <w:tcPr>
            <w:tcW w:w="6989" w:type="dxa"/>
            <w:tcBorders>
              <w:tl2br w:val="nil"/>
              <w:tr2bl w:val="nil"/>
            </w:tcBorders>
            <w:shd w:val="clear" w:color="auto" w:fill="auto"/>
            <w:vAlign w:val="center"/>
          </w:tcPr>
          <w:p w14:paraId="14B7289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深圳市福田区南园街道华强南路2002号南华花园裙楼第1层商场B09</w:t>
            </w:r>
          </w:p>
        </w:tc>
      </w:tr>
      <w:tr w14:paraId="36C70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33" w:type="dxa"/>
            <w:vMerge w:val="continue"/>
            <w:tcBorders>
              <w:tl2br w:val="nil"/>
              <w:tr2bl w:val="nil"/>
            </w:tcBorders>
            <w:shd w:val="clear" w:color="auto" w:fill="auto"/>
            <w:vAlign w:val="center"/>
          </w:tcPr>
          <w:p w14:paraId="24DA11D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heme="minorEastAsia" w:hAnsiTheme="minorEastAsia" w:eastAsiaTheme="minorEastAsia" w:cstheme="minorEastAsia"/>
                <w:b w:val="0"/>
                <w:bCs w:val="0"/>
                <w:i w:val="0"/>
                <w:iCs w:val="0"/>
                <w:color w:val="FF0000"/>
                <w:sz w:val="24"/>
                <w:szCs w:val="24"/>
                <w:highlight w:val="none"/>
                <w:u w:val="none"/>
              </w:rPr>
            </w:pPr>
          </w:p>
        </w:tc>
        <w:tc>
          <w:tcPr>
            <w:tcW w:w="1616" w:type="dxa"/>
            <w:tcBorders>
              <w:tl2br w:val="nil"/>
              <w:tr2bl w:val="nil"/>
            </w:tcBorders>
            <w:shd w:val="clear" w:color="auto" w:fill="auto"/>
            <w:vAlign w:val="center"/>
          </w:tcPr>
          <w:p w14:paraId="564BA10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福民社康（新址)</w:t>
            </w:r>
          </w:p>
        </w:tc>
        <w:tc>
          <w:tcPr>
            <w:tcW w:w="6989" w:type="dxa"/>
            <w:tcBorders>
              <w:tl2br w:val="nil"/>
              <w:tr2bl w:val="nil"/>
            </w:tcBorders>
            <w:shd w:val="clear" w:color="auto" w:fill="auto"/>
            <w:vAlign w:val="center"/>
          </w:tcPr>
          <w:p w14:paraId="3181827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福汇华苑配套二01层01号复式2</w:t>
            </w:r>
          </w:p>
        </w:tc>
      </w:tr>
      <w:tr w14:paraId="743C3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33" w:type="dxa"/>
            <w:vMerge w:val="continue"/>
            <w:tcBorders>
              <w:tl2br w:val="nil"/>
              <w:tr2bl w:val="nil"/>
            </w:tcBorders>
            <w:shd w:val="clear" w:color="auto" w:fill="auto"/>
            <w:vAlign w:val="center"/>
          </w:tcPr>
          <w:p w14:paraId="6C0C699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heme="minorEastAsia" w:hAnsiTheme="minorEastAsia" w:eastAsiaTheme="minorEastAsia" w:cstheme="minorEastAsia"/>
                <w:b w:val="0"/>
                <w:bCs w:val="0"/>
                <w:i w:val="0"/>
                <w:iCs w:val="0"/>
                <w:color w:val="FF0000"/>
                <w:sz w:val="24"/>
                <w:szCs w:val="24"/>
                <w:highlight w:val="none"/>
                <w:u w:val="none"/>
              </w:rPr>
            </w:pPr>
          </w:p>
        </w:tc>
        <w:tc>
          <w:tcPr>
            <w:tcW w:w="1616" w:type="dxa"/>
            <w:tcBorders>
              <w:tl2br w:val="nil"/>
              <w:tr2bl w:val="nil"/>
            </w:tcBorders>
            <w:shd w:val="clear" w:color="auto" w:fill="auto"/>
            <w:vAlign w:val="center"/>
          </w:tcPr>
          <w:p w14:paraId="7851BEB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口岸社康(新)</w:t>
            </w:r>
          </w:p>
        </w:tc>
        <w:tc>
          <w:tcPr>
            <w:tcW w:w="6989" w:type="dxa"/>
            <w:tcBorders>
              <w:tl2br w:val="nil"/>
              <w:tr2bl w:val="nil"/>
            </w:tcBorders>
            <w:shd w:val="clear" w:color="auto" w:fill="auto"/>
            <w:vAlign w:val="center"/>
          </w:tcPr>
          <w:p w14:paraId="693AD2E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深圳市福田区福田街道口岸社区福田南路与滨河路交汇处金领假日公寓120号</w:t>
            </w:r>
          </w:p>
        </w:tc>
      </w:tr>
    </w:tbl>
    <w:p w14:paraId="3904AEF1">
      <w:pPr>
        <w:pStyle w:val="18"/>
        <w:rPr>
          <w:rFonts w:hint="eastAsia"/>
          <w:highlight w:val="none"/>
        </w:rPr>
      </w:pPr>
    </w:p>
    <w:sectPr>
      <w:headerReference r:id="rId5" w:type="default"/>
      <w:footerReference r:id="rId6" w:type="default"/>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长城仿宋">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B1297">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CB29B2D">
                          <w:pPr>
                            <w:pStyle w:val="9"/>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CB29B2D">
                    <w:pPr>
                      <w:pStyle w:val="9"/>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D3487">
    <w:pPr>
      <w:widowControl w:val="0"/>
      <w:autoSpaceDE w:val="0"/>
      <w:autoSpaceDN w:val="0"/>
      <w:spacing w:before="0" w:after="0" w:line="14" w:lineRule="auto"/>
      <w:ind w:left="0" w:right="0" w:firstLine="0"/>
      <w:jc w:val="left"/>
      <w:rPr>
        <w:rFonts w:ascii="仿宋" w:hAnsi="仿宋" w:eastAsia="仿宋" w:cs="仿宋"/>
        <w:sz w:val="20"/>
        <w:szCs w:val="24"/>
        <w:lang w:val="en-US" w:eastAsia="en-US"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F6EC4"/>
    <w:multiLevelType w:val="singleLevel"/>
    <w:tmpl w:val="837F6EC4"/>
    <w:lvl w:ilvl="0" w:tentative="0">
      <w:start w:val="1"/>
      <w:numFmt w:val="chineseCounting"/>
      <w:suff w:val="nothing"/>
      <w:lvlText w:val="%1、"/>
      <w:lvlJc w:val="left"/>
      <w:pPr>
        <w:ind w:left="0" w:firstLine="420"/>
      </w:pPr>
      <w:rPr>
        <w:rFonts w:hint="eastAsia"/>
      </w:rPr>
    </w:lvl>
  </w:abstractNum>
  <w:abstractNum w:abstractNumId="1">
    <w:nsid w:val="983308C4"/>
    <w:multiLevelType w:val="multilevel"/>
    <w:tmpl w:val="983308C4"/>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2">
    <w:nsid w:val="A589ECE5"/>
    <w:multiLevelType w:val="singleLevel"/>
    <w:tmpl w:val="A589ECE5"/>
    <w:lvl w:ilvl="0" w:tentative="0">
      <w:start w:val="1"/>
      <w:numFmt w:val="chineseCounting"/>
      <w:suff w:val="nothing"/>
      <w:lvlText w:val="（%1）"/>
      <w:lvlJc w:val="left"/>
      <w:pPr>
        <w:ind w:left="0" w:firstLine="420"/>
      </w:pPr>
      <w:rPr>
        <w:rFonts w:hint="eastAsia"/>
        <w:b/>
        <w:bCs/>
      </w:rPr>
    </w:lvl>
  </w:abstractNum>
  <w:abstractNum w:abstractNumId="3">
    <w:nsid w:val="CB454C8C"/>
    <w:multiLevelType w:val="singleLevel"/>
    <w:tmpl w:val="CB454C8C"/>
    <w:lvl w:ilvl="0" w:tentative="0">
      <w:start w:val="1"/>
      <w:numFmt w:val="decimal"/>
      <w:suff w:val="nothing"/>
      <w:lvlText w:val="%1．"/>
      <w:lvlJc w:val="left"/>
      <w:pPr>
        <w:ind w:left="0" w:firstLine="400"/>
      </w:pPr>
      <w:rPr>
        <w:rFonts w:hint="default"/>
      </w:rPr>
    </w:lvl>
  </w:abstractNum>
  <w:abstractNum w:abstractNumId="4">
    <w:nsid w:val="DDB08846"/>
    <w:multiLevelType w:val="singleLevel"/>
    <w:tmpl w:val="DDB08846"/>
    <w:lvl w:ilvl="0" w:tentative="0">
      <w:start w:val="1"/>
      <w:numFmt w:val="decimal"/>
      <w:suff w:val="nothing"/>
      <w:lvlText w:val="%1．"/>
      <w:lvlJc w:val="left"/>
      <w:pPr>
        <w:ind w:left="0" w:firstLine="400"/>
      </w:pPr>
      <w:rPr>
        <w:rFonts w:hint="default"/>
      </w:rPr>
    </w:lvl>
  </w:abstractNum>
  <w:abstractNum w:abstractNumId="5">
    <w:nsid w:val="E9EB8D5B"/>
    <w:multiLevelType w:val="singleLevel"/>
    <w:tmpl w:val="E9EB8D5B"/>
    <w:lvl w:ilvl="0" w:tentative="0">
      <w:start w:val="1"/>
      <w:numFmt w:val="decimal"/>
      <w:suff w:val="nothing"/>
      <w:lvlText w:val="%1．"/>
      <w:lvlJc w:val="left"/>
      <w:pPr>
        <w:ind w:left="0" w:firstLine="400"/>
      </w:pPr>
      <w:rPr>
        <w:rFonts w:hint="default"/>
      </w:rPr>
    </w:lvl>
  </w:abstractNum>
  <w:abstractNum w:abstractNumId="6">
    <w:nsid w:val="FA61611C"/>
    <w:multiLevelType w:val="singleLevel"/>
    <w:tmpl w:val="FA61611C"/>
    <w:lvl w:ilvl="0" w:tentative="0">
      <w:start w:val="1"/>
      <w:numFmt w:val="decimal"/>
      <w:suff w:val="nothing"/>
      <w:lvlText w:val="%1．"/>
      <w:lvlJc w:val="left"/>
      <w:pPr>
        <w:ind w:left="0" w:firstLine="400"/>
      </w:pPr>
      <w:rPr>
        <w:rFonts w:hint="default"/>
      </w:rPr>
    </w:lvl>
  </w:abstractNum>
  <w:abstractNum w:abstractNumId="7">
    <w:nsid w:val="0000000F"/>
    <w:multiLevelType w:val="singleLevel"/>
    <w:tmpl w:val="0000000F"/>
    <w:lvl w:ilvl="0" w:tentative="0">
      <w:start w:val="2"/>
      <w:numFmt w:val="chineseCounting"/>
      <w:suff w:val="nothing"/>
      <w:lvlText w:val="%1、"/>
      <w:lvlJc w:val="left"/>
      <w:rPr>
        <w:rFonts w:hint="eastAsia"/>
      </w:rPr>
    </w:lvl>
  </w:abstractNum>
  <w:abstractNum w:abstractNumId="8">
    <w:nsid w:val="0E61FFD0"/>
    <w:multiLevelType w:val="singleLevel"/>
    <w:tmpl w:val="0E61FFD0"/>
    <w:lvl w:ilvl="0" w:tentative="0">
      <w:start w:val="1"/>
      <w:numFmt w:val="decimal"/>
      <w:suff w:val="nothing"/>
      <w:lvlText w:val="%1．"/>
      <w:lvlJc w:val="left"/>
      <w:pPr>
        <w:ind w:left="0" w:firstLine="400"/>
      </w:pPr>
      <w:rPr>
        <w:rFonts w:hint="default"/>
      </w:rPr>
    </w:lvl>
  </w:abstractNum>
  <w:abstractNum w:abstractNumId="9">
    <w:nsid w:val="1B9B557A"/>
    <w:multiLevelType w:val="singleLevel"/>
    <w:tmpl w:val="1B9B557A"/>
    <w:lvl w:ilvl="0" w:tentative="0">
      <w:start w:val="1"/>
      <w:numFmt w:val="decimal"/>
      <w:suff w:val="nothing"/>
      <w:lvlText w:val="%1．"/>
      <w:lvlJc w:val="left"/>
      <w:pPr>
        <w:ind w:left="0" w:firstLine="400"/>
      </w:pPr>
      <w:rPr>
        <w:rFonts w:hint="default"/>
      </w:rPr>
    </w:lvl>
  </w:abstractNum>
  <w:abstractNum w:abstractNumId="10">
    <w:nsid w:val="22C96C56"/>
    <w:multiLevelType w:val="singleLevel"/>
    <w:tmpl w:val="22C96C56"/>
    <w:lvl w:ilvl="0" w:tentative="0">
      <w:start w:val="1"/>
      <w:numFmt w:val="decimal"/>
      <w:suff w:val="nothing"/>
      <w:lvlText w:val="%1．"/>
      <w:lvlJc w:val="left"/>
      <w:pPr>
        <w:ind w:left="0" w:firstLine="400"/>
      </w:pPr>
      <w:rPr>
        <w:rFonts w:hint="default"/>
      </w:rPr>
    </w:lvl>
  </w:abstractNum>
  <w:abstractNum w:abstractNumId="11">
    <w:nsid w:val="29C0E25B"/>
    <w:multiLevelType w:val="singleLevel"/>
    <w:tmpl w:val="29C0E25B"/>
    <w:lvl w:ilvl="0" w:tentative="0">
      <w:start w:val="1"/>
      <w:numFmt w:val="decimal"/>
      <w:suff w:val="nothing"/>
      <w:lvlText w:val="%1．"/>
      <w:lvlJc w:val="left"/>
      <w:pPr>
        <w:ind w:left="0" w:firstLine="400"/>
      </w:pPr>
      <w:rPr>
        <w:rFonts w:hint="default"/>
      </w:rPr>
    </w:lvl>
  </w:abstractNum>
  <w:abstractNum w:abstractNumId="12">
    <w:nsid w:val="454244D2"/>
    <w:multiLevelType w:val="multilevel"/>
    <w:tmpl w:val="454244D2"/>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3">
    <w:nsid w:val="49A8936B"/>
    <w:multiLevelType w:val="singleLevel"/>
    <w:tmpl w:val="49A8936B"/>
    <w:lvl w:ilvl="0" w:tentative="0">
      <w:start w:val="1"/>
      <w:numFmt w:val="decimal"/>
      <w:suff w:val="nothing"/>
      <w:lvlText w:val="%1．"/>
      <w:lvlJc w:val="left"/>
      <w:pPr>
        <w:ind w:left="0" w:firstLine="400"/>
      </w:pPr>
      <w:rPr>
        <w:rFonts w:hint="default"/>
      </w:rPr>
    </w:lvl>
  </w:abstractNum>
  <w:abstractNum w:abstractNumId="14">
    <w:nsid w:val="51345040"/>
    <w:multiLevelType w:val="singleLevel"/>
    <w:tmpl w:val="51345040"/>
    <w:lvl w:ilvl="0" w:tentative="0">
      <w:start w:val="1"/>
      <w:numFmt w:val="decimal"/>
      <w:suff w:val="nothing"/>
      <w:lvlText w:val="%1．"/>
      <w:lvlJc w:val="left"/>
      <w:pPr>
        <w:ind w:left="0" w:firstLine="400"/>
      </w:pPr>
      <w:rPr>
        <w:rFonts w:hint="default"/>
      </w:rPr>
    </w:lvl>
  </w:abstractNum>
  <w:abstractNum w:abstractNumId="15">
    <w:nsid w:val="6AEDEC95"/>
    <w:multiLevelType w:val="singleLevel"/>
    <w:tmpl w:val="6AEDEC95"/>
    <w:lvl w:ilvl="0" w:tentative="0">
      <w:start w:val="1"/>
      <w:numFmt w:val="decimal"/>
      <w:suff w:val="nothing"/>
      <w:lvlText w:val="%1．"/>
      <w:lvlJc w:val="left"/>
      <w:pPr>
        <w:ind w:left="0" w:firstLine="400"/>
      </w:pPr>
      <w:rPr>
        <w:rFonts w:hint="default"/>
      </w:rPr>
    </w:lvl>
  </w:abstractNum>
  <w:abstractNum w:abstractNumId="16">
    <w:nsid w:val="6D0BFE06"/>
    <w:multiLevelType w:val="singleLevel"/>
    <w:tmpl w:val="6D0BFE06"/>
    <w:lvl w:ilvl="0" w:tentative="0">
      <w:start w:val="1"/>
      <w:numFmt w:val="decimal"/>
      <w:suff w:val="nothing"/>
      <w:lvlText w:val="%1．"/>
      <w:lvlJc w:val="left"/>
      <w:pPr>
        <w:ind w:left="0" w:firstLine="400"/>
      </w:pPr>
      <w:rPr>
        <w:rFonts w:hint="default"/>
      </w:rPr>
    </w:lvl>
  </w:abstractNum>
  <w:num w:numId="1">
    <w:abstractNumId w:val="9"/>
  </w:num>
  <w:num w:numId="2">
    <w:abstractNumId w:val="7"/>
  </w:num>
  <w:num w:numId="3">
    <w:abstractNumId w:val="6"/>
  </w:num>
  <w:num w:numId="4">
    <w:abstractNumId w:val="13"/>
  </w:num>
  <w:num w:numId="5">
    <w:abstractNumId w:val="0"/>
  </w:num>
  <w:num w:numId="6">
    <w:abstractNumId w:val="2"/>
  </w:num>
  <w:num w:numId="7">
    <w:abstractNumId w:val="8"/>
  </w:num>
  <w:num w:numId="8">
    <w:abstractNumId w:val="1"/>
  </w:num>
  <w:num w:numId="9">
    <w:abstractNumId w:val="4"/>
  </w:num>
  <w:num w:numId="10">
    <w:abstractNumId w:val="5"/>
  </w:num>
  <w:num w:numId="11">
    <w:abstractNumId w:val="14"/>
  </w:num>
  <w:num w:numId="12">
    <w:abstractNumId w:val="15"/>
  </w:num>
  <w:num w:numId="13">
    <w:abstractNumId w:val="10"/>
  </w:num>
  <w:num w:numId="14">
    <w:abstractNumId w:val="16"/>
  </w:num>
  <w:num w:numId="15">
    <w:abstractNumId w:val="11"/>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4YjMzY2Y3NjdjMGM1NDJiYjI1MGE2MWEyNTVkNTYifQ=="/>
  </w:docVars>
  <w:rsids>
    <w:rsidRoot w:val="4FFC5FA2"/>
    <w:rsid w:val="000624C6"/>
    <w:rsid w:val="001C35EF"/>
    <w:rsid w:val="006105BC"/>
    <w:rsid w:val="006A471C"/>
    <w:rsid w:val="00A23411"/>
    <w:rsid w:val="00C528DB"/>
    <w:rsid w:val="025A2061"/>
    <w:rsid w:val="031B4DDD"/>
    <w:rsid w:val="04AE52AA"/>
    <w:rsid w:val="04F835A0"/>
    <w:rsid w:val="05C30855"/>
    <w:rsid w:val="066639D5"/>
    <w:rsid w:val="07207949"/>
    <w:rsid w:val="08B6005B"/>
    <w:rsid w:val="0A9462CC"/>
    <w:rsid w:val="0AF34F6D"/>
    <w:rsid w:val="0CB734F0"/>
    <w:rsid w:val="0D3B1DA2"/>
    <w:rsid w:val="0FC87C7C"/>
    <w:rsid w:val="109F26E4"/>
    <w:rsid w:val="10AC6067"/>
    <w:rsid w:val="13C045D3"/>
    <w:rsid w:val="14182B26"/>
    <w:rsid w:val="14E07226"/>
    <w:rsid w:val="154E4416"/>
    <w:rsid w:val="15D4449F"/>
    <w:rsid w:val="168B310E"/>
    <w:rsid w:val="16C86822"/>
    <w:rsid w:val="18823C45"/>
    <w:rsid w:val="1AB64061"/>
    <w:rsid w:val="1D390E43"/>
    <w:rsid w:val="1E7239A4"/>
    <w:rsid w:val="1E7D169F"/>
    <w:rsid w:val="1F2E7B6B"/>
    <w:rsid w:val="20DB2F52"/>
    <w:rsid w:val="222A68A6"/>
    <w:rsid w:val="228C6B97"/>
    <w:rsid w:val="22D737D5"/>
    <w:rsid w:val="25F37AAF"/>
    <w:rsid w:val="26180E7B"/>
    <w:rsid w:val="27611031"/>
    <w:rsid w:val="297827B3"/>
    <w:rsid w:val="29ED6FF1"/>
    <w:rsid w:val="2A2848D8"/>
    <w:rsid w:val="2B3D2467"/>
    <w:rsid w:val="2B5014F4"/>
    <w:rsid w:val="2D283624"/>
    <w:rsid w:val="2F4B1AAD"/>
    <w:rsid w:val="2F5939CF"/>
    <w:rsid w:val="2FC041FF"/>
    <w:rsid w:val="3001707A"/>
    <w:rsid w:val="3215472C"/>
    <w:rsid w:val="32AD00B9"/>
    <w:rsid w:val="34023489"/>
    <w:rsid w:val="342015F4"/>
    <w:rsid w:val="34815751"/>
    <w:rsid w:val="34DA0B05"/>
    <w:rsid w:val="35400969"/>
    <w:rsid w:val="36BC2F59"/>
    <w:rsid w:val="370B0B2C"/>
    <w:rsid w:val="39FD4282"/>
    <w:rsid w:val="3AF109F6"/>
    <w:rsid w:val="3B4A6275"/>
    <w:rsid w:val="3B915A92"/>
    <w:rsid w:val="3BDB4DF3"/>
    <w:rsid w:val="3C5519F5"/>
    <w:rsid w:val="3C9A6F62"/>
    <w:rsid w:val="3E0233F7"/>
    <w:rsid w:val="3E447E5D"/>
    <w:rsid w:val="3EAE6B73"/>
    <w:rsid w:val="4010416E"/>
    <w:rsid w:val="41072269"/>
    <w:rsid w:val="41815592"/>
    <w:rsid w:val="420B225C"/>
    <w:rsid w:val="42BE4C61"/>
    <w:rsid w:val="4811248E"/>
    <w:rsid w:val="48E61E4B"/>
    <w:rsid w:val="49260284"/>
    <w:rsid w:val="4A086EB1"/>
    <w:rsid w:val="4A1C3C31"/>
    <w:rsid w:val="4B0C22F0"/>
    <w:rsid w:val="4B1E5CB5"/>
    <w:rsid w:val="4EE203B7"/>
    <w:rsid w:val="4FFC5FA2"/>
    <w:rsid w:val="523B17BE"/>
    <w:rsid w:val="53460CB6"/>
    <w:rsid w:val="55702D24"/>
    <w:rsid w:val="56FA2A30"/>
    <w:rsid w:val="57261B7A"/>
    <w:rsid w:val="588765D6"/>
    <w:rsid w:val="5B285746"/>
    <w:rsid w:val="5B9D1491"/>
    <w:rsid w:val="60497436"/>
    <w:rsid w:val="608E2BDB"/>
    <w:rsid w:val="60ED780A"/>
    <w:rsid w:val="62355AF7"/>
    <w:rsid w:val="62EA2ED9"/>
    <w:rsid w:val="65F84494"/>
    <w:rsid w:val="691D3680"/>
    <w:rsid w:val="6B0A1DE2"/>
    <w:rsid w:val="6B4F2B0B"/>
    <w:rsid w:val="6C961AED"/>
    <w:rsid w:val="6CDB5633"/>
    <w:rsid w:val="70866F42"/>
    <w:rsid w:val="732F06EC"/>
    <w:rsid w:val="78802372"/>
    <w:rsid w:val="7A2B0238"/>
    <w:rsid w:val="7B086181"/>
    <w:rsid w:val="7BB865F7"/>
    <w:rsid w:val="7CD56FFA"/>
    <w:rsid w:val="7D34021E"/>
    <w:rsid w:val="7DFF2EA4"/>
    <w:rsid w:val="7E0711FA"/>
    <w:rsid w:val="7E0A2AE6"/>
    <w:rsid w:val="7F170FBC"/>
    <w:rsid w:val="7F46351C"/>
    <w:rsid w:val="7FD74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ind w:firstLine="720" w:firstLineChars="200"/>
      <w:jc w:val="both"/>
    </w:pPr>
    <w:rPr>
      <w:rFonts w:eastAsia="宋体" w:asciiTheme="minorAscii" w:hAnsiTheme="minorAscii" w:cstheme="minorBidi"/>
      <w:kern w:val="2"/>
      <w:sz w:val="24"/>
      <w:szCs w:val="24"/>
      <w:lang w:val="en-US" w:eastAsia="zh-CN" w:bidi="ar-SA"/>
    </w:rPr>
  </w:style>
  <w:style w:type="paragraph" w:styleId="3">
    <w:name w:val="heading 3"/>
    <w:basedOn w:val="1"/>
    <w:next w:val="1"/>
    <w:qFormat/>
    <w:uiPriority w:val="0"/>
    <w:pPr>
      <w:keepNext/>
      <w:keepLines/>
      <w:spacing w:before="260" w:after="260" w:line="416" w:lineRule="auto"/>
      <w:outlineLvl w:val="2"/>
    </w:pPr>
    <w:rPr>
      <w:b/>
      <w:bCs/>
      <w:kern w:val="0"/>
      <w:sz w:val="32"/>
      <w:szCs w:val="32"/>
    </w:rPr>
  </w:style>
  <w:style w:type="paragraph" w:styleId="4">
    <w:name w:val="heading 4"/>
    <w:basedOn w:val="1"/>
    <w:next w:val="1"/>
    <w:qFormat/>
    <w:uiPriority w:val="0"/>
    <w:pPr>
      <w:keepNext/>
      <w:keepLines/>
      <w:spacing w:before="280" w:after="290" w:line="374" w:lineRule="auto"/>
      <w:outlineLvl w:val="3"/>
    </w:pPr>
    <w:rPr>
      <w:rFonts w:ascii="Arial" w:hAnsi="Arial" w:eastAsia="黑体"/>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szCs w:val="20"/>
    </w:rPr>
  </w:style>
  <w:style w:type="paragraph" w:styleId="5">
    <w:name w:val="Normal Indent"/>
    <w:basedOn w:val="1"/>
    <w:qFormat/>
    <w:uiPriority w:val="0"/>
    <w:pPr>
      <w:adjustRightInd w:val="0"/>
      <w:spacing w:line="360" w:lineRule="atLeast"/>
      <w:ind w:firstLine="420"/>
      <w:jc w:val="left"/>
      <w:textAlignment w:val="baseline"/>
    </w:pPr>
    <w:rPr>
      <w:kern w:val="0"/>
      <w:sz w:val="24"/>
    </w:rPr>
  </w:style>
  <w:style w:type="paragraph" w:styleId="6">
    <w:name w:val="annotation text"/>
    <w:basedOn w:val="1"/>
    <w:qFormat/>
    <w:uiPriority w:val="0"/>
    <w:pPr>
      <w:jc w:val="left"/>
    </w:pPr>
  </w:style>
  <w:style w:type="paragraph" w:styleId="7">
    <w:name w:val="Body Text Indent"/>
    <w:basedOn w:val="1"/>
    <w:qFormat/>
    <w:uiPriority w:val="0"/>
    <w:pPr>
      <w:spacing w:line="560" w:lineRule="exact"/>
      <w:ind w:left="300"/>
    </w:pPr>
    <w:rPr>
      <w:sz w:val="24"/>
    </w:rPr>
  </w:style>
  <w:style w:type="paragraph" w:styleId="8">
    <w:name w:val="Plain Text"/>
    <w:basedOn w:val="1"/>
    <w:next w:val="1"/>
    <w:qFormat/>
    <w:uiPriority w:val="0"/>
    <w:rPr>
      <w:rFonts w:ascii="宋体" w:hAnsi="Courier New"/>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99"/>
    <w:pPr>
      <w:spacing w:beforeAutospacing="1" w:afterAutospacing="1"/>
      <w:jc w:val="left"/>
    </w:pPr>
    <w:rPr>
      <w:rFonts w:cs="Times New Roman"/>
      <w:kern w:val="0"/>
      <w:sz w:val="24"/>
    </w:rPr>
  </w:style>
  <w:style w:type="paragraph" w:styleId="12">
    <w:name w:val="Body Text First Indent 2"/>
    <w:basedOn w:val="7"/>
    <w:next w:val="1"/>
    <w:qFormat/>
    <w:uiPriority w:val="0"/>
    <w:pPr>
      <w:ind w:firstLine="420" w:firstLineChars="200"/>
    </w:pPr>
    <w:rPr>
      <w:sz w:val="21"/>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basedOn w:val="15"/>
    <w:qFormat/>
    <w:uiPriority w:val="99"/>
    <w:rPr>
      <w:sz w:val="21"/>
      <w:szCs w:val="21"/>
    </w:rPr>
  </w:style>
  <w:style w:type="paragraph" w:styleId="17">
    <w:name w:val="List Paragraph"/>
    <w:basedOn w:val="1"/>
    <w:qFormat/>
    <w:uiPriority w:val="0"/>
    <w:pPr>
      <w:ind w:firstLine="420" w:firstLineChars="200"/>
    </w:pPr>
    <w:rPr>
      <w:rFonts w:ascii="Times New Roman" w:hAnsi="Times New Roman" w:eastAsia="宋体" w:cs="Times New Roman"/>
      <w:szCs w:val="20"/>
    </w:rPr>
  </w:style>
  <w:style w:type="paragraph" w:customStyle="1" w:styleId="18">
    <w:name w:val="文档正文"/>
    <w:basedOn w:val="1"/>
    <w:qFormat/>
    <w:uiPriority w:val="0"/>
    <w:pPr>
      <w:adjustRightInd w:val="0"/>
      <w:spacing w:line="480" w:lineRule="atLeast"/>
      <w:ind w:firstLine="567" w:firstLineChars="200"/>
      <w:textAlignment w:val="baseline"/>
    </w:pPr>
    <w:rPr>
      <w:rFonts w:ascii="长城仿宋" w:hAnsi="Times New Roman" w:eastAsia="宋体" w:cs="Times New Roman"/>
      <w:kern w:val="0"/>
      <w:szCs w:val="20"/>
    </w:rPr>
  </w:style>
  <w:style w:type="paragraph" w:customStyle="1" w:styleId="1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0">
    <w:name w:val="列出段落1"/>
    <w:basedOn w:val="1"/>
    <w:qFormat/>
    <w:uiPriority w:val="0"/>
    <w:pPr>
      <w:ind w:firstLine="420" w:firstLineChars="200"/>
    </w:pPr>
    <w:rPr>
      <w:rFonts w:ascii="Times New Roman" w:hAnsi="Times New Roman" w:eastAsia="宋体" w:cs="Times New Roman"/>
    </w:rPr>
  </w:style>
  <w:style w:type="paragraph" w:customStyle="1" w:styleId="21">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paragraph" w:styleId="22">
    <w:name w:val="No Spacing"/>
    <w:qFormat/>
    <w:uiPriority w:val="1"/>
    <w:pPr>
      <w:widowControl w:val="0"/>
      <w:jc w:val="both"/>
    </w:pPr>
    <w:rPr>
      <w:rFonts w:asciiTheme="minorHAnsi" w:hAnsiTheme="minorHAnsi" w:eastAsiaTheme="minorEastAsia" w:cstheme="minorBidi"/>
      <w:kern w:val="2"/>
      <w:sz w:val="24"/>
      <w:szCs w:val="22"/>
      <w:lang w:val="en-US" w:eastAsia="zh-CN" w:bidi="ar-SA"/>
    </w:rPr>
  </w:style>
  <w:style w:type="paragraph" w:customStyle="1" w:styleId="23">
    <w:name w:val="表格文字"/>
    <w:basedOn w:val="1"/>
    <w:qFormat/>
    <w:uiPriority w:val="0"/>
    <w:pPr>
      <w:spacing w:before="25" w:after="25"/>
      <w:jc w:val="left"/>
    </w:pPr>
    <w:rPr>
      <w:bCs/>
      <w:spacing w:val="10"/>
      <w:kern w:val="0"/>
      <w:sz w:val="24"/>
      <w:szCs w:val="20"/>
    </w:rPr>
  </w:style>
  <w:style w:type="character" w:customStyle="1" w:styleId="24">
    <w:name w:val="font81"/>
    <w:basedOn w:val="15"/>
    <w:qFormat/>
    <w:uiPriority w:val="0"/>
    <w:rPr>
      <w:rFonts w:ascii="Arial" w:hAnsi="Arial" w:cs="Arial"/>
      <w:b/>
      <w:bCs/>
      <w:color w:val="000000"/>
      <w:sz w:val="20"/>
      <w:szCs w:val="20"/>
      <w:u w:val="none"/>
    </w:rPr>
  </w:style>
  <w:style w:type="character" w:customStyle="1" w:styleId="25">
    <w:name w:val="font51"/>
    <w:basedOn w:val="15"/>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5275</Words>
  <Characters>5376</Characters>
  <Lines>55</Lines>
  <Paragraphs>15</Paragraphs>
  <TotalTime>358</TotalTime>
  <ScaleCrop>false</ScaleCrop>
  <LinksUpToDate>false</LinksUpToDate>
  <CharactersWithSpaces>5382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2019-11-07T01:08:00Z</dcterms:created>
  <dc:creator>yc</dc:creator>
  <cp:lastModifiedBy>阿龙</cp:lastModifiedBy>
  <cp:lastPrinted>2025-10-21T03:18:28Z</cp:lastPrinted>
  <dcterms:modified xsi:type="dcterms:W3CDTF">2025-10-21T07:13:56Z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5EFAC2A12FE542E3A3D415DC942B06F7_13</vt:lpwstr>
  </property>
  <property fmtid="{D5CDD505-2E9C-101B-9397-08002B2CF9AE}" pid="4" name="KSOTemplateDocerSaveRecord">
    <vt:lpwstr>eyJoZGlkIjoiNGI4YjMzY2Y3NjdjMGM1NDJiYjI1MGE2MWEyNTVkNTYiLCJ1c2VySWQiOiI1MTY5NDI1NjIifQ==</vt:lpwstr>
  </property>
</Properties>
</file>