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4888" w:type="pct"/>
        <w:tblInd w:w="493" w:type="dxa"/>
        <w:tblLayout w:type="autofit"/>
        <w:tblCellMar>
          <w:top w:w="0" w:type="dxa"/>
          <w:left w:w="108" w:type="dxa"/>
          <w:bottom w:w="0" w:type="dxa"/>
          <w:right w:w="108" w:type="dxa"/>
        </w:tblCellMar>
      </w:tblPr>
      <w:tblGrid>
        <w:gridCol w:w="679"/>
        <w:gridCol w:w="2319"/>
        <w:gridCol w:w="3575"/>
        <w:gridCol w:w="2085"/>
      </w:tblGrid>
      <w:tr w14:paraId="20121B5C">
        <w:tblPrEx>
          <w:tblCellMar>
            <w:top w:w="0" w:type="dxa"/>
            <w:left w:w="108" w:type="dxa"/>
            <w:bottom w:w="0" w:type="dxa"/>
            <w:right w:w="108" w:type="dxa"/>
          </w:tblCellMar>
        </w:tblPrEx>
        <w:trPr>
          <w:trHeight w:val="612"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93A8B58">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58</w:t>
            </w:r>
            <w:r>
              <w:rPr>
                <w:rFonts w:hint="eastAsia" w:eastAsia="宋体"/>
                <w:b/>
                <w:color w:val="000000"/>
                <w:sz w:val="30"/>
                <w:szCs w:val="30"/>
              </w:rPr>
              <w:t>期医用耗材</w:t>
            </w:r>
          </w:p>
        </w:tc>
      </w:tr>
      <w:tr w14:paraId="3C3781CA">
        <w:tblPrEx>
          <w:tblCellMar>
            <w:top w:w="0" w:type="dxa"/>
            <w:left w:w="108" w:type="dxa"/>
            <w:bottom w:w="0" w:type="dxa"/>
            <w:right w:w="108" w:type="dxa"/>
          </w:tblCellMar>
        </w:tblPrEx>
        <w:trPr>
          <w:trHeight w:val="353" w:hRule="atLeast"/>
        </w:trPr>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jc w:val="center"/>
              <w:rPr>
                <w:rFonts w:hint="eastAsia" w:eastAsia="宋体"/>
                <w:color w:val="000000"/>
                <w:sz w:val="22"/>
              </w:rPr>
            </w:pPr>
            <w:r>
              <w:rPr>
                <w:rFonts w:hint="eastAsia" w:eastAsia="宋体"/>
                <w:color w:val="000000"/>
                <w:sz w:val="22"/>
              </w:rPr>
              <w:t>序号</w:t>
            </w:r>
          </w:p>
        </w:tc>
        <w:tc>
          <w:tcPr>
            <w:tcW w:w="1302"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hint="eastAsia" w:eastAsia="宋体"/>
                <w:color w:val="000000"/>
                <w:sz w:val="22"/>
              </w:rPr>
            </w:pPr>
            <w:r>
              <w:rPr>
                <w:rFonts w:hint="eastAsia" w:eastAsia="宋体"/>
                <w:color w:val="000000"/>
                <w:sz w:val="22"/>
              </w:rPr>
              <w:t>项目编号</w:t>
            </w:r>
          </w:p>
        </w:tc>
        <w:tc>
          <w:tcPr>
            <w:tcW w:w="2077"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hint="eastAsia" w:eastAsia="宋体"/>
                <w:color w:val="000000"/>
                <w:sz w:val="22"/>
              </w:rPr>
            </w:pPr>
            <w:r>
              <w:rPr>
                <w:rFonts w:hint="eastAsia" w:eastAsia="宋体"/>
                <w:color w:val="000000"/>
                <w:sz w:val="22"/>
              </w:rPr>
              <w:t>项目名称</w:t>
            </w:r>
          </w:p>
        </w:tc>
        <w:tc>
          <w:tcPr>
            <w:tcW w:w="1215" w:type="pct"/>
            <w:tcBorders>
              <w:top w:val="single" w:color="auto" w:sz="4" w:space="0"/>
              <w:left w:val="nil"/>
              <w:bottom w:val="single" w:color="auto" w:sz="4" w:space="0"/>
              <w:right w:val="single" w:color="auto" w:sz="4" w:space="0"/>
            </w:tcBorders>
            <w:shd w:val="clear" w:color="auto" w:fill="auto"/>
            <w:vAlign w:val="center"/>
          </w:tcPr>
          <w:p w14:paraId="6B98B7A1">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使用科室</w:t>
            </w:r>
          </w:p>
        </w:tc>
      </w:tr>
      <w:tr w14:paraId="663D8EF0">
        <w:tblPrEx>
          <w:tblCellMar>
            <w:top w:w="0" w:type="dxa"/>
            <w:left w:w="108" w:type="dxa"/>
            <w:bottom w:w="0" w:type="dxa"/>
            <w:right w:w="108" w:type="dxa"/>
          </w:tblCellMar>
        </w:tblPrEx>
        <w:trPr>
          <w:trHeight w:val="696" w:hRule="atLeast"/>
        </w:trPr>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jc w:val="center"/>
              <w:rPr>
                <w:rFonts w:hint="eastAsia" w:eastAsia="宋体"/>
                <w:color w:val="000000"/>
                <w:sz w:val="22"/>
              </w:rPr>
            </w:pPr>
            <w:r>
              <w:rPr>
                <w:rFonts w:hint="eastAsia" w:eastAsia="宋体"/>
                <w:color w:val="000000"/>
                <w:sz w:val="22"/>
              </w:rPr>
              <w:t>1</w:t>
            </w:r>
          </w:p>
        </w:tc>
        <w:tc>
          <w:tcPr>
            <w:tcW w:w="2255" w:type="dxa"/>
            <w:tcBorders>
              <w:top w:val="single" w:color="auto" w:sz="4" w:space="0"/>
              <w:left w:val="nil"/>
              <w:bottom w:val="single" w:color="auto" w:sz="4" w:space="0"/>
              <w:right w:val="single" w:color="auto" w:sz="4" w:space="0"/>
            </w:tcBorders>
            <w:shd w:val="clear" w:color="auto" w:fill="auto"/>
            <w:vAlign w:val="center"/>
          </w:tcPr>
          <w:p w14:paraId="4A26AC75">
            <w:pPr>
              <w:keepNext w:val="0"/>
              <w:keepLines w:val="0"/>
              <w:widowControl/>
              <w:suppressLineNumbers w:val="0"/>
              <w:jc w:val="center"/>
              <w:textAlignment w:val="center"/>
              <w:rPr>
                <w:rFonts w:hint="default" w:eastAsia="宋体"/>
                <w:color w:val="000000"/>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ZCB2025-HC58-238</w:t>
            </w:r>
          </w:p>
        </w:tc>
        <w:tc>
          <w:tcPr>
            <w:tcW w:w="3597" w:type="dxa"/>
            <w:tcBorders>
              <w:top w:val="single" w:color="auto" w:sz="4" w:space="0"/>
              <w:left w:val="nil"/>
              <w:bottom w:val="single" w:color="auto" w:sz="4" w:space="0"/>
              <w:right w:val="single" w:color="auto" w:sz="4" w:space="0"/>
            </w:tcBorders>
            <w:shd w:val="clear" w:color="auto" w:fill="auto"/>
            <w:vAlign w:val="center"/>
          </w:tcPr>
          <w:p w14:paraId="51A1B16F">
            <w:pPr>
              <w:keepNext w:val="0"/>
              <w:keepLines w:val="0"/>
              <w:widowControl/>
              <w:suppressLineNumbers w:val="0"/>
              <w:jc w:val="center"/>
              <w:textAlignment w:val="center"/>
              <w:rPr>
                <w:rFonts w:hint="eastAsia" w:eastAsia="宋体"/>
                <w:color w:val="000000"/>
                <w:sz w:val="22"/>
              </w:rPr>
            </w:pPr>
            <w:r>
              <w:rPr>
                <w:rFonts w:hint="eastAsia" w:ascii="宋体" w:hAnsi="宋体" w:eastAsia="宋体" w:cs="宋体"/>
                <w:i w:val="0"/>
                <w:iCs w:val="0"/>
                <w:color w:val="000000"/>
                <w:kern w:val="0"/>
                <w:sz w:val="22"/>
                <w:szCs w:val="22"/>
                <w:u w:val="none"/>
                <w:lang w:val="en-US" w:eastAsia="zh-CN" w:bidi="ar"/>
              </w:rPr>
              <w:t>多孔型金属骨植入物</w:t>
            </w:r>
            <w:r>
              <w:rPr>
                <w:rFonts w:hint="default" w:ascii="Times New Roman" w:hAnsi="Times New Roman" w:eastAsia="宋体" w:cs="Times New Roman"/>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椎间融合器、多孔型金属骨植入材料</w:t>
            </w:r>
            <w:r>
              <w:rPr>
                <w:rFonts w:hint="default" w:ascii="Times New Roman" w:hAnsi="Times New Roman" w:eastAsia="宋体" w:cs="Times New Roman"/>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椎体假体</w:t>
            </w:r>
          </w:p>
        </w:tc>
        <w:tc>
          <w:tcPr>
            <w:tcW w:w="2106" w:type="dxa"/>
            <w:tcBorders>
              <w:top w:val="single" w:color="auto" w:sz="4" w:space="0"/>
              <w:left w:val="nil"/>
              <w:bottom w:val="single" w:color="auto" w:sz="4" w:space="0"/>
              <w:right w:val="single" w:color="auto" w:sz="4" w:space="0"/>
            </w:tcBorders>
            <w:shd w:val="clear" w:color="auto" w:fill="auto"/>
            <w:vAlign w:val="center"/>
          </w:tcPr>
          <w:p w14:paraId="7629D61A">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骨科（脊柱外科）</w:t>
            </w:r>
          </w:p>
        </w:tc>
      </w:tr>
      <w:tr w14:paraId="76B6B453">
        <w:tblPrEx>
          <w:tblCellMar>
            <w:top w:w="0" w:type="dxa"/>
            <w:left w:w="108" w:type="dxa"/>
            <w:bottom w:w="0" w:type="dxa"/>
            <w:right w:w="108" w:type="dxa"/>
          </w:tblCellMar>
        </w:tblPrEx>
        <w:trPr>
          <w:trHeight w:val="460" w:hRule="atLeast"/>
        </w:trPr>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jc w:val="center"/>
              <w:rPr>
                <w:rFonts w:hint="eastAsia" w:eastAsia="宋体"/>
                <w:color w:val="000000"/>
                <w:sz w:val="22"/>
              </w:rPr>
            </w:pPr>
            <w:r>
              <w:rPr>
                <w:rFonts w:hint="eastAsia" w:eastAsia="宋体"/>
                <w:color w:val="000000"/>
                <w:sz w:val="22"/>
              </w:rPr>
              <w:t>2</w:t>
            </w:r>
          </w:p>
        </w:tc>
        <w:tc>
          <w:tcPr>
            <w:tcW w:w="2255" w:type="dxa"/>
            <w:tcBorders>
              <w:top w:val="single" w:color="auto" w:sz="4" w:space="0"/>
              <w:left w:val="nil"/>
              <w:bottom w:val="single" w:color="auto" w:sz="4" w:space="0"/>
              <w:right w:val="single" w:color="auto" w:sz="4" w:space="0"/>
            </w:tcBorders>
            <w:shd w:val="clear" w:color="auto" w:fill="auto"/>
            <w:vAlign w:val="center"/>
          </w:tcPr>
          <w:p w14:paraId="4D88D586">
            <w:pPr>
              <w:keepNext w:val="0"/>
              <w:keepLines w:val="0"/>
              <w:widowControl/>
              <w:suppressLineNumbers w:val="0"/>
              <w:jc w:val="center"/>
              <w:textAlignment w:val="center"/>
              <w:rPr>
                <w:rFonts w:hint="default" w:eastAsia="宋体"/>
                <w:color w:val="000000"/>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ZCB2025-HC58-239</w:t>
            </w:r>
          </w:p>
        </w:tc>
        <w:tc>
          <w:tcPr>
            <w:tcW w:w="3597" w:type="dxa"/>
            <w:tcBorders>
              <w:top w:val="single" w:color="auto" w:sz="4" w:space="0"/>
              <w:left w:val="nil"/>
              <w:bottom w:val="single" w:color="auto" w:sz="4" w:space="0"/>
              <w:right w:val="single" w:color="auto" w:sz="4" w:space="0"/>
            </w:tcBorders>
            <w:shd w:val="clear" w:color="auto" w:fill="auto"/>
            <w:vAlign w:val="center"/>
          </w:tcPr>
          <w:p w14:paraId="6AF87F5C">
            <w:pPr>
              <w:keepNext w:val="0"/>
              <w:keepLines w:val="0"/>
              <w:widowControl/>
              <w:suppressLineNumbers w:val="0"/>
              <w:jc w:val="center"/>
              <w:textAlignment w:val="center"/>
              <w:rPr>
                <w:rFonts w:hint="eastAsia" w:eastAsia="宋体"/>
                <w:color w:val="000000"/>
                <w:sz w:val="22"/>
              </w:rPr>
            </w:pPr>
            <w:r>
              <w:rPr>
                <w:rFonts w:hint="eastAsia" w:ascii="宋体" w:hAnsi="宋体" w:eastAsia="宋体" w:cs="宋体"/>
                <w:i w:val="0"/>
                <w:iCs w:val="0"/>
                <w:color w:val="000000"/>
                <w:kern w:val="0"/>
                <w:sz w:val="22"/>
                <w:szCs w:val="22"/>
                <w:u w:val="none"/>
                <w:lang w:val="en-US" w:eastAsia="zh-CN" w:bidi="ar"/>
              </w:rPr>
              <w:t>针形高频电极</w:t>
            </w:r>
          </w:p>
        </w:tc>
        <w:tc>
          <w:tcPr>
            <w:tcW w:w="2106" w:type="dxa"/>
            <w:tcBorders>
              <w:top w:val="single" w:color="auto" w:sz="4" w:space="0"/>
              <w:left w:val="nil"/>
              <w:bottom w:val="single" w:color="auto" w:sz="4" w:space="0"/>
              <w:right w:val="single" w:color="auto" w:sz="4" w:space="0"/>
            </w:tcBorders>
            <w:shd w:val="clear" w:color="auto" w:fill="auto"/>
            <w:vAlign w:val="center"/>
          </w:tcPr>
          <w:p w14:paraId="298A59AF">
            <w:pPr>
              <w:keepNext w:val="0"/>
              <w:keepLines w:val="0"/>
              <w:widowControl/>
              <w:suppressLineNumbers w:val="0"/>
              <w:jc w:val="center"/>
              <w:textAlignment w:val="center"/>
              <w:rPr>
                <w:rFonts w:hint="eastAsia" w:eastAsia="宋体"/>
                <w:color w:val="000000"/>
                <w:sz w:val="22"/>
              </w:rPr>
            </w:pPr>
            <w:r>
              <w:rPr>
                <w:rFonts w:hint="eastAsia" w:ascii="宋体" w:hAnsi="宋体" w:eastAsia="宋体" w:cs="宋体"/>
                <w:i w:val="0"/>
                <w:iCs w:val="0"/>
                <w:color w:val="000000"/>
                <w:kern w:val="0"/>
                <w:sz w:val="22"/>
                <w:szCs w:val="22"/>
                <w:u w:val="none"/>
                <w:lang w:val="en-US" w:eastAsia="zh-CN" w:bidi="ar"/>
              </w:rPr>
              <w:t>骨科（脊柱外科）</w:t>
            </w:r>
          </w:p>
        </w:tc>
      </w:tr>
      <w:tr w14:paraId="399B031C">
        <w:tblPrEx>
          <w:tblCellMar>
            <w:top w:w="0" w:type="dxa"/>
            <w:left w:w="108" w:type="dxa"/>
            <w:bottom w:w="0" w:type="dxa"/>
            <w:right w:w="108" w:type="dxa"/>
          </w:tblCellMar>
        </w:tblPrEx>
        <w:trPr>
          <w:trHeight w:val="541" w:hRule="atLeast"/>
        </w:trPr>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71817B2C">
            <w:pPr>
              <w:jc w:val="center"/>
              <w:rPr>
                <w:rFonts w:hint="eastAsia" w:eastAsia="宋体"/>
                <w:color w:val="000000"/>
                <w:sz w:val="22"/>
                <w:lang w:val="en-US" w:eastAsia="zh-CN"/>
              </w:rPr>
            </w:pPr>
            <w:r>
              <w:rPr>
                <w:rFonts w:hint="eastAsia" w:eastAsia="宋体"/>
                <w:color w:val="000000"/>
                <w:sz w:val="22"/>
                <w:lang w:val="en-US" w:eastAsia="zh-CN"/>
              </w:rPr>
              <w:t>3</w:t>
            </w:r>
          </w:p>
        </w:tc>
        <w:tc>
          <w:tcPr>
            <w:tcW w:w="2255" w:type="dxa"/>
            <w:tcBorders>
              <w:top w:val="single" w:color="auto" w:sz="4" w:space="0"/>
              <w:left w:val="nil"/>
              <w:bottom w:val="single" w:color="auto" w:sz="4" w:space="0"/>
              <w:right w:val="single" w:color="auto" w:sz="4" w:space="0"/>
            </w:tcBorders>
            <w:shd w:val="clear" w:color="auto" w:fill="auto"/>
            <w:vAlign w:val="center"/>
          </w:tcPr>
          <w:p w14:paraId="1CE0497E">
            <w:pPr>
              <w:keepNext w:val="0"/>
              <w:keepLines w:val="0"/>
              <w:widowControl/>
              <w:suppressLineNumbers w:val="0"/>
              <w:jc w:val="center"/>
              <w:textAlignment w:val="center"/>
              <w:rPr>
                <w:rFonts w:hint="eastAsia" w:eastAsia="宋体"/>
                <w:color w:val="000000"/>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ZCB2025-HC58-240</w:t>
            </w:r>
          </w:p>
        </w:tc>
        <w:tc>
          <w:tcPr>
            <w:tcW w:w="3597" w:type="dxa"/>
            <w:tcBorders>
              <w:top w:val="single" w:color="auto" w:sz="4" w:space="0"/>
              <w:left w:val="nil"/>
              <w:bottom w:val="single" w:color="auto" w:sz="4" w:space="0"/>
              <w:right w:val="single" w:color="auto" w:sz="4" w:space="0"/>
            </w:tcBorders>
            <w:shd w:val="clear" w:color="auto" w:fill="auto"/>
            <w:vAlign w:val="center"/>
          </w:tcPr>
          <w:p w14:paraId="6EBDA54E">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可吸收医用膜</w:t>
            </w:r>
          </w:p>
        </w:tc>
        <w:tc>
          <w:tcPr>
            <w:tcW w:w="2106" w:type="dxa"/>
            <w:tcBorders>
              <w:top w:val="single" w:color="auto" w:sz="4" w:space="0"/>
              <w:left w:val="nil"/>
              <w:bottom w:val="single" w:color="auto" w:sz="4" w:space="0"/>
              <w:right w:val="single" w:color="auto" w:sz="4" w:space="0"/>
            </w:tcBorders>
            <w:shd w:val="clear" w:color="auto" w:fill="auto"/>
            <w:vAlign w:val="center"/>
          </w:tcPr>
          <w:p w14:paraId="1379FE5B">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骨科</w:t>
            </w:r>
          </w:p>
        </w:tc>
      </w:tr>
      <w:tr w14:paraId="577765B6">
        <w:tblPrEx>
          <w:tblCellMar>
            <w:top w:w="0" w:type="dxa"/>
            <w:left w:w="108" w:type="dxa"/>
            <w:bottom w:w="0" w:type="dxa"/>
            <w:right w:w="108" w:type="dxa"/>
          </w:tblCellMar>
        </w:tblPrEx>
        <w:trPr>
          <w:trHeight w:val="555" w:hRule="atLeast"/>
        </w:trPr>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683168B6">
            <w:pPr>
              <w:jc w:val="center"/>
              <w:rPr>
                <w:rFonts w:hint="default" w:eastAsia="宋体"/>
                <w:color w:val="000000"/>
                <w:sz w:val="22"/>
                <w:lang w:val="en-US" w:eastAsia="zh-CN"/>
              </w:rPr>
            </w:pPr>
            <w:r>
              <w:rPr>
                <w:rFonts w:hint="eastAsia" w:eastAsia="宋体"/>
                <w:color w:val="000000"/>
                <w:sz w:val="22"/>
                <w:lang w:val="en-US" w:eastAsia="zh-CN"/>
              </w:rPr>
              <w:t>4-1</w:t>
            </w:r>
          </w:p>
        </w:tc>
        <w:tc>
          <w:tcPr>
            <w:tcW w:w="2255" w:type="dxa"/>
            <w:tcBorders>
              <w:top w:val="single" w:color="auto" w:sz="4" w:space="0"/>
              <w:left w:val="nil"/>
              <w:bottom w:val="single" w:color="auto" w:sz="4" w:space="0"/>
              <w:right w:val="single" w:color="auto" w:sz="4" w:space="0"/>
            </w:tcBorders>
            <w:shd w:val="clear" w:color="auto" w:fill="auto"/>
            <w:vAlign w:val="center"/>
          </w:tcPr>
          <w:p w14:paraId="24529C0C">
            <w:pPr>
              <w:keepNext w:val="0"/>
              <w:keepLines w:val="0"/>
              <w:widowControl/>
              <w:suppressLineNumbers w:val="0"/>
              <w:jc w:val="center"/>
              <w:textAlignment w:val="center"/>
              <w:rPr>
                <w:rFonts w:hint="eastAsia" w:eastAsia="宋体"/>
                <w:color w:val="000000"/>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ZCB2025-HC58-241-A</w:t>
            </w:r>
          </w:p>
        </w:tc>
        <w:tc>
          <w:tcPr>
            <w:tcW w:w="3597" w:type="dxa"/>
            <w:tcBorders>
              <w:top w:val="single" w:color="auto" w:sz="4" w:space="0"/>
              <w:left w:val="nil"/>
              <w:bottom w:val="single" w:color="auto" w:sz="4" w:space="0"/>
              <w:right w:val="single" w:color="auto" w:sz="4" w:space="0"/>
            </w:tcBorders>
            <w:shd w:val="clear" w:color="auto" w:fill="auto"/>
            <w:vAlign w:val="center"/>
          </w:tcPr>
          <w:p w14:paraId="4345EC9E">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医用皮肤减张缝合器（一次性使用皮肤缝合器）（A包）</w:t>
            </w:r>
          </w:p>
        </w:tc>
        <w:tc>
          <w:tcPr>
            <w:tcW w:w="2106" w:type="dxa"/>
            <w:tcBorders>
              <w:top w:val="single" w:color="auto" w:sz="4" w:space="0"/>
              <w:left w:val="nil"/>
              <w:bottom w:val="single" w:color="auto" w:sz="4" w:space="0"/>
              <w:right w:val="single" w:color="auto" w:sz="4" w:space="0"/>
            </w:tcBorders>
            <w:shd w:val="clear" w:color="auto" w:fill="auto"/>
            <w:vAlign w:val="center"/>
          </w:tcPr>
          <w:p w14:paraId="798D4FF5">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骨科（创伤骨科）</w:t>
            </w:r>
          </w:p>
        </w:tc>
      </w:tr>
      <w:tr w14:paraId="1E69CD6A">
        <w:tblPrEx>
          <w:tblCellMar>
            <w:top w:w="0" w:type="dxa"/>
            <w:left w:w="108" w:type="dxa"/>
            <w:bottom w:w="0" w:type="dxa"/>
            <w:right w:w="108" w:type="dxa"/>
          </w:tblCellMar>
        </w:tblPrEx>
        <w:trPr>
          <w:trHeight w:val="568" w:hRule="atLeast"/>
        </w:trPr>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2948B20F">
            <w:pPr>
              <w:jc w:val="center"/>
              <w:rPr>
                <w:rFonts w:hint="default" w:eastAsia="宋体"/>
                <w:color w:val="000000"/>
                <w:sz w:val="22"/>
                <w:lang w:val="en-US" w:eastAsia="zh-CN"/>
              </w:rPr>
            </w:pPr>
            <w:r>
              <w:rPr>
                <w:rFonts w:hint="eastAsia" w:eastAsia="宋体"/>
                <w:color w:val="000000"/>
                <w:sz w:val="22"/>
                <w:lang w:val="en-US" w:eastAsia="zh-CN"/>
              </w:rPr>
              <w:t>4-2</w:t>
            </w:r>
          </w:p>
        </w:tc>
        <w:tc>
          <w:tcPr>
            <w:tcW w:w="2255" w:type="dxa"/>
            <w:tcBorders>
              <w:top w:val="single" w:color="auto" w:sz="4" w:space="0"/>
              <w:left w:val="nil"/>
              <w:bottom w:val="single" w:color="auto" w:sz="4" w:space="0"/>
              <w:right w:val="single" w:color="auto" w:sz="4" w:space="0"/>
            </w:tcBorders>
            <w:shd w:val="clear" w:color="auto" w:fill="auto"/>
            <w:vAlign w:val="center"/>
          </w:tcPr>
          <w:p w14:paraId="2D01805D">
            <w:pPr>
              <w:keepNext w:val="0"/>
              <w:keepLines w:val="0"/>
              <w:widowControl/>
              <w:suppressLineNumbers w:val="0"/>
              <w:jc w:val="center"/>
              <w:textAlignment w:val="center"/>
              <w:rPr>
                <w:rFonts w:hint="default" w:eastAsia="宋体"/>
                <w:color w:val="000000"/>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ZCB2025-HC58-241-B</w:t>
            </w:r>
          </w:p>
        </w:tc>
        <w:tc>
          <w:tcPr>
            <w:tcW w:w="3597" w:type="dxa"/>
            <w:tcBorders>
              <w:top w:val="single" w:color="auto" w:sz="4" w:space="0"/>
              <w:left w:val="nil"/>
              <w:bottom w:val="single" w:color="auto" w:sz="4" w:space="0"/>
              <w:right w:val="single" w:color="auto" w:sz="4" w:space="0"/>
            </w:tcBorders>
            <w:shd w:val="clear" w:color="auto" w:fill="auto"/>
            <w:vAlign w:val="center"/>
          </w:tcPr>
          <w:p w14:paraId="5119CDC4">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医用皮肤减张缝合器（一次性使用皮肤缝合器）（B包）</w:t>
            </w:r>
          </w:p>
        </w:tc>
        <w:tc>
          <w:tcPr>
            <w:tcW w:w="2106" w:type="dxa"/>
            <w:tcBorders>
              <w:top w:val="single" w:color="auto" w:sz="4" w:space="0"/>
              <w:left w:val="nil"/>
              <w:bottom w:val="single" w:color="auto" w:sz="4" w:space="0"/>
              <w:right w:val="single" w:color="auto" w:sz="4" w:space="0"/>
            </w:tcBorders>
            <w:shd w:val="clear" w:color="auto" w:fill="auto"/>
            <w:vAlign w:val="center"/>
          </w:tcPr>
          <w:p w14:paraId="26FA915C">
            <w:pPr>
              <w:keepNext w:val="0"/>
              <w:keepLines w:val="0"/>
              <w:widowControl/>
              <w:suppressLineNumbers w:val="0"/>
              <w:jc w:val="center"/>
              <w:textAlignment w:val="center"/>
              <w:rPr>
                <w:rFonts w:hint="eastAsia" w:eastAsia="宋体"/>
                <w:color w:val="000000"/>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急诊科</w:t>
            </w:r>
          </w:p>
        </w:tc>
      </w:tr>
      <w:tr w14:paraId="00EF35C8">
        <w:tblPrEx>
          <w:tblCellMar>
            <w:top w:w="0" w:type="dxa"/>
            <w:left w:w="108" w:type="dxa"/>
            <w:bottom w:w="0" w:type="dxa"/>
            <w:right w:w="108" w:type="dxa"/>
          </w:tblCellMar>
        </w:tblPrEx>
        <w:trPr>
          <w:trHeight w:val="552" w:hRule="atLeast"/>
        </w:trPr>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65665707">
            <w:pPr>
              <w:jc w:val="center"/>
              <w:rPr>
                <w:rFonts w:hint="eastAsia" w:eastAsia="宋体"/>
                <w:color w:val="000000"/>
                <w:sz w:val="22"/>
                <w:lang w:val="en-US" w:eastAsia="zh-CN"/>
              </w:rPr>
            </w:pPr>
            <w:r>
              <w:rPr>
                <w:rFonts w:hint="eastAsia" w:eastAsia="宋体"/>
                <w:color w:val="000000"/>
                <w:sz w:val="22"/>
                <w:lang w:val="en-US" w:eastAsia="zh-CN"/>
              </w:rPr>
              <w:t>5</w:t>
            </w:r>
          </w:p>
        </w:tc>
        <w:tc>
          <w:tcPr>
            <w:tcW w:w="2255" w:type="dxa"/>
            <w:tcBorders>
              <w:top w:val="single" w:color="auto" w:sz="4" w:space="0"/>
              <w:left w:val="nil"/>
              <w:bottom w:val="single" w:color="auto" w:sz="4" w:space="0"/>
              <w:right w:val="single" w:color="auto" w:sz="4" w:space="0"/>
            </w:tcBorders>
            <w:shd w:val="clear" w:color="auto" w:fill="auto"/>
            <w:vAlign w:val="center"/>
          </w:tcPr>
          <w:p w14:paraId="17452CF0">
            <w:pPr>
              <w:keepNext w:val="0"/>
              <w:keepLines w:val="0"/>
              <w:widowControl/>
              <w:suppressLineNumbers w:val="0"/>
              <w:jc w:val="center"/>
              <w:textAlignment w:val="center"/>
              <w:rPr>
                <w:rFonts w:hint="default" w:eastAsia="宋体"/>
                <w:color w:val="000000"/>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ZCB2025-HC58-242</w:t>
            </w:r>
          </w:p>
        </w:tc>
        <w:tc>
          <w:tcPr>
            <w:tcW w:w="3597" w:type="dxa"/>
            <w:tcBorders>
              <w:top w:val="single" w:color="auto" w:sz="4" w:space="0"/>
              <w:left w:val="nil"/>
              <w:bottom w:val="single" w:color="auto" w:sz="4" w:space="0"/>
              <w:right w:val="single" w:color="auto" w:sz="4" w:space="0"/>
            </w:tcBorders>
            <w:shd w:val="clear" w:color="auto" w:fill="auto"/>
            <w:vAlign w:val="center"/>
          </w:tcPr>
          <w:p w14:paraId="2860A0EF">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医用胶液材料</w:t>
            </w:r>
          </w:p>
        </w:tc>
        <w:tc>
          <w:tcPr>
            <w:tcW w:w="2106" w:type="dxa"/>
            <w:tcBorders>
              <w:top w:val="single" w:color="auto" w:sz="4" w:space="0"/>
              <w:left w:val="nil"/>
              <w:bottom w:val="single" w:color="auto" w:sz="4" w:space="0"/>
              <w:right w:val="single" w:color="auto" w:sz="4" w:space="0"/>
            </w:tcBorders>
            <w:shd w:val="clear" w:color="auto" w:fill="auto"/>
            <w:vAlign w:val="center"/>
          </w:tcPr>
          <w:p w14:paraId="14D9761B">
            <w:pPr>
              <w:keepNext w:val="0"/>
              <w:keepLines w:val="0"/>
              <w:widowControl/>
              <w:suppressLineNumbers w:val="0"/>
              <w:jc w:val="center"/>
              <w:textAlignment w:val="center"/>
              <w:rPr>
                <w:rFonts w:hint="eastAsia" w:eastAsia="宋体"/>
                <w:color w:val="000000"/>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急诊科</w:t>
            </w:r>
          </w:p>
        </w:tc>
      </w:tr>
    </w:tbl>
    <w:p w14:paraId="0EECFE32">
      <w:pPr>
        <w:pStyle w:val="11"/>
        <w:spacing w:line="360" w:lineRule="auto"/>
        <w:ind w:firstLine="422" w:firstLineChars="132"/>
        <w:jc w:val="center"/>
        <w:rPr>
          <w:rFonts w:ascii="黑体" w:hAnsi="黑体" w:eastAsia="黑体" w:cs="黑体"/>
          <w:b/>
          <w:sz w:val="32"/>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r>
        <w:rPr>
          <w:rFonts w:hint="eastAsia" w:ascii="黑体" w:hAnsi="黑体" w:eastAsia="黑体" w:cs="黑体"/>
          <w:sz w:val="30"/>
          <w:szCs w:val="30"/>
          <w:lang w:val="en-US" w:eastAsia="zh-CN"/>
        </w:rPr>
        <w:t>9</w:t>
      </w:r>
      <w:r>
        <w:rPr>
          <w:rFonts w:hint="eastAsia" w:ascii="黑体" w:hAnsi="黑体" w:eastAsia="黑体" w:cs="黑体"/>
          <w:sz w:val="30"/>
          <w:szCs w:val="30"/>
        </w:rPr>
        <w:t>月</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第58期</w:t>
      </w:r>
      <w:r>
        <w:rPr>
          <w:rFonts w:hint="eastAsia" w:ascii="方正小标宋简体" w:hAnsi="方正小标宋简体" w:eastAsia="方正小标宋简体" w:cs="方正小标宋简体"/>
          <w:sz w:val="44"/>
          <w:szCs w:val="44"/>
        </w:rPr>
        <w:t>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第58期</w:t>
      </w:r>
      <w:r>
        <w:rPr>
          <w:rFonts w:hint="eastAsia" w:ascii="Tahoma" w:hAnsi="Tahoma" w:cs="宋体"/>
          <w:kern w:val="0"/>
          <w:szCs w:val="21"/>
        </w:rPr>
        <w:t>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r>
        <w:rPr>
          <w:rFonts w:hint="eastAsia"/>
          <w:color w:val="000000"/>
          <w:lang w:eastAsia="zh-CN"/>
        </w:rPr>
        <w:t>。</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7C77F498">
      <w:pPr>
        <w:numPr>
          <w:ilvl w:val="0"/>
          <w:numId w:val="4"/>
        </w:numPr>
        <w:spacing w:line="420" w:lineRule="exact"/>
        <w:jc w:val="left"/>
        <w:rPr>
          <w:rFonts w:ascii="Tahoma" w:hAnsi="Tahoma" w:cs="宋体"/>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0E80659E">
      <w:pPr>
        <w:adjustRightInd w:val="0"/>
        <w:snapToGrid w:val="0"/>
        <w:spacing w:line="440" w:lineRule="atLeast"/>
        <w:ind w:firstLine="420" w:firstLineChars="200"/>
        <w:rPr>
          <w:rFonts w:hint="eastAsia" w:ascii="宋体" w:hAnsi="宋体" w:eastAsia="宋体" w:cs="宋体"/>
          <w:b/>
          <w:bCs/>
          <w:color w:val="000000"/>
          <w:sz w:val="21"/>
          <w:szCs w:val="21"/>
          <w:highlight w:val="cyan"/>
          <w:u w:val="single"/>
          <w:lang w:val="en-US" w:eastAsia="zh-CN"/>
        </w:rPr>
      </w:pPr>
      <w:r>
        <w:rPr>
          <w:rFonts w:hint="eastAsia" w:ascii="Times New Roman" w:hAnsi="Times New Roman" w:cs="Times New Roman"/>
          <w:color w:val="000000"/>
          <w:szCs w:val="21"/>
          <w:highlight w:val="yellow"/>
          <w:lang w:val="en-US" w:eastAsia="zh-CN"/>
        </w:rPr>
        <w:t>报名时间：2025年</w:t>
      </w:r>
      <w:r>
        <w:rPr>
          <w:rFonts w:hint="eastAsia" w:cs="Times New Roman"/>
          <w:color w:val="000000"/>
          <w:szCs w:val="21"/>
          <w:highlight w:val="yellow"/>
          <w:lang w:val="en-US" w:eastAsia="zh-CN"/>
        </w:rPr>
        <w:t>9</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26</w:t>
      </w:r>
      <w:r>
        <w:rPr>
          <w:rFonts w:hint="eastAsia" w:ascii="Times New Roman" w:hAnsi="Times New Roman" w:cs="Times New Roman"/>
          <w:color w:val="000000"/>
          <w:szCs w:val="21"/>
          <w:highlight w:val="yellow"/>
          <w:lang w:val="en-US" w:eastAsia="zh-CN"/>
        </w:rPr>
        <w:t>日至2025年</w:t>
      </w:r>
      <w:r>
        <w:rPr>
          <w:rFonts w:hint="eastAsia" w:cs="Times New Roman"/>
          <w:color w:val="000000"/>
          <w:szCs w:val="21"/>
          <w:highlight w:val="yellow"/>
          <w:lang w:val="en-US" w:eastAsia="zh-CN"/>
        </w:rPr>
        <w:t>10</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9</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1551451252</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0" w:firstLineChars="200"/>
        <w:rPr>
          <w:rFonts w:hint="eastAsia" w:ascii="Tahoma" w:hAnsi="Tahoma" w:cs="宋体"/>
          <w:kern w:val="0"/>
          <w:szCs w:val="21"/>
          <w:highlight w:val="none"/>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p>
    <w:p w14:paraId="34AE7CB7">
      <w:pPr>
        <w:adjustRightInd w:val="0"/>
        <w:snapToGrid w:val="0"/>
        <w:spacing w:line="440" w:lineRule="atLeast"/>
        <w:ind w:left="420"/>
        <w:rPr>
          <w:rFonts w:ascii="宋体" w:hAnsi="宋体" w:cs="宋体"/>
          <w:b/>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177EA597">
      <w:pPr>
        <w:adjustRightInd w:val="0"/>
        <w:snapToGrid w:val="0"/>
        <w:spacing w:line="440" w:lineRule="atLeast"/>
        <w:ind w:left="420"/>
      </w:pPr>
      <w:r>
        <w:rPr>
          <w:rFonts w:hint="eastAsia"/>
          <w:b/>
          <w:bCs w:val="0"/>
          <w:highlight w:val="yellow"/>
          <w:lang w:val="en-US" w:eastAsia="zh-CN"/>
        </w:rPr>
        <w:t>重要提示：“ZCB2025-HC58-241医用皮肤减张缝合器（一次性使用皮肤缝合器）”项目设A、B两个独立子包，可兼投兼中（各子包之间互相独立，单独接受报名、单独接受标书投递、单独开评标，请供应商根据子包单独准备材料，即：报几个子包准备几份材料）。</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firstLine="422" w:firstLine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u w:val="single"/>
          <w:lang w:val="en-US" w:eastAsia="zh-CN"/>
        </w:rPr>
        <w:t>2025年10月17日14点30分，</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5F0E5E3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065CA995">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42B56728">
      <w:pPr>
        <w:pStyle w:val="43"/>
        <w:adjustRightInd w:val="0"/>
        <w:snapToGrid w:val="0"/>
        <w:spacing w:line="440" w:lineRule="atLeast"/>
      </w:pPr>
      <w:r>
        <w:rPr>
          <w:rFonts w:hint="eastAsia"/>
          <w:color w:val="FF0000"/>
          <w:szCs w:val="21"/>
        </w:rPr>
        <w:t>2、电子资料：投标文件PDF盖章扫描件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73EF0148">
      <w:pPr>
        <w:adjustRightInd w:val="0"/>
        <w:snapToGrid w:val="0"/>
        <w:spacing w:line="420" w:lineRule="exact"/>
        <w:ind w:left="420"/>
        <w:jc w:val="left"/>
        <w:rPr>
          <w:rFonts w:eastAsia="宋体"/>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55CBEECD">
      <w:pPr>
        <w:pStyle w:val="70"/>
        <w:ind w:firstLine="4216" w:firstLineChars="1400"/>
        <w:jc w:val="both"/>
        <w:rPr>
          <w:rFonts w:hint="eastAsia"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5401" w:type="pct"/>
        <w:tblInd w:w="-4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900"/>
        <w:gridCol w:w="1282"/>
        <w:gridCol w:w="1514"/>
        <w:gridCol w:w="3436"/>
        <w:gridCol w:w="750"/>
        <w:gridCol w:w="1104"/>
        <w:gridCol w:w="750"/>
        <w:gridCol w:w="1204"/>
      </w:tblGrid>
      <w:tr w14:paraId="57FF4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59" w:type="pct"/>
            <w:vAlign w:val="center"/>
          </w:tcPr>
          <w:p w14:paraId="212EE2E7">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389" w:type="pct"/>
            <w:vAlign w:val="center"/>
          </w:tcPr>
          <w:p w14:paraId="1EA4E62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555" w:type="pct"/>
            <w:vAlign w:val="center"/>
          </w:tcPr>
          <w:p w14:paraId="2CD7BA8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655" w:type="pct"/>
            <w:vAlign w:val="center"/>
          </w:tcPr>
          <w:p w14:paraId="495B28C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rPr>
              <w:t>单价限价(★同类耗材不得超过在库价)</w:t>
            </w:r>
          </w:p>
        </w:tc>
        <w:tc>
          <w:tcPr>
            <w:tcW w:w="1488" w:type="pct"/>
            <w:vAlign w:val="center"/>
          </w:tcPr>
          <w:p w14:paraId="62D743F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技术要求(在用详细明细见附件，仅供参考)</w:t>
            </w:r>
          </w:p>
        </w:tc>
        <w:tc>
          <w:tcPr>
            <w:tcW w:w="324" w:type="pct"/>
            <w:vAlign w:val="center"/>
          </w:tcPr>
          <w:p w14:paraId="51AEE74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478" w:type="pct"/>
            <w:vAlign w:val="center"/>
          </w:tcPr>
          <w:p w14:paraId="116F86D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324" w:type="pct"/>
          </w:tcPr>
          <w:p w14:paraId="6EAD361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521" w:type="pct"/>
          </w:tcPr>
          <w:p w14:paraId="62C8A1D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52AD9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59" w:type="pct"/>
            <w:vAlign w:val="center"/>
          </w:tcPr>
          <w:p w14:paraId="0919A1D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389" w:type="pct"/>
            <w:shd w:val="clear" w:color="auto" w:fill="auto"/>
            <w:vAlign w:val="center"/>
          </w:tcPr>
          <w:p w14:paraId="68B6810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ZCB2025-HC58-238</w:t>
            </w:r>
          </w:p>
        </w:tc>
        <w:tc>
          <w:tcPr>
            <w:tcW w:w="555" w:type="pct"/>
            <w:shd w:val="clear" w:color="auto" w:fill="auto"/>
            <w:vAlign w:val="center"/>
          </w:tcPr>
          <w:p w14:paraId="3C5AE1B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多孔型金属骨植入物</w:t>
            </w:r>
            <w:r>
              <w:rPr>
                <w:rFonts w:hint="default" w:asciiTheme="majorEastAsia" w:hAnsiTheme="majorEastAsia" w:eastAsiaTheme="majorEastAsia" w:cstheme="majorEastAsia"/>
                <w:i w:val="0"/>
                <w:iCs w:val="0"/>
                <w:color w:val="000000"/>
                <w:kern w:val="0"/>
                <w:sz w:val="20"/>
                <w:szCs w:val="20"/>
                <w:u w:val="none"/>
                <w:lang w:val="en-US" w:eastAsia="zh-CN" w:bidi="ar"/>
              </w:rPr>
              <w:t xml:space="preserve"> </w:t>
            </w:r>
            <w:r>
              <w:rPr>
                <w:rFonts w:hint="eastAsia" w:asciiTheme="majorEastAsia" w:hAnsiTheme="majorEastAsia" w:eastAsiaTheme="majorEastAsia" w:cstheme="majorEastAsia"/>
                <w:i w:val="0"/>
                <w:iCs w:val="0"/>
                <w:color w:val="000000"/>
                <w:kern w:val="0"/>
                <w:sz w:val="20"/>
                <w:szCs w:val="20"/>
                <w:u w:val="none"/>
                <w:lang w:val="en-US" w:eastAsia="zh-CN" w:bidi="ar"/>
              </w:rPr>
              <w:t>椎间融合器、多孔型金属骨植入材料</w:t>
            </w:r>
            <w:r>
              <w:rPr>
                <w:rFonts w:hint="default" w:asciiTheme="majorEastAsia" w:hAnsiTheme="majorEastAsia" w:eastAsiaTheme="majorEastAsia" w:cstheme="majorEastAsia"/>
                <w:i w:val="0"/>
                <w:iCs w:val="0"/>
                <w:color w:val="000000"/>
                <w:kern w:val="0"/>
                <w:sz w:val="20"/>
                <w:szCs w:val="20"/>
                <w:u w:val="none"/>
                <w:lang w:val="en-US" w:eastAsia="zh-CN" w:bidi="ar"/>
              </w:rPr>
              <w:t xml:space="preserve"> </w:t>
            </w:r>
            <w:r>
              <w:rPr>
                <w:rFonts w:hint="eastAsia" w:asciiTheme="majorEastAsia" w:hAnsiTheme="majorEastAsia" w:eastAsiaTheme="majorEastAsia" w:cstheme="majorEastAsia"/>
                <w:i w:val="0"/>
                <w:iCs w:val="0"/>
                <w:color w:val="000000"/>
                <w:kern w:val="0"/>
                <w:sz w:val="20"/>
                <w:szCs w:val="20"/>
                <w:u w:val="none"/>
                <w:lang w:val="en-US" w:eastAsia="zh-CN" w:bidi="ar"/>
              </w:rPr>
              <w:t>椎体假体</w:t>
            </w:r>
          </w:p>
        </w:tc>
        <w:tc>
          <w:tcPr>
            <w:tcW w:w="655" w:type="pct"/>
            <w:shd w:val="clear" w:color="auto" w:fill="auto"/>
            <w:vAlign w:val="center"/>
          </w:tcPr>
          <w:p w14:paraId="073B62FA">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16200-32937/</w:t>
            </w:r>
          </w:p>
          <w:p w14:paraId="2FAAEB8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21075-55076.6（详见原在库目录）</w:t>
            </w:r>
          </w:p>
        </w:tc>
        <w:tc>
          <w:tcPr>
            <w:tcW w:w="1488" w:type="pct"/>
            <w:shd w:val="clear" w:color="auto" w:fill="auto"/>
            <w:vAlign w:val="center"/>
          </w:tcPr>
          <w:p w14:paraId="54051F14">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多孔型金属骨植入材料</w:t>
            </w:r>
            <w:r>
              <w:rPr>
                <w:rFonts w:hint="default" w:asciiTheme="majorEastAsia" w:hAnsiTheme="majorEastAsia" w:eastAsiaTheme="majorEastAsia" w:cstheme="majorEastAsia"/>
                <w:i w:val="0"/>
                <w:iCs w:val="0"/>
                <w:color w:val="000000"/>
                <w:kern w:val="0"/>
                <w:sz w:val="20"/>
                <w:szCs w:val="20"/>
                <w:u w:val="none"/>
                <w:lang w:val="en-US" w:eastAsia="zh-CN" w:bidi="ar"/>
              </w:rPr>
              <w:t xml:space="preserve"> </w:t>
            </w:r>
            <w:r>
              <w:rPr>
                <w:rFonts w:hint="eastAsia" w:asciiTheme="majorEastAsia" w:hAnsiTheme="majorEastAsia" w:eastAsiaTheme="majorEastAsia" w:cstheme="majorEastAsia"/>
                <w:i w:val="0"/>
                <w:iCs w:val="0"/>
                <w:color w:val="000000"/>
                <w:kern w:val="0"/>
                <w:sz w:val="20"/>
                <w:szCs w:val="20"/>
                <w:u w:val="none"/>
                <w:lang w:val="en-US" w:eastAsia="zh-CN" w:bidi="ar"/>
              </w:rPr>
              <w:t>椎间融合器与脊柱内固定系统及移植骨匹配，适用于脊柱滑脱、椎间盘退变、椎间狭窄、假关节和脊柱不稳以及需要进行脊柱节段性融合的病变。多孔型金属骨植入材料</w:t>
            </w:r>
            <w:r>
              <w:rPr>
                <w:rFonts w:hint="default" w:asciiTheme="majorEastAsia" w:hAnsiTheme="majorEastAsia" w:eastAsiaTheme="majorEastAsia" w:cstheme="majorEastAsia"/>
                <w:i w:val="0"/>
                <w:iCs w:val="0"/>
                <w:color w:val="000000"/>
                <w:kern w:val="0"/>
                <w:sz w:val="20"/>
                <w:szCs w:val="20"/>
                <w:u w:val="none"/>
                <w:lang w:val="en-US" w:eastAsia="zh-CN" w:bidi="ar"/>
              </w:rPr>
              <w:t xml:space="preserve"> </w:t>
            </w:r>
            <w:r>
              <w:rPr>
                <w:rFonts w:hint="eastAsia" w:asciiTheme="majorEastAsia" w:hAnsiTheme="majorEastAsia" w:eastAsiaTheme="majorEastAsia" w:cstheme="majorEastAsia"/>
                <w:i w:val="0"/>
                <w:iCs w:val="0"/>
                <w:color w:val="000000"/>
                <w:kern w:val="0"/>
                <w:sz w:val="20"/>
                <w:szCs w:val="20"/>
                <w:u w:val="none"/>
                <w:lang w:val="en-US" w:eastAsia="zh-CN" w:bidi="ar"/>
              </w:rPr>
              <w:t>椎体假体用于肿瘤或者创伤所致的压缩、损害或不稳定的椎体切除置换，应与脊柱辅助内固定系统合用并与移植骨同用</w:t>
            </w:r>
          </w:p>
        </w:tc>
        <w:tc>
          <w:tcPr>
            <w:tcW w:w="324" w:type="pct"/>
            <w:shd w:val="clear" w:color="auto" w:fill="auto"/>
            <w:vAlign w:val="center"/>
          </w:tcPr>
          <w:p w14:paraId="244C394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78" w:type="pct"/>
            <w:vAlign w:val="center"/>
          </w:tcPr>
          <w:p w14:paraId="552897C3">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24" w:type="pct"/>
            <w:shd w:val="clear" w:color="auto" w:fill="auto"/>
            <w:vAlign w:val="center"/>
          </w:tcPr>
          <w:p w14:paraId="34546274">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骨科（脊柱外科）</w:t>
            </w:r>
          </w:p>
        </w:tc>
        <w:tc>
          <w:tcPr>
            <w:tcW w:w="521" w:type="pct"/>
            <w:vAlign w:val="top"/>
          </w:tcPr>
          <w:p w14:paraId="2E7A1C5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椎间融合器</w:t>
            </w:r>
            <w:r>
              <w:rPr>
                <w:rFonts w:hint="eastAsia" w:asciiTheme="majorEastAsia" w:hAnsiTheme="majorEastAsia" w:eastAsiaTheme="majorEastAsia" w:cstheme="majorEastAsia"/>
                <w:i w:val="0"/>
                <w:iCs w:val="0"/>
                <w:color w:val="000000"/>
                <w:kern w:val="0"/>
                <w:sz w:val="20"/>
                <w:szCs w:val="20"/>
                <w:u w:val="none"/>
                <w:lang w:val="en-US" w:eastAsia="zh-CN" w:bidi="ar"/>
              </w:rPr>
              <w:t>的样品，此样品为综合评分的一部分</w:t>
            </w:r>
          </w:p>
        </w:tc>
      </w:tr>
      <w:tr w14:paraId="6B71B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59" w:type="pct"/>
            <w:vAlign w:val="center"/>
          </w:tcPr>
          <w:p w14:paraId="0A35B63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389" w:type="pct"/>
            <w:shd w:val="clear" w:color="auto" w:fill="auto"/>
            <w:vAlign w:val="center"/>
          </w:tcPr>
          <w:p w14:paraId="193B114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ZCB2025-HC58-239</w:t>
            </w:r>
          </w:p>
        </w:tc>
        <w:tc>
          <w:tcPr>
            <w:tcW w:w="555" w:type="pct"/>
            <w:shd w:val="clear" w:color="auto" w:fill="auto"/>
            <w:vAlign w:val="center"/>
          </w:tcPr>
          <w:p w14:paraId="4EB7F48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针形高频电极</w:t>
            </w:r>
          </w:p>
        </w:tc>
        <w:tc>
          <w:tcPr>
            <w:tcW w:w="655" w:type="pct"/>
            <w:shd w:val="clear" w:color="auto" w:fill="auto"/>
            <w:vAlign w:val="center"/>
          </w:tcPr>
          <w:p w14:paraId="3BF328E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1520</w:t>
            </w: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488" w:type="pct"/>
            <w:shd w:val="clear" w:color="auto" w:fill="auto"/>
            <w:vAlign w:val="center"/>
          </w:tcPr>
          <w:p w14:paraId="77C9765F">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钨针电极。在高频手术中进行电切、电凝用。</w:t>
            </w:r>
          </w:p>
        </w:tc>
        <w:tc>
          <w:tcPr>
            <w:tcW w:w="324" w:type="pct"/>
            <w:shd w:val="clear" w:color="auto" w:fill="auto"/>
            <w:vAlign w:val="center"/>
          </w:tcPr>
          <w:p w14:paraId="01E6C83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78" w:type="pct"/>
            <w:vAlign w:val="center"/>
          </w:tcPr>
          <w:p w14:paraId="5811507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24" w:type="pct"/>
            <w:shd w:val="clear" w:color="auto" w:fill="auto"/>
            <w:vAlign w:val="center"/>
          </w:tcPr>
          <w:p w14:paraId="7886359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骨科（脊柱外科）</w:t>
            </w:r>
          </w:p>
        </w:tc>
        <w:tc>
          <w:tcPr>
            <w:tcW w:w="521" w:type="pct"/>
            <w:vAlign w:val="top"/>
          </w:tcPr>
          <w:p w14:paraId="5C35A73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3974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59" w:type="pct"/>
            <w:vAlign w:val="center"/>
          </w:tcPr>
          <w:p w14:paraId="0C539D33">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389" w:type="pct"/>
            <w:shd w:val="clear" w:color="auto" w:fill="auto"/>
            <w:vAlign w:val="center"/>
          </w:tcPr>
          <w:p w14:paraId="4425C64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ZCB2025-HC58-240</w:t>
            </w:r>
          </w:p>
        </w:tc>
        <w:tc>
          <w:tcPr>
            <w:tcW w:w="555" w:type="pct"/>
            <w:shd w:val="clear" w:color="auto" w:fill="auto"/>
            <w:vAlign w:val="center"/>
          </w:tcPr>
          <w:p w14:paraId="4DCFAE77">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可吸收医用膜</w:t>
            </w:r>
          </w:p>
        </w:tc>
        <w:tc>
          <w:tcPr>
            <w:tcW w:w="655" w:type="pct"/>
            <w:shd w:val="clear" w:color="auto" w:fill="auto"/>
            <w:vAlign w:val="center"/>
          </w:tcPr>
          <w:p w14:paraId="038C4005">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432-600</w:t>
            </w: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488" w:type="pct"/>
            <w:shd w:val="clear" w:color="auto" w:fill="auto"/>
            <w:vAlign w:val="center"/>
          </w:tcPr>
          <w:p w14:paraId="37194A1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通过膜的物理隔离作用将术后易粘连组织界面分开，达到防止组织粘连的作用，适用于肌腱、椎管、腹腔、盆腔手术</w:t>
            </w:r>
          </w:p>
        </w:tc>
        <w:tc>
          <w:tcPr>
            <w:tcW w:w="324" w:type="pct"/>
            <w:shd w:val="clear" w:color="auto" w:fill="auto"/>
            <w:vAlign w:val="center"/>
          </w:tcPr>
          <w:p w14:paraId="3C03D58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78" w:type="pct"/>
            <w:vAlign w:val="center"/>
          </w:tcPr>
          <w:p w14:paraId="5546F01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24" w:type="pct"/>
            <w:shd w:val="clear" w:color="auto" w:fill="auto"/>
            <w:vAlign w:val="center"/>
          </w:tcPr>
          <w:p w14:paraId="5B9360D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骨科</w:t>
            </w:r>
          </w:p>
        </w:tc>
        <w:tc>
          <w:tcPr>
            <w:tcW w:w="521" w:type="pct"/>
            <w:vAlign w:val="top"/>
          </w:tcPr>
          <w:p w14:paraId="7E6625C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48FE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59" w:type="pct"/>
            <w:vAlign w:val="center"/>
          </w:tcPr>
          <w:p w14:paraId="577CF7FE">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4-1</w:t>
            </w:r>
          </w:p>
        </w:tc>
        <w:tc>
          <w:tcPr>
            <w:tcW w:w="389" w:type="pct"/>
            <w:shd w:val="clear" w:color="auto" w:fill="auto"/>
            <w:vAlign w:val="center"/>
          </w:tcPr>
          <w:p w14:paraId="67EFD6B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ZCB2025-HC58-241-A</w:t>
            </w:r>
          </w:p>
        </w:tc>
        <w:tc>
          <w:tcPr>
            <w:tcW w:w="555" w:type="pct"/>
            <w:shd w:val="clear" w:color="auto" w:fill="auto"/>
            <w:vAlign w:val="center"/>
          </w:tcPr>
          <w:p w14:paraId="3B759D3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医用皮肤减张缝合器（一次性使用皮肤缝合器）（A包）</w:t>
            </w:r>
          </w:p>
        </w:tc>
        <w:tc>
          <w:tcPr>
            <w:tcW w:w="655" w:type="pct"/>
            <w:shd w:val="clear" w:color="auto" w:fill="auto"/>
            <w:vAlign w:val="center"/>
          </w:tcPr>
          <w:p w14:paraId="41A38017">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228-620</w:t>
            </w: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488" w:type="pct"/>
            <w:shd w:val="clear" w:color="auto" w:fill="auto"/>
            <w:vAlign w:val="center"/>
          </w:tcPr>
          <w:p w14:paraId="122AEC7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 xml:space="preserve"> 1.</w:t>
            </w:r>
            <w:r>
              <w:rPr>
                <w:rFonts w:hint="eastAsia" w:asciiTheme="majorEastAsia" w:hAnsiTheme="majorEastAsia" w:eastAsiaTheme="majorEastAsia" w:cstheme="majorEastAsia"/>
                <w:i w:val="0"/>
                <w:iCs w:val="0"/>
                <w:color w:val="000000"/>
                <w:kern w:val="0"/>
                <w:sz w:val="20"/>
                <w:szCs w:val="20"/>
                <w:u w:val="none"/>
                <w:lang w:val="en-US" w:eastAsia="zh-CN" w:bidi="ar"/>
              </w:rPr>
              <w:t>适用于躯干及四肢</w:t>
            </w:r>
            <w:r>
              <w:rPr>
                <w:rFonts w:hint="default" w:asciiTheme="majorEastAsia" w:hAnsiTheme="majorEastAsia" w:eastAsiaTheme="majorEastAsia" w:cstheme="majorEastAsia"/>
                <w:i w:val="0"/>
                <w:iCs w:val="0"/>
                <w:color w:val="000000"/>
                <w:kern w:val="0"/>
                <w:sz w:val="20"/>
                <w:szCs w:val="20"/>
                <w:u w:val="none"/>
                <w:lang w:val="en-US" w:eastAsia="zh-CN" w:bidi="ar"/>
              </w:rPr>
              <w:t>(</w:t>
            </w:r>
            <w:r>
              <w:rPr>
                <w:rFonts w:hint="eastAsia" w:asciiTheme="majorEastAsia" w:hAnsiTheme="majorEastAsia" w:eastAsiaTheme="majorEastAsia" w:cstheme="majorEastAsia"/>
                <w:i w:val="0"/>
                <w:iCs w:val="0"/>
                <w:color w:val="000000"/>
                <w:kern w:val="0"/>
                <w:sz w:val="20"/>
                <w:szCs w:val="20"/>
                <w:u w:val="none"/>
                <w:lang w:val="en-US" w:eastAsia="zh-CN" w:bidi="ar"/>
              </w:rPr>
              <w:t>关节及活动幅度较大部位除外</w:t>
            </w:r>
            <w:r>
              <w:rPr>
                <w:rFonts w:hint="default" w:asciiTheme="majorEastAsia" w:hAnsiTheme="majorEastAsia" w:eastAsiaTheme="majorEastAsia" w:cstheme="majorEastAsia"/>
                <w:i w:val="0"/>
                <w:iCs w:val="0"/>
                <w:color w:val="000000"/>
                <w:kern w:val="0"/>
                <w:sz w:val="20"/>
                <w:szCs w:val="20"/>
                <w:u w:val="none"/>
                <w:lang w:val="en-US" w:eastAsia="zh-CN" w:bidi="ar"/>
              </w:rPr>
              <w:t>)</w:t>
            </w:r>
            <w:r>
              <w:rPr>
                <w:rFonts w:hint="eastAsia" w:asciiTheme="majorEastAsia" w:hAnsiTheme="majorEastAsia" w:eastAsiaTheme="majorEastAsia" w:cstheme="majorEastAsia"/>
                <w:i w:val="0"/>
                <w:iCs w:val="0"/>
                <w:color w:val="000000"/>
                <w:kern w:val="0"/>
                <w:sz w:val="20"/>
                <w:szCs w:val="20"/>
                <w:u w:val="none"/>
                <w:lang w:val="en-US" w:eastAsia="zh-CN" w:bidi="ar"/>
              </w:rPr>
              <w:t>手术伤口表皮的闭合处理。</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2.</w:t>
            </w:r>
            <w:r>
              <w:rPr>
                <w:rFonts w:hint="eastAsia" w:asciiTheme="majorEastAsia" w:hAnsiTheme="majorEastAsia" w:eastAsiaTheme="majorEastAsia" w:cstheme="majorEastAsia"/>
                <w:i w:val="0"/>
                <w:iCs w:val="0"/>
                <w:color w:val="000000"/>
                <w:kern w:val="0"/>
                <w:sz w:val="20"/>
                <w:szCs w:val="20"/>
                <w:u w:val="none"/>
                <w:lang w:val="en-US" w:eastAsia="zh-CN" w:bidi="ar"/>
              </w:rPr>
              <w:t>用于对创面两侧的皮肤进行牵张使得创面闭合或缩小（创口宽度</w:t>
            </w:r>
            <w:r>
              <w:rPr>
                <w:rFonts w:hint="default" w:asciiTheme="majorEastAsia" w:hAnsiTheme="majorEastAsia" w:eastAsiaTheme="majorEastAsia" w:cstheme="majorEastAsia"/>
                <w:i w:val="0"/>
                <w:iCs w:val="0"/>
                <w:color w:val="000000"/>
                <w:kern w:val="0"/>
                <w:sz w:val="20"/>
                <w:szCs w:val="20"/>
                <w:u w:val="none"/>
                <w:lang w:val="en-US" w:eastAsia="zh-CN" w:bidi="ar"/>
              </w:rPr>
              <w:t>2~20cm</w:t>
            </w:r>
            <w:r>
              <w:rPr>
                <w:rFonts w:hint="eastAsia" w:asciiTheme="majorEastAsia" w:hAnsiTheme="majorEastAsia" w:eastAsiaTheme="majorEastAsia" w:cstheme="majorEastAsia"/>
                <w:i w:val="0"/>
                <w:iCs w:val="0"/>
                <w:color w:val="000000"/>
                <w:kern w:val="0"/>
                <w:sz w:val="20"/>
                <w:szCs w:val="20"/>
                <w:u w:val="none"/>
                <w:lang w:val="en-US" w:eastAsia="zh-CN" w:bidi="ar"/>
              </w:rPr>
              <w:t>，长度</w:t>
            </w:r>
            <w:r>
              <w:rPr>
                <w:rFonts w:hint="default" w:asciiTheme="majorEastAsia" w:hAnsiTheme="majorEastAsia" w:eastAsiaTheme="majorEastAsia" w:cstheme="majorEastAsia"/>
                <w:i w:val="0"/>
                <w:iCs w:val="0"/>
                <w:color w:val="000000"/>
                <w:kern w:val="0"/>
                <w:sz w:val="20"/>
                <w:szCs w:val="20"/>
                <w:u w:val="none"/>
                <w:lang w:val="en-US" w:eastAsia="zh-CN" w:bidi="ar"/>
              </w:rPr>
              <w:t>2~23cm</w:t>
            </w:r>
            <w:r>
              <w:rPr>
                <w:rFonts w:hint="eastAsia" w:asciiTheme="majorEastAsia" w:hAnsiTheme="majorEastAsia" w:eastAsiaTheme="majorEastAsia" w:cstheme="majorEastAsia"/>
                <w:i w:val="0"/>
                <w:iCs w:val="0"/>
                <w:color w:val="000000"/>
                <w:kern w:val="0"/>
                <w:sz w:val="20"/>
                <w:szCs w:val="20"/>
                <w:u w:val="none"/>
                <w:lang w:val="en-US" w:eastAsia="zh-CN" w:bidi="ar"/>
              </w:rPr>
              <w:t>，平面或曲面均可）；也用于术前皮肤的预松扩张，方便进行病灶皮肤切除后创口的闭合或缝合处理。且产品上有可逆调节头实现牵张张力可调，可满足皮肤牵拉需要。</w:t>
            </w:r>
          </w:p>
        </w:tc>
        <w:tc>
          <w:tcPr>
            <w:tcW w:w="324" w:type="pct"/>
            <w:shd w:val="clear" w:color="auto" w:fill="auto"/>
            <w:vAlign w:val="center"/>
          </w:tcPr>
          <w:p w14:paraId="3CAA459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78" w:type="pct"/>
            <w:vAlign w:val="center"/>
          </w:tcPr>
          <w:p w14:paraId="47194C6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24" w:type="pct"/>
            <w:shd w:val="clear" w:color="auto" w:fill="auto"/>
            <w:vAlign w:val="center"/>
          </w:tcPr>
          <w:p w14:paraId="425E5AF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骨科（创伤骨科）</w:t>
            </w:r>
          </w:p>
        </w:tc>
        <w:tc>
          <w:tcPr>
            <w:tcW w:w="521" w:type="pct"/>
            <w:vAlign w:val="top"/>
          </w:tcPr>
          <w:p w14:paraId="723C7E27">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“2.5cm、8cm、15.5cm”规格</w:t>
            </w:r>
            <w:r>
              <w:rPr>
                <w:rFonts w:hint="eastAsia" w:asciiTheme="majorEastAsia" w:hAnsiTheme="majorEastAsia" w:eastAsiaTheme="majorEastAsia" w:cstheme="majorEastAsia"/>
                <w:i w:val="0"/>
                <w:iCs w:val="0"/>
                <w:color w:val="000000"/>
                <w:kern w:val="0"/>
                <w:sz w:val="20"/>
                <w:szCs w:val="20"/>
                <w:u w:val="none"/>
                <w:lang w:val="en-US" w:eastAsia="zh-CN" w:bidi="ar"/>
              </w:rPr>
              <w:t>的样品，此样品为综合评分的一部分</w:t>
            </w:r>
          </w:p>
        </w:tc>
      </w:tr>
      <w:tr w14:paraId="504F4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59" w:type="pct"/>
            <w:vAlign w:val="center"/>
          </w:tcPr>
          <w:p w14:paraId="428E897F">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4-2</w:t>
            </w:r>
          </w:p>
        </w:tc>
        <w:tc>
          <w:tcPr>
            <w:tcW w:w="389" w:type="pct"/>
            <w:shd w:val="clear" w:color="auto" w:fill="auto"/>
            <w:vAlign w:val="center"/>
          </w:tcPr>
          <w:p w14:paraId="0AE5334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ZCB2025-HC58-241-B</w:t>
            </w:r>
          </w:p>
        </w:tc>
        <w:tc>
          <w:tcPr>
            <w:tcW w:w="555" w:type="pct"/>
            <w:shd w:val="clear" w:color="auto" w:fill="auto"/>
            <w:vAlign w:val="center"/>
          </w:tcPr>
          <w:p w14:paraId="037708A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医用皮肤减张缝合器（一次性使用皮肤缝合器）（B包）</w:t>
            </w:r>
          </w:p>
        </w:tc>
        <w:tc>
          <w:tcPr>
            <w:tcW w:w="655" w:type="pct"/>
            <w:shd w:val="clear" w:color="auto" w:fill="auto"/>
            <w:vAlign w:val="center"/>
          </w:tcPr>
          <w:p w14:paraId="44E07411">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68-679.29</w:t>
            </w: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488" w:type="pct"/>
            <w:shd w:val="clear" w:color="auto" w:fill="auto"/>
            <w:vAlign w:val="center"/>
          </w:tcPr>
          <w:p w14:paraId="2C220ED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用于手术普通切口和创伤口的表皮缝合。</w:t>
            </w:r>
          </w:p>
        </w:tc>
        <w:tc>
          <w:tcPr>
            <w:tcW w:w="324" w:type="pct"/>
            <w:shd w:val="clear" w:color="auto" w:fill="auto"/>
            <w:vAlign w:val="center"/>
          </w:tcPr>
          <w:p w14:paraId="4CAADE67">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78" w:type="pct"/>
            <w:vAlign w:val="center"/>
          </w:tcPr>
          <w:p w14:paraId="138CBFD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24" w:type="pct"/>
            <w:shd w:val="clear" w:color="auto" w:fill="auto"/>
            <w:vAlign w:val="center"/>
          </w:tcPr>
          <w:p w14:paraId="06677A3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急诊科</w:t>
            </w:r>
          </w:p>
        </w:tc>
        <w:tc>
          <w:tcPr>
            <w:tcW w:w="521" w:type="pct"/>
            <w:vAlign w:val="top"/>
          </w:tcPr>
          <w:p w14:paraId="3277DC3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与原在库LK006A、LK020H、LK020I三个规格型号的技术参数相对应的产品</w:t>
            </w:r>
            <w:r>
              <w:rPr>
                <w:rFonts w:hint="eastAsia" w:asciiTheme="majorEastAsia" w:hAnsiTheme="majorEastAsia" w:eastAsiaTheme="majorEastAsia" w:cstheme="majorEastAsia"/>
                <w:i w:val="0"/>
                <w:iCs w:val="0"/>
                <w:color w:val="000000"/>
                <w:kern w:val="0"/>
                <w:sz w:val="20"/>
                <w:szCs w:val="20"/>
                <w:u w:val="none"/>
                <w:lang w:val="en-US" w:eastAsia="zh-CN" w:bidi="ar"/>
              </w:rPr>
              <w:t>作为样品，此样品为综合评分的一部分</w:t>
            </w:r>
          </w:p>
        </w:tc>
      </w:tr>
      <w:tr w14:paraId="7040B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59" w:type="pct"/>
            <w:vAlign w:val="center"/>
          </w:tcPr>
          <w:p w14:paraId="1BC4F596">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w:t>
            </w:r>
          </w:p>
        </w:tc>
        <w:tc>
          <w:tcPr>
            <w:tcW w:w="389" w:type="pct"/>
            <w:shd w:val="clear" w:color="auto" w:fill="auto"/>
            <w:vAlign w:val="center"/>
          </w:tcPr>
          <w:p w14:paraId="153CEE8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ZCB2025-HC58-242</w:t>
            </w:r>
          </w:p>
        </w:tc>
        <w:tc>
          <w:tcPr>
            <w:tcW w:w="555" w:type="pct"/>
            <w:shd w:val="clear" w:color="auto" w:fill="auto"/>
            <w:vAlign w:val="center"/>
          </w:tcPr>
          <w:p w14:paraId="06427C65">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医用胶液材料</w:t>
            </w:r>
          </w:p>
        </w:tc>
        <w:tc>
          <w:tcPr>
            <w:tcW w:w="655" w:type="pct"/>
            <w:shd w:val="clear" w:color="auto" w:fill="auto"/>
            <w:vAlign w:val="center"/>
          </w:tcPr>
          <w:p w14:paraId="608115BD">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118-2000</w:t>
            </w: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488" w:type="pct"/>
            <w:shd w:val="clear" w:color="auto" w:fill="auto"/>
            <w:vAlign w:val="center"/>
          </w:tcPr>
          <w:p w14:paraId="7583969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用于人体皮肤、粘膜、创面上皮组织的处理与修复，减少血液与组织液的渗出，保护、隔离、润滑组织创面，促进创面愈合的作用</w:t>
            </w:r>
          </w:p>
        </w:tc>
        <w:tc>
          <w:tcPr>
            <w:tcW w:w="324" w:type="pct"/>
            <w:shd w:val="clear" w:color="auto" w:fill="auto"/>
            <w:vAlign w:val="center"/>
          </w:tcPr>
          <w:p w14:paraId="089EE29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78" w:type="pct"/>
            <w:vAlign w:val="center"/>
          </w:tcPr>
          <w:p w14:paraId="7C208115">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24" w:type="pct"/>
            <w:shd w:val="clear" w:color="auto" w:fill="auto"/>
            <w:vAlign w:val="center"/>
          </w:tcPr>
          <w:p w14:paraId="553ADE2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急诊科</w:t>
            </w:r>
          </w:p>
        </w:tc>
        <w:tc>
          <w:tcPr>
            <w:tcW w:w="521" w:type="pct"/>
            <w:vAlign w:val="top"/>
          </w:tcPr>
          <w:p w14:paraId="3A2A23C5">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bl>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rFonts w:hint="eastAsia"/>
          <w:szCs w:val="21"/>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3F241369">
      <w:pPr>
        <w:pStyle w:val="36"/>
        <w:ind w:firstLine="0" w:firstLineChars="0"/>
        <w:rPr>
          <w:rFonts w:hint="default" w:eastAsiaTheme="minorEastAsia"/>
          <w:szCs w:val="21"/>
          <w:lang w:val="en-US" w:eastAsia="zh-CN"/>
        </w:rPr>
      </w:pPr>
      <w:r>
        <w:rPr>
          <w:rFonts w:hint="eastAsia"/>
          <w:szCs w:val="21"/>
          <w:lang w:val="en-US" w:eastAsia="zh-CN"/>
        </w:rPr>
        <w:t>附件4:2025年</w:t>
      </w:r>
      <w:r>
        <w:rPr>
          <w:rFonts w:hint="eastAsia"/>
          <w:szCs w:val="21"/>
          <w:highlight w:val="yellow"/>
          <w:lang w:val="en-US" w:eastAsia="zh-CN"/>
        </w:rPr>
        <w:t>第58期</w:t>
      </w:r>
      <w:r>
        <w:rPr>
          <w:rFonts w:hint="eastAsia"/>
          <w:szCs w:val="21"/>
          <w:lang w:val="en-US" w:eastAsia="zh-CN"/>
        </w:rPr>
        <w:t>医用耗材原在库目录</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5556700C">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312EE0D8">
      <w:pPr>
        <w:widowControl/>
        <w:wordWrap w:val="0"/>
        <w:spacing w:line="420" w:lineRule="exact"/>
        <w:ind w:right="420" w:firstLine="420" w:firstLineChars="200"/>
        <w:rPr>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2025年</w:t>
      </w:r>
      <w:r>
        <w:rPr>
          <w:rFonts w:hint="eastAsia" w:ascii="Tahoma" w:hAnsi="Tahoma" w:cs="Tahoma"/>
          <w:color w:val="FF0000"/>
          <w:kern w:val="0"/>
          <w:szCs w:val="21"/>
          <w:lang w:val="en-US" w:eastAsia="zh-CN"/>
        </w:rPr>
        <w:t>9月25日</w:t>
      </w:r>
    </w:p>
    <w:p w14:paraId="296B0C00">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583DAB82">
      <w:pPr>
        <w:pStyle w:val="43"/>
        <w:widowControl/>
        <w:adjustRightInd w:val="0"/>
        <w:snapToGrid w:val="0"/>
        <w:spacing w:line="360" w:lineRule="auto"/>
        <w:rPr>
          <w:rFonts w:hint="eastAsia" w:ascii="宋体" w:hAnsi="宋体" w:eastAsia="宋体" w:cs="宋体"/>
          <w:color w:val="000000" w:themeColor="text1"/>
          <w:kern w:val="0"/>
          <w:sz w:val="24"/>
          <w:lang w:eastAsia="zh-CN"/>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lang w:val="en-US" w:eastAsia="zh-CN"/>
          <w14:textFill>
            <w14:solidFill>
              <w14:schemeClr w14:val="tx1"/>
            </w14:solidFill>
          </w14:textFill>
        </w:rPr>
        <w:t>党办通〔2025〕7号（</w:t>
      </w:r>
      <w:r>
        <w:rPr>
          <w:rFonts w:hint="eastAsia" w:ascii="宋体" w:hAnsi="宋体" w:eastAsia="宋体" w:cs="宋体"/>
          <w:color w:val="000000" w:themeColor="text1"/>
          <w:kern w:val="0"/>
          <w:sz w:val="24"/>
          <w14:textFill>
            <w14:solidFill>
              <w14:schemeClr w14:val="tx1"/>
            </w14:solidFill>
          </w14:textFill>
        </w:rPr>
        <w:t>202</w:t>
      </w:r>
      <w:r>
        <w:rPr>
          <w:rFonts w:hint="eastAsia" w:ascii="宋体" w:hAnsi="宋体" w:eastAsia="宋体" w:cs="宋体"/>
          <w:color w:val="000000" w:themeColor="text1"/>
          <w:kern w:val="0"/>
          <w:sz w:val="24"/>
          <w:lang w:val="en-US" w:eastAsia="zh-CN"/>
          <w14:textFill>
            <w14:solidFill>
              <w14:schemeClr w14:val="tx1"/>
            </w14:solidFill>
          </w14:textFill>
        </w:rPr>
        <w:t>4</w:t>
      </w:r>
      <w:r>
        <w:rPr>
          <w:rFonts w:hint="eastAsia" w:ascii="宋体" w:hAnsi="宋体" w:eastAsia="宋体" w:cs="宋体"/>
          <w:color w:val="000000" w:themeColor="text1"/>
          <w:kern w:val="0"/>
          <w:sz w:val="24"/>
          <w14:textFill>
            <w14:solidFill>
              <w14:schemeClr w14:val="tx1"/>
            </w14:solidFill>
          </w14:textFill>
        </w:rPr>
        <w:t>年第</w:t>
      </w:r>
      <w:r>
        <w:rPr>
          <w:rFonts w:hint="eastAsia" w:ascii="宋体" w:hAnsi="宋体" w:eastAsia="宋体" w:cs="宋体"/>
          <w:color w:val="000000" w:themeColor="text1"/>
          <w:kern w:val="0"/>
          <w:sz w:val="24"/>
          <w:lang w:val="en-US" w:eastAsia="zh-CN"/>
          <w14:textFill>
            <w14:solidFill>
              <w14:schemeClr w14:val="tx1"/>
            </w14:solidFill>
          </w14:textFill>
        </w:rPr>
        <w:t>二</w:t>
      </w:r>
      <w:r>
        <w:rPr>
          <w:rFonts w:hint="eastAsia" w:ascii="宋体" w:hAnsi="宋体" w:eastAsia="宋体" w:cs="宋体"/>
          <w:color w:val="000000" w:themeColor="text1"/>
          <w:kern w:val="0"/>
          <w:sz w:val="24"/>
          <w14:textFill>
            <w14:solidFill>
              <w14:schemeClr w14:val="tx1"/>
            </w14:solidFill>
          </w14:textFill>
        </w:rPr>
        <w:t>次医用耗材管理委员会审议结果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对协议到期的项目重新采购</w:t>
      </w:r>
      <w:r>
        <w:rPr>
          <w:rFonts w:hint="eastAsia" w:ascii="宋体" w:hAnsi="宋体" w:eastAsia="宋体" w:cs="宋体"/>
          <w:color w:val="000000" w:themeColor="text1"/>
          <w:kern w:val="0"/>
          <w:sz w:val="24"/>
          <w14:textFill>
            <w14:solidFill>
              <w14:schemeClr w14:val="tx1"/>
            </w14:solidFill>
          </w14:textFill>
        </w:rPr>
        <w:t>。</w:t>
      </w:r>
    </w:p>
    <w:p w14:paraId="41F4DAAF">
      <w:pPr>
        <w:pStyle w:val="43"/>
        <w:widowControl/>
        <w:numPr>
          <w:ilvl w:val="0"/>
          <w:numId w:val="7"/>
        </w:numPr>
        <w:adjustRightInd w:val="0"/>
        <w:snapToGrid w:val="0"/>
        <w:spacing w:line="360" w:lineRule="auto"/>
        <w:ind w:left="0" w:leftChars="0" w:firstLine="420" w:firstLineChars="0"/>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p>
    <w:tbl>
      <w:tblPr>
        <w:tblStyle w:val="29"/>
        <w:tblW w:w="5401" w:type="pct"/>
        <w:tblInd w:w="-4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900"/>
        <w:gridCol w:w="1282"/>
        <w:gridCol w:w="1514"/>
        <w:gridCol w:w="3436"/>
        <w:gridCol w:w="750"/>
        <w:gridCol w:w="1104"/>
        <w:gridCol w:w="750"/>
        <w:gridCol w:w="1204"/>
      </w:tblGrid>
      <w:tr w14:paraId="2078C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59" w:type="pct"/>
            <w:vAlign w:val="center"/>
          </w:tcPr>
          <w:p w14:paraId="0654173F">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389" w:type="pct"/>
            <w:vAlign w:val="center"/>
          </w:tcPr>
          <w:p w14:paraId="7DE43B29">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555" w:type="pct"/>
            <w:vAlign w:val="center"/>
          </w:tcPr>
          <w:p w14:paraId="422A176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655" w:type="pct"/>
            <w:vAlign w:val="center"/>
          </w:tcPr>
          <w:p w14:paraId="7BDAF431">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rPr>
              <w:t>单价限价(★同类耗材不得超过在库价)</w:t>
            </w:r>
          </w:p>
        </w:tc>
        <w:tc>
          <w:tcPr>
            <w:tcW w:w="1488" w:type="pct"/>
            <w:vAlign w:val="center"/>
          </w:tcPr>
          <w:p w14:paraId="151833F3">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技术要求(在用详细明细见附件，仅供参考)</w:t>
            </w:r>
          </w:p>
        </w:tc>
        <w:tc>
          <w:tcPr>
            <w:tcW w:w="324" w:type="pct"/>
            <w:vAlign w:val="center"/>
          </w:tcPr>
          <w:p w14:paraId="2A744AEA">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478" w:type="pct"/>
            <w:vAlign w:val="center"/>
          </w:tcPr>
          <w:p w14:paraId="60007F1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324" w:type="pct"/>
          </w:tcPr>
          <w:p w14:paraId="7A773CE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521" w:type="pct"/>
          </w:tcPr>
          <w:p w14:paraId="53D9174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7798F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59" w:type="pct"/>
            <w:vAlign w:val="center"/>
          </w:tcPr>
          <w:p w14:paraId="2A870C7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389" w:type="pct"/>
            <w:shd w:val="clear" w:color="auto" w:fill="auto"/>
            <w:vAlign w:val="center"/>
          </w:tcPr>
          <w:p w14:paraId="5BF84CB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ZCB2025-HC58-238</w:t>
            </w:r>
          </w:p>
        </w:tc>
        <w:tc>
          <w:tcPr>
            <w:tcW w:w="555" w:type="pct"/>
            <w:shd w:val="clear" w:color="auto" w:fill="auto"/>
            <w:vAlign w:val="center"/>
          </w:tcPr>
          <w:p w14:paraId="6967329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多孔型金属骨植入物</w:t>
            </w:r>
            <w:r>
              <w:rPr>
                <w:rFonts w:hint="default" w:asciiTheme="majorEastAsia" w:hAnsiTheme="majorEastAsia" w:eastAsiaTheme="majorEastAsia" w:cstheme="majorEastAsia"/>
                <w:i w:val="0"/>
                <w:iCs w:val="0"/>
                <w:color w:val="000000"/>
                <w:kern w:val="0"/>
                <w:sz w:val="20"/>
                <w:szCs w:val="20"/>
                <w:u w:val="none"/>
                <w:lang w:val="en-US" w:eastAsia="zh-CN" w:bidi="ar"/>
              </w:rPr>
              <w:t xml:space="preserve"> </w:t>
            </w:r>
            <w:r>
              <w:rPr>
                <w:rFonts w:hint="eastAsia" w:asciiTheme="majorEastAsia" w:hAnsiTheme="majorEastAsia" w:eastAsiaTheme="majorEastAsia" w:cstheme="majorEastAsia"/>
                <w:i w:val="0"/>
                <w:iCs w:val="0"/>
                <w:color w:val="000000"/>
                <w:kern w:val="0"/>
                <w:sz w:val="20"/>
                <w:szCs w:val="20"/>
                <w:u w:val="none"/>
                <w:lang w:val="en-US" w:eastAsia="zh-CN" w:bidi="ar"/>
              </w:rPr>
              <w:t>椎间融合器、多孔型金属骨植入材料</w:t>
            </w:r>
            <w:r>
              <w:rPr>
                <w:rFonts w:hint="default" w:asciiTheme="majorEastAsia" w:hAnsiTheme="majorEastAsia" w:eastAsiaTheme="majorEastAsia" w:cstheme="majorEastAsia"/>
                <w:i w:val="0"/>
                <w:iCs w:val="0"/>
                <w:color w:val="000000"/>
                <w:kern w:val="0"/>
                <w:sz w:val="20"/>
                <w:szCs w:val="20"/>
                <w:u w:val="none"/>
                <w:lang w:val="en-US" w:eastAsia="zh-CN" w:bidi="ar"/>
              </w:rPr>
              <w:t xml:space="preserve"> </w:t>
            </w:r>
            <w:r>
              <w:rPr>
                <w:rFonts w:hint="eastAsia" w:asciiTheme="majorEastAsia" w:hAnsiTheme="majorEastAsia" w:eastAsiaTheme="majorEastAsia" w:cstheme="majorEastAsia"/>
                <w:i w:val="0"/>
                <w:iCs w:val="0"/>
                <w:color w:val="000000"/>
                <w:kern w:val="0"/>
                <w:sz w:val="20"/>
                <w:szCs w:val="20"/>
                <w:u w:val="none"/>
                <w:lang w:val="en-US" w:eastAsia="zh-CN" w:bidi="ar"/>
              </w:rPr>
              <w:t>椎体假体</w:t>
            </w:r>
          </w:p>
        </w:tc>
        <w:tc>
          <w:tcPr>
            <w:tcW w:w="655" w:type="pct"/>
            <w:shd w:val="clear" w:color="auto" w:fill="auto"/>
            <w:vAlign w:val="center"/>
          </w:tcPr>
          <w:p w14:paraId="4856AFFD">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16200-32937/</w:t>
            </w:r>
          </w:p>
          <w:p w14:paraId="7EF1F9C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21075-55076.6（详见原在库目录）</w:t>
            </w:r>
          </w:p>
        </w:tc>
        <w:tc>
          <w:tcPr>
            <w:tcW w:w="1488" w:type="pct"/>
            <w:shd w:val="clear" w:color="auto" w:fill="auto"/>
            <w:vAlign w:val="center"/>
          </w:tcPr>
          <w:p w14:paraId="451DA5E9">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多孔型金属骨植入材料</w:t>
            </w:r>
            <w:r>
              <w:rPr>
                <w:rFonts w:hint="default" w:asciiTheme="majorEastAsia" w:hAnsiTheme="majorEastAsia" w:eastAsiaTheme="majorEastAsia" w:cstheme="majorEastAsia"/>
                <w:i w:val="0"/>
                <w:iCs w:val="0"/>
                <w:color w:val="000000"/>
                <w:kern w:val="0"/>
                <w:sz w:val="20"/>
                <w:szCs w:val="20"/>
                <w:u w:val="none"/>
                <w:lang w:val="en-US" w:eastAsia="zh-CN" w:bidi="ar"/>
              </w:rPr>
              <w:t xml:space="preserve"> </w:t>
            </w:r>
            <w:r>
              <w:rPr>
                <w:rFonts w:hint="eastAsia" w:asciiTheme="majorEastAsia" w:hAnsiTheme="majorEastAsia" w:eastAsiaTheme="majorEastAsia" w:cstheme="majorEastAsia"/>
                <w:i w:val="0"/>
                <w:iCs w:val="0"/>
                <w:color w:val="000000"/>
                <w:kern w:val="0"/>
                <w:sz w:val="20"/>
                <w:szCs w:val="20"/>
                <w:u w:val="none"/>
                <w:lang w:val="en-US" w:eastAsia="zh-CN" w:bidi="ar"/>
              </w:rPr>
              <w:t>椎间融合器与脊柱内固定系统及移植骨匹配，适用于脊柱滑脱、椎间盘退变、椎间狭窄、假关节和脊柱不稳以及需要进行脊柱节段性融合的病变。多孔型金属骨植入材料</w:t>
            </w:r>
            <w:r>
              <w:rPr>
                <w:rFonts w:hint="default" w:asciiTheme="majorEastAsia" w:hAnsiTheme="majorEastAsia" w:eastAsiaTheme="majorEastAsia" w:cstheme="majorEastAsia"/>
                <w:i w:val="0"/>
                <w:iCs w:val="0"/>
                <w:color w:val="000000"/>
                <w:kern w:val="0"/>
                <w:sz w:val="20"/>
                <w:szCs w:val="20"/>
                <w:u w:val="none"/>
                <w:lang w:val="en-US" w:eastAsia="zh-CN" w:bidi="ar"/>
              </w:rPr>
              <w:t xml:space="preserve"> </w:t>
            </w:r>
            <w:r>
              <w:rPr>
                <w:rFonts w:hint="eastAsia" w:asciiTheme="majorEastAsia" w:hAnsiTheme="majorEastAsia" w:eastAsiaTheme="majorEastAsia" w:cstheme="majorEastAsia"/>
                <w:i w:val="0"/>
                <w:iCs w:val="0"/>
                <w:color w:val="000000"/>
                <w:kern w:val="0"/>
                <w:sz w:val="20"/>
                <w:szCs w:val="20"/>
                <w:u w:val="none"/>
                <w:lang w:val="en-US" w:eastAsia="zh-CN" w:bidi="ar"/>
              </w:rPr>
              <w:t>椎体假体用于肿瘤或者创伤所致的压缩、损害或不稳定的椎体切除置换，应与脊柱辅助内固定系统合用并与移植骨同用</w:t>
            </w:r>
          </w:p>
        </w:tc>
        <w:tc>
          <w:tcPr>
            <w:tcW w:w="324" w:type="pct"/>
            <w:shd w:val="clear" w:color="auto" w:fill="auto"/>
            <w:vAlign w:val="center"/>
          </w:tcPr>
          <w:p w14:paraId="69B00385">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78" w:type="pct"/>
            <w:vAlign w:val="center"/>
          </w:tcPr>
          <w:p w14:paraId="295885F1">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24" w:type="pct"/>
            <w:shd w:val="clear" w:color="auto" w:fill="auto"/>
            <w:vAlign w:val="center"/>
          </w:tcPr>
          <w:p w14:paraId="29C3C78E">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骨科（脊柱外科）</w:t>
            </w:r>
          </w:p>
        </w:tc>
        <w:tc>
          <w:tcPr>
            <w:tcW w:w="521" w:type="pct"/>
            <w:vAlign w:val="top"/>
          </w:tcPr>
          <w:p w14:paraId="17AE3B6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椎间融合器</w:t>
            </w:r>
            <w:r>
              <w:rPr>
                <w:rFonts w:hint="eastAsia" w:asciiTheme="majorEastAsia" w:hAnsiTheme="majorEastAsia" w:eastAsiaTheme="majorEastAsia" w:cstheme="majorEastAsia"/>
                <w:i w:val="0"/>
                <w:iCs w:val="0"/>
                <w:color w:val="000000"/>
                <w:kern w:val="0"/>
                <w:sz w:val="20"/>
                <w:szCs w:val="20"/>
                <w:u w:val="none"/>
                <w:lang w:val="en-US" w:eastAsia="zh-CN" w:bidi="ar"/>
              </w:rPr>
              <w:t>的样品，此样品为综合评分的一部分</w:t>
            </w:r>
          </w:p>
        </w:tc>
      </w:tr>
      <w:tr w14:paraId="58E4C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59" w:type="pct"/>
            <w:vAlign w:val="center"/>
          </w:tcPr>
          <w:p w14:paraId="4680FB02">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389" w:type="pct"/>
            <w:shd w:val="clear" w:color="auto" w:fill="auto"/>
            <w:vAlign w:val="center"/>
          </w:tcPr>
          <w:p w14:paraId="66851E1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ZCB2025-HC58-239</w:t>
            </w:r>
          </w:p>
        </w:tc>
        <w:tc>
          <w:tcPr>
            <w:tcW w:w="555" w:type="pct"/>
            <w:shd w:val="clear" w:color="auto" w:fill="auto"/>
            <w:vAlign w:val="center"/>
          </w:tcPr>
          <w:p w14:paraId="3A5C4C5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针形高频电极</w:t>
            </w:r>
          </w:p>
        </w:tc>
        <w:tc>
          <w:tcPr>
            <w:tcW w:w="655" w:type="pct"/>
            <w:shd w:val="clear" w:color="auto" w:fill="auto"/>
            <w:vAlign w:val="center"/>
          </w:tcPr>
          <w:p w14:paraId="19C095A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1520</w:t>
            </w: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488" w:type="pct"/>
            <w:shd w:val="clear" w:color="auto" w:fill="auto"/>
            <w:vAlign w:val="center"/>
          </w:tcPr>
          <w:p w14:paraId="509138D5">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钨针电极。在高频手术中进行电切、电凝用。</w:t>
            </w:r>
          </w:p>
        </w:tc>
        <w:tc>
          <w:tcPr>
            <w:tcW w:w="324" w:type="pct"/>
            <w:shd w:val="clear" w:color="auto" w:fill="auto"/>
            <w:vAlign w:val="center"/>
          </w:tcPr>
          <w:p w14:paraId="0971303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78" w:type="pct"/>
            <w:vAlign w:val="center"/>
          </w:tcPr>
          <w:p w14:paraId="1D805FE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24" w:type="pct"/>
            <w:shd w:val="clear" w:color="auto" w:fill="auto"/>
            <w:vAlign w:val="center"/>
          </w:tcPr>
          <w:p w14:paraId="3E08532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骨科（脊柱外科）</w:t>
            </w:r>
          </w:p>
        </w:tc>
        <w:tc>
          <w:tcPr>
            <w:tcW w:w="521" w:type="pct"/>
            <w:vAlign w:val="top"/>
          </w:tcPr>
          <w:p w14:paraId="31CF2C7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16894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59" w:type="pct"/>
            <w:vAlign w:val="center"/>
          </w:tcPr>
          <w:p w14:paraId="46E4763F">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389" w:type="pct"/>
            <w:shd w:val="clear" w:color="auto" w:fill="auto"/>
            <w:vAlign w:val="center"/>
          </w:tcPr>
          <w:p w14:paraId="09317E15">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ZCB2025-HC58-240</w:t>
            </w:r>
          </w:p>
        </w:tc>
        <w:tc>
          <w:tcPr>
            <w:tcW w:w="555" w:type="pct"/>
            <w:shd w:val="clear" w:color="auto" w:fill="auto"/>
            <w:vAlign w:val="center"/>
          </w:tcPr>
          <w:p w14:paraId="426B1D5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可吸收医用膜</w:t>
            </w:r>
          </w:p>
        </w:tc>
        <w:tc>
          <w:tcPr>
            <w:tcW w:w="655" w:type="pct"/>
            <w:shd w:val="clear" w:color="auto" w:fill="auto"/>
            <w:vAlign w:val="center"/>
          </w:tcPr>
          <w:p w14:paraId="4D1F1845">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432-600</w:t>
            </w: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488" w:type="pct"/>
            <w:shd w:val="clear" w:color="auto" w:fill="auto"/>
            <w:vAlign w:val="center"/>
          </w:tcPr>
          <w:p w14:paraId="0D2FB07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通过膜的物理隔离作用将术后易粘连组织界面分开，达到防止组织粘连的作用，适用于肌腱、椎管、腹腔、盆腔手术</w:t>
            </w:r>
          </w:p>
        </w:tc>
        <w:tc>
          <w:tcPr>
            <w:tcW w:w="324" w:type="pct"/>
            <w:shd w:val="clear" w:color="auto" w:fill="auto"/>
            <w:vAlign w:val="center"/>
          </w:tcPr>
          <w:p w14:paraId="1AD2239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78" w:type="pct"/>
            <w:vAlign w:val="center"/>
          </w:tcPr>
          <w:p w14:paraId="27295B02">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24" w:type="pct"/>
            <w:shd w:val="clear" w:color="auto" w:fill="auto"/>
            <w:vAlign w:val="center"/>
          </w:tcPr>
          <w:p w14:paraId="04A628E7">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骨科</w:t>
            </w:r>
          </w:p>
        </w:tc>
        <w:tc>
          <w:tcPr>
            <w:tcW w:w="521" w:type="pct"/>
            <w:vAlign w:val="top"/>
          </w:tcPr>
          <w:p w14:paraId="2A0778D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209B7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59" w:type="pct"/>
            <w:vAlign w:val="center"/>
          </w:tcPr>
          <w:p w14:paraId="458E202E">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4-1</w:t>
            </w:r>
          </w:p>
        </w:tc>
        <w:tc>
          <w:tcPr>
            <w:tcW w:w="389" w:type="pct"/>
            <w:shd w:val="clear" w:color="auto" w:fill="auto"/>
            <w:vAlign w:val="center"/>
          </w:tcPr>
          <w:p w14:paraId="340F2CFF">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ZCB2025-HC58-241-A</w:t>
            </w:r>
          </w:p>
        </w:tc>
        <w:tc>
          <w:tcPr>
            <w:tcW w:w="555" w:type="pct"/>
            <w:shd w:val="clear" w:color="auto" w:fill="auto"/>
            <w:vAlign w:val="center"/>
          </w:tcPr>
          <w:p w14:paraId="62CFFF0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医用皮肤减张缝合器（一次性使用皮肤缝合器）（A包）</w:t>
            </w:r>
          </w:p>
        </w:tc>
        <w:tc>
          <w:tcPr>
            <w:tcW w:w="655" w:type="pct"/>
            <w:shd w:val="clear" w:color="auto" w:fill="auto"/>
            <w:vAlign w:val="center"/>
          </w:tcPr>
          <w:p w14:paraId="7878F4BD">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228-620</w:t>
            </w: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488" w:type="pct"/>
            <w:shd w:val="clear" w:color="auto" w:fill="auto"/>
            <w:vAlign w:val="center"/>
          </w:tcPr>
          <w:p w14:paraId="7AF352B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 xml:space="preserve"> 1.</w:t>
            </w:r>
            <w:r>
              <w:rPr>
                <w:rFonts w:hint="eastAsia" w:asciiTheme="majorEastAsia" w:hAnsiTheme="majorEastAsia" w:eastAsiaTheme="majorEastAsia" w:cstheme="majorEastAsia"/>
                <w:i w:val="0"/>
                <w:iCs w:val="0"/>
                <w:color w:val="000000"/>
                <w:kern w:val="0"/>
                <w:sz w:val="20"/>
                <w:szCs w:val="20"/>
                <w:u w:val="none"/>
                <w:lang w:val="en-US" w:eastAsia="zh-CN" w:bidi="ar"/>
              </w:rPr>
              <w:t>适用于躯干及四肢</w:t>
            </w:r>
            <w:r>
              <w:rPr>
                <w:rFonts w:hint="default" w:asciiTheme="majorEastAsia" w:hAnsiTheme="majorEastAsia" w:eastAsiaTheme="majorEastAsia" w:cstheme="majorEastAsia"/>
                <w:i w:val="0"/>
                <w:iCs w:val="0"/>
                <w:color w:val="000000"/>
                <w:kern w:val="0"/>
                <w:sz w:val="20"/>
                <w:szCs w:val="20"/>
                <w:u w:val="none"/>
                <w:lang w:val="en-US" w:eastAsia="zh-CN" w:bidi="ar"/>
              </w:rPr>
              <w:t>(</w:t>
            </w:r>
            <w:r>
              <w:rPr>
                <w:rFonts w:hint="eastAsia" w:asciiTheme="majorEastAsia" w:hAnsiTheme="majorEastAsia" w:eastAsiaTheme="majorEastAsia" w:cstheme="majorEastAsia"/>
                <w:i w:val="0"/>
                <w:iCs w:val="0"/>
                <w:color w:val="000000"/>
                <w:kern w:val="0"/>
                <w:sz w:val="20"/>
                <w:szCs w:val="20"/>
                <w:u w:val="none"/>
                <w:lang w:val="en-US" w:eastAsia="zh-CN" w:bidi="ar"/>
              </w:rPr>
              <w:t>关节及活动幅度较大部位除外</w:t>
            </w:r>
            <w:r>
              <w:rPr>
                <w:rFonts w:hint="default" w:asciiTheme="majorEastAsia" w:hAnsiTheme="majorEastAsia" w:eastAsiaTheme="majorEastAsia" w:cstheme="majorEastAsia"/>
                <w:i w:val="0"/>
                <w:iCs w:val="0"/>
                <w:color w:val="000000"/>
                <w:kern w:val="0"/>
                <w:sz w:val="20"/>
                <w:szCs w:val="20"/>
                <w:u w:val="none"/>
                <w:lang w:val="en-US" w:eastAsia="zh-CN" w:bidi="ar"/>
              </w:rPr>
              <w:t>)</w:t>
            </w:r>
            <w:r>
              <w:rPr>
                <w:rFonts w:hint="eastAsia" w:asciiTheme="majorEastAsia" w:hAnsiTheme="majorEastAsia" w:eastAsiaTheme="majorEastAsia" w:cstheme="majorEastAsia"/>
                <w:i w:val="0"/>
                <w:iCs w:val="0"/>
                <w:color w:val="000000"/>
                <w:kern w:val="0"/>
                <w:sz w:val="20"/>
                <w:szCs w:val="20"/>
                <w:u w:val="none"/>
                <w:lang w:val="en-US" w:eastAsia="zh-CN" w:bidi="ar"/>
              </w:rPr>
              <w:t>手术伤口表皮的闭合处理。</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2.</w:t>
            </w:r>
            <w:r>
              <w:rPr>
                <w:rFonts w:hint="eastAsia" w:asciiTheme="majorEastAsia" w:hAnsiTheme="majorEastAsia" w:eastAsiaTheme="majorEastAsia" w:cstheme="majorEastAsia"/>
                <w:i w:val="0"/>
                <w:iCs w:val="0"/>
                <w:color w:val="000000"/>
                <w:kern w:val="0"/>
                <w:sz w:val="20"/>
                <w:szCs w:val="20"/>
                <w:u w:val="none"/>
                <w:lang w:val="en-US" w:eastAsia="zh-CN" w:bidi="ar"/>
              </w:rPr>
              <w:t>用于对创面两侧的皮肤进行牵张使得创面闭合或缩小（创口宽度</w:t>
            </w:r>
            <w:r>
              <w:rPr>
                <w:rFonts w:hint="default" w:asciiTheme="majorEastAsia" w:hAnsiTheme="majorEastAsia" w:eastAsiaTheme="majorEastAsia" w:cstheme="majorEastAsia"/>
                <w:i w:val="0"/>
                <w:iCs w:val="0"/>
                <w:color w:val="000000"/>
                <w:kern w:val="0"/>
                <w:sz w:val="20"/>
                <w:szCs w:val="20"/>
                <w:u w:val="none"/>
                <w:lang w:val="en-US" w:eastAsia="zh-CN" w:bidi="ar"/>
              </w:rPr>
              <w:t>2~20cm</w:t>
            </w:r>
            <w:r>
              <w:rPr>
                <w:rFonts w:hint="eastAsia" w:asciiTheme="majorEastAsia" w:hAnsiTheme="majorEastAsia" w:eastAsiaTheme="majorEastAsia" w:cstheme="majorEastAsia"/>
                <w:i w:val="0"/>
                <w:iCs w:val="0"/>
                <w:color w:val="000000"/>
                <w:kern w:val="0"/>
                <w:sz w:val="20"/>
                <w:szCs w:val="20"/>
                <w:u w:val="none"/>
                <w:lang w:val="en-US" w:eastAsia="zh-CN" w:bidi="ar"/>
              </w:rPr>
              <w:t>，长度</w:t>
            </w:r>
            <w:r>
              <w:rPr>
                <w:rFonts w:hint="default" w:asciiTheme="majorEastAsia" w:hAnsiTheme="majorEastAsia" w:eastAsiaTheme="majorEastAsia" w:cstheme="majorEastAsia"/>
                <w:i w:val="0"/>
                <w:iCs w:val="0"/>
                <w:color w:val="000000"/>
                <w:kern w:val="0"/>
                <w:sz w:val="20"/>
                <w:szCs w:val="20"/>
                <w:u w:val="none"/>
                <w:lang w:val="en-US" w:eastAsia="zh-CN" w:bidi="ar"/>
              </w:rPr>
              <w:t>2~23cm</w:t>
            </w:r>
            <w:r>
              <w:rPr>
                <w:rFonts w:hint="eastAsia" w:asciiTheme="majorEastAsia" w:hAnsiTheme="majorEastAsia" w:eastAsiaTheme="majorEastAsia" w:cstheme="majorEastAsia"/>
                <w:i w:val="0"/>
                <w:iCs w:val="0"/>
                <w:color w:val="000000"/>
                <w:kern w:val="0"/>
                <w:sz w:val="20"/>
                <w:szCs w:val="20"/>
                <w:u w:val="none"/>
                <w:lang w:val="en-US" w:eastAsia="zh-CN" w:bidi="ar"/>
              </w:rPr>
              <w:t>，平面或曲面均可）；也用于术前皮肤的预松扩张，方便进行病灶皮肤切除后创口的闭合或缝合处理。且产品上有可逆调节头实现牵张张力可调，可满足皮肤牵拉需要。</w:t>
            </w:r>
          </w:p>
        </w:tc>
        <w:tc>
          <w:tcPr>
            <w:tcW w:w="324" w:type="pct"/>
            <w:shd w:val="clear" w:color="auto" w:fill="auto"/>
            <w:vAlign w:val="center"/>
          </w:tcPr>
          <w:p w14:paraId="22E82E87">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78" w:type="pct"/>
            <w:vAlign w:val="center"/>
          </w:tcPr>
          <w:p w14:paraId="4A0C79D8">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24" w:type="pct"/>
            <w:shd w:val="clear" w:color="auto" w:fill="auto"/>
            <w:vAlign w:val="center"/>
          </w:tcPr>
          <w:p w14:paraId="58E8BA0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骨科（创伤骨科）</w:t>
            </w:r>
          </w:p>
        </w:tc>
        <w:tc>
          <w:tcPr>
            <w:tcW w:w="521" w:type="pct"/>
            <w:vAlign w:val="top"/>
          </w:tcPr>
          <w:p w14:paraId="302B28E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“2.5cm、8cm、15.5cm”规格</w:t>
            </w:r>
            <w:r>
              <w:rPr>
                <w:rFonts w:hint="eastAsia" w:asciiTheme="majorEastAsia" w:hAnsiTheme="majorEastAsia" w:eastAsiaTheme="majorEastAsia" w:cstheme="majorEastAsia"/>
                <w:i w:val="0"/>
                <w:iCs w:val="0"/>
                <w:color w:val="000000"/>
                <w:kern w:val="0"/>
                <w:sz w:val="20"/>
                <w:szCs w:val="20"/>
                <w:u w:val="none"/>
                <w:lang w:val="en-US" w:eastAsia="zh-CN" w:bidi="ar"/>
              </w:rPr>
              <w:t>的样品，此样品为综合评分的一部分</w:t>
            </w:r>
          </w:p>
        </w:tc>
      </w:tr>
      <w:tr w14:paraId="25B7C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59" w:type="pct"/>
            <w:vAlign w:val="center"/>
          </w:tcPr>
          <w:p w14:paraId="6F8A1130">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4-2</w:t>
            </w:r>
          </w:p>
        </w:tc>
        <w:tc>
          <w:tcPr>
            <w:tcW w:w="389" w:type="pct"/>
            <w:shd w:val="clear" w:color="auto" w:fill="auto"/>
            <w:vAlign w:val="center"/>
          </w:tcPr>
          <w:p w14:paraId="23AECB3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ZCB2025-HC58-241-B</w:t>
            </w:r>
          </w:p>
        </w:tc>
        <w:tc>
          <w:tcPr>
            <w:tcW w:w="555" w:type="pct"/>
            <w:shd w:val="clear" w:color="auto" w:fill="auto"/>
            <w:vAlign w:val="center"/>
          </w:tcPr>
          <w:p w14:paraId="15B744B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医用皮肤减张缝合器（一次性使用皮肤缝合器）（B包）</w:t>
            </w:r>
          </w:p>
        </w:tc>
        <w:tc>
          <w:tcPr>
            <w:tcW w:w="655" w:type="pct"/>
            <w:shd w:val="clear" w:color="auto" w:fill="auto"/>
            <w:vAlign w:val="center"/>
          </w:tcPr>
          <w:p w14:paraId="21F43B09">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68-679.29</w:t>
            </w: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488" w:type="pct"/>
            <w:shd w:val="clear" w:color="auto" w:fill="auto"/>
            <w:vAlign w:val="center"/>
          </w:tcPr>
          <w:p w14:paraId="42D5AF0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用于手术普通切口和创伤口的表皮缝合。</w:t>
            </w:r>
          </w:p>
        </w:tc>
        <w:tc>
          <w:tcPr>
            <w:tcW w:w="324" w:type="pct"/>
            <w:shd w:val="clear" w:color="auto" w:fill="auto"/>
            <w:vAlign w:val="center"/>
          </w:tcPr>
          <w:p w14:paraId="683D8AC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78" w:type="pct"/>
            <w:vAlign w:val="center"/>
          </w:tcPr>
          <w:p w14:paraId="765625E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24" w:type="pct"/>
            <w:shd w:val="clear" w:color="auto" w:fill="auto"/>
            <w:vAlign w:val="center"/>
          </w:tcPr>
          <w:p w14:paraId="28BEC98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急诊科</w:t>
            </w:r>
          </w:p>
        </w:tc>
        <w:tc>
          <w:tcPr>
            <w:tcW w:w="521" w:type="pct"/>
            <w:vAlign w:val="top"/>
          </w:tcPr>
          <w:p w14:paraId="5E1CE91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与原在库LK006A、LK020H、LK020I三个规格型号的技术参数相对应的产品</w:t>
            </w:r>
            <w:r>
              <w:rPr>
                <w:rFonts w:hint="eastAsia" w:asciiTheme="majorEastAsia" w:hAnsiTheme="majorEastAsia" w:eastAsiaTheme="majorEastAsia" w:cstheme="majorEastAsia"/>
                <w:i w:val="0"/>
                <w:iCs w:val="0"/>
                <w:color w:val="000000"/>
                <w:kern w:val="0"/>
                <w:sz w:val="20"/>
                <w:szCs w:val="20"/>
                <w:u w:val="none"/>
                <w:lang w:val="en-US" w:eastAsia="zh-CN" w:bidi="ar"/>
              </w:rPr>
              <w:t>作为样品，此样品为综合评分的一部分</w:t>
            </w:r>
          </w:p>
        </w:tc>
      </w:tr>
      <w:tr w14:paraId="684B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59" w:type="pct"/>
            <w:vAlign w:val="center"/>
          </w:tcPr>
          <w:p w14:paraId="5726B525">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w:t>
            </w:r>
          </w:p>
        </w:tc>
        <w:tc>
          <w:tcPr>
            <w:tcW w:w="389" w:type="pct"/>
            <w:shd w:val="clear" w:color="auto" w:fill="auto"/>
            <w:vAlign w:val="center"/>
          </w:tcPr>
          <w:p w14:paraId="726E2A2E">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ZCB2025-HC58-242</w:t>
            </w:r>
          </w:p>
        </w:tc>
        <w:tc>
          <w:tcPr>
            <w:tcW w:w="555" w:type="pct"/>
            <w:shd w:val="clear" w:color="auto" w:fill="auto"/>
            <w:vAlign w:val="center"/>
          </w:tcPr>
          <w:p w14:paraId="21538AF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医用胶液材料</w:t>
            </w:r>
          </w:p>
        </w:tc>
        <w:tc>
          <w:tcPr>
            <w:tcW w:w="655" w:type="pct"/>
            <w:shd w:val="clear" w:color="auto" w:fill="auto"/>
            <w:vAlign w:val="center"/>
          </w:tcPr>
          <w:p w14:paraId="539A7676">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118-2000</w:t>
            </w:r>
            <w:r>
              <w:rPr>
                <w:rFonts w:hint="eastAsia" w:asciiTheme="majorEastAsia" w:hAnsiTheme="majorEastAsia" w:eastAsiaTheme="majorEastAsia" w:cstheme="majorEastAsia"/>
                <w:i w:val="0"/>
                <w:iCs w:val="0"/>
                <w:color w:val="000000"/>
                <w:kern w:val="0"/>
                <w:sz w:val="20"/>
                <w:szCs w:val="20"/>
                <w:u w:val="none"/>
                <w:lang w:val="en-US" w:eastAsia="zh-CN" w:bidi="ar"/>
              </w:rPr>
              <w:t>（详见原在库目录）</w:t>
            </w:r>
          </w:p>
        </w:tc>
        <w:tc>
          <w:tcPr>
            <w:tcW w:w="1488" w:type="pct"/>
            <w:shd w:val="clear" w:color="auto" w:fill="auto"/>
            <w:vAlign w:val="center"/>
          </w:tcPr>
          <w:p w14:paraId="45B3429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用于人体皮肤、粘膜、创面上皮组织的处理与修复，减少血液与组织液的渗出，保护、隔离、润滑组织创面，促进创面愈合的作用</w:t>
            </w:r>
          </w:p>
        </w:tc>
        <w:tc>
          <w:tcPr>
            <w:tcW w:w="324" w:type="pct"/>
            <w:shd w:val="clear" w:color="auto" w:fill="auto"/>
            <w:vAlign w:val="center"/>
          </w:tcPr>
          <w:p w14:paraId="324DBF7F">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78" w:type="pct"/>
            <w:vAlign w:val="center"/>
          </w:tcPr>
          <w:p w14:paraId="2F006582">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24" w:type="pct"/>
            <w:shd w:val="clear" w:color="auto" w:fill="auto"/>
            <w:vAlign w:val="center"/>
          </w:tcPr>
          <w:p w14:paraId="492316C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急诊科</w:t>
            </w:r>
          </w:p>
        </w:tc>
        <w:tc>
          <w:tcPr>
            <w:tcW w:w="521" w:type="pct"/>
            <w:vAlign w:val="top"/>
          </w:tcPr>
          <w:p w14:paraId="41458DCF">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bl>
    <w:p w14:paraId="02E0F8FD">
      <w:pPr>
        <w:pStyle w:val="43"/>
        <w:widowControl/>
        <w:adjustRightInd w:val="0"/>
        <w:snapToGrid w:val="0"/>
        <w:spacing w:line="360" w:lineRule="auto"/>
        <w:rPr>
          <w:rFonts w:ascii="宋体" w:hAnsi="宋体" w:eastAsia="宋体" w:cs="宋体"/>
          <w:b/>
          <w:bCs/>
          <w:sz w:val="24"/>
          <w:szCs w:val="24"/>
        </w:rPr>
      </w:pP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投标文件（1正2副）密封于开标当天带至开标现场，附件1投标文件电子盖章扫描件PDF版用U盘保存，现场提交拷贝。</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8</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0"/>
        </w:numPr>
        <w:spacing w:line="400" w:lineRule="exact"/>
        <w:ind w:left="0" w:leftChars="0" w:firstLine="420" w:firstLineChars="0"/>
        <w:jc w:val="center"/>
        <w:rPr>
          <w:rFonts w:eastAsia="宋体"/>
          <w:b/>
          <w:bCs/>
          <w:kern w:val="0"/>
          <w:sz w:val="30"/>
          <w:szCs w:val="30"/>
        </w:rPr>
      </w:pPr>
      <w:r>
        <w:rPr>
          <w:rFonts w:hint="eastAsia" w:ascii="Times New Roman" w:hAnsi="Times New Roman" w:eastAsia="宋体" w:cs="Times New Roman"/>
          <w:b/>
          <w:bCs/>
          <w:kern w:val="0"/>
          <w:sz w:val="30"/>
          <w:szCs w:val="30"/>
          <w:lang w:val="en-US" w:eastAsia="zh-CN" w:bidi="ar-SA"/>
        </w:rPr>
        <w:t>（</w:t>
      </w:r>
      <w:r>
        <w:rPr>
          <w:rFonts w:hint="eastAsia" w:eastAsia="宋体" w:cs="Times New Roman"/>
          <w:b/>
          <w:bCs/>
          <w:kern w:val="0"/>
          <w:sz w:val="30"/>
          <w:szCs w:val="30"/>
          <w:lang w:val="en-US" w:eastAsia="zh-CN" w:bidi="ar-SA"/>
        </w:rPr>
        <w:t>二</w:t>
      </w:r>
      <w:r>
        <w:rPr>
          <w:rFonts w:hint="eastAsia" w:ascii="Times New Roman" w:hAnsi="Times New Roman" w:eastAsia="宋体" w:cs="Times New Roman"/>
          <w:b/>
          <w:bCs/>
          <w:kern w:val="0"/>
          <w:sz w:val="30"/>
          <w:szCs w:val="30"/>
          <w:lang w:val="en-US" w:eastAsia="zh-CN" w:bidi="ar-SA"/>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rPr>
                <w:rFonts w:hint="eastAsia"/>
              </w:rPr>
            </w:pPr>
            <w:r>
              <w:rPr>
                <w:rFonts w:hint="eastAsia" w:ascii="宋体" w:hAnsi="宋体" w:eastAsia="宋体" w:cs="宋体"/>
                <w:sz w:val="24"/>
              </w:rPr>
              <w:t>评</w:t>
            </w:r>
            <w:r>
              <w:rPr>
                <w:rFonts w:hint="eastAsia"/>
              </w:rPr>
              <w:t>标专家根据投标人提供近1年（202</w:t>
            </w:r>
            <w:r>
              <w:rPr>
                <w:rFonts w:hint="eastAsia"/>
                <w:lang w:val="en-US" w:eastAsia="zh-CN"/>
              </w:rPr>
              <w:t>4</w:t>
            </w:r>
            <w:r>
              <w:rPr>
                <w:rFonts w:hint="eastAsia"/>
              </w:rPr>
              <w:t>年</w:t>
            </w:r>
            <w:r>
              <w:rPr>
                <w:rFonts w:hint="eastAsia"/>
                <w:lang w:val="en-US" w:eastAsia="zh-CN"/>
              </w:rPr>
              <w:t>9</w:t>
            </w:r>
            <w:r>
              <w:rPr>
                <w:rFonts w:hint="eastAsia"/>
              </w:rPr>
              <w:t>月至今）在医疗机构的业绩证明进行评价。每提供1个项目得2分,最高得10分。</w:t>
            </w:r>
          </w:p>
          <w:p w14:paraId="35EA9EE3">
            <w:pPr>
              <w:rPr>
                <w:rFonts w:hint="eastAsia"/>
              </w:rPr>
            </w:pPr>
            <w:r>
              <w:rPr>
                <w:rFonts w:hint="eastAsia"/>
              </w:rPr>
              <w:t>未提供的不得分。</w:t>
            </w:r>
          </w:p>
          <w:p w14:paraId="353A902D">
            <w:pPr>
              <w:rPr>
                <w:rFonts w:hint="eastAsia"/>
              </w:rPr>
            </w:pPr>
            <w:r>
              <w:rPr>
                <w:rFonts w:hint="eastAsia"/>
              </w:rPr>
              <w:t>有效业绩定义：（同时满足以下全部要求同类业绩才属于有效业绩）</w:t>
            </w:r>
          </w:p>
          <w:p w14:paraId="53FFB3D9">
            <w:pPr>
              <w:rPr>
                <w:rFonts w:hint="eastAsia"/>
              </w:rPr>
            </w:pPr>
            <w:r>
              <w:rPr>
                <w:rFonts w:hint="eastAsia"/>
              </w:rPr>
              <w:t>1)同类业绩指：在医疗机构供货该项目。</w:t>
            </w:r>
          </w:p>
          <w:p w14:paraId="57A3A2AD">
            <w:pPr>
              <w:rPr>
                <w:rFonts w:hint="eastAsia"/>
              </w:rPr>
            </w:pPr>
            <w:r>
              <w:rPr>
                <w:rFonts w:hint="eastAsia"/>
              </w:rPr>
              <w:t>2)业绩内容为：采购该医用耗材。</w:t>
            </w:r>
          </w:p>
          <w:p w14:paraId="2E53F31F">
            <w:pPr>
              <w:rPr>
                <w:rFonts w:hint="eastAsia"/>
              </w:rPr>
            </w:pPr>
            <w:r>
              <w:rPr>
                <w:rFonts w:hint="eastAsia"/>
              </w:rPr>
              <w:t>3)合同签订时间为近1年至投标截止时间前。</w:t>
            </w:r>
          </w:p>
          <w:p w14:paraId="413AD729">
            <w:pPr>
              <w:rPr>
                <w:rFonts w:ascii="宋体" w:hAnsi="宋体" w:eastAsia="宋体" w:cs="宋体"/>
                <w:sz w:val="24"/>
              </w:rPr>
            </w:pPr>
            <w:r>
              <w:rPr>
                <w:rFonts w:hint="eastAsia"/>
              </w:rPr>
              <w:t>注：仅限含投标产品规格型号、价格的发票或合同或中标通知或阳光平台成交记录截图</w:t>
            </w:r>
            <w:r>
              <w:rPr>
                <w:rFonts w:hint="eastAsia"/>
                <w:color w:val="auto"/>
                <w:highlight w:val="yellow"/>
              </w:rPr>
              <w:t>（清楚显示注册证名称、注册证号、规格型号、配送单位、成交金额、数量等信息）</w:t>
            </w:r>
            <w:r>
              <w:rPr>
                <w:rFonts w:hint="eastAsia"/>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w:t>
            </w:r>
            <w:r>
              <w:rPr>
                <w:rFonts w:hint="eastAsia" w:ascii="宋体" w:hAnsi="宋体" w:eastAsia="宋体" w:cs="宋体"/>
                <w:color w:val="000000" w:themeColor="text1"/>
                <w:kern w:val="2"/>
                <w:sz w:val="24"/>
                <w:szCs w:val="24"/>
                <w:highlight w:val="yellow"/>
                <w:lang w:val="en-US" w:eastAsia="zh-CN"/>
                <w14:textFill>
                  <w14:solidFill>
                    <w14:schemeClr w14:val="tx1"/>
                  </w14:solidFill>
                </w14:textFill>
              </w:rPr>
              <w:t>评审现场</w:t>
            </w:r>
            <w:r>
              <w:rPr>
                <w:rFonts w:hint="eastAsia" w:ascii="宋体" w:hAnsi="宋体" w:eastAsia="宋体" w:cs="宋体"/>
                <w:color w:val="000000" w:themeColor="text1"/>
                <w:kern w:val="2"/>
                <w:sz w:val="24"/>
                <w:szCs w:val="24"/>
                <w14:textFill>
                  <w14:solidFill>
                    <w14:schemeClr w14:val="tx1"/>
                  </w14:solidFill>
                </w14:textFill>
              </w:rPr>
              <w:t>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rPr>
          <w:rFonts w:eastAsia="宋体"/>
          <w:b/>
          <w:bCs/>
          <w:color w:val="FF0000"/>
          <w:kern w:val="0"/>
          <w:sz w:val="32"/>
          <w:szCs w:val="32"/>
        </w:rPr>
      </w:pPr>
      <w:r>
        <w:rPr>
          <w:rFonts w:eastAsia="宋体"/>
          <w:b/>
          <w:bCs/>
          <w:color w:val="FF0000"/>
          <w:kern w:val="0"/>
          <w:sz w:val="32"/>
          <w:szCs w:val="32"/>
        </w:rPr>
        <w:br w:type="page"/>
      </w:r>
    </w:p>
    <w:p w14:paraId="4011A2A5">
      <w:pPr>
        <w:pStyle w:val="36"/>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2"/>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w:t>
      </w:r>
    </w:p>
    <w:p w14:paraId="1B9BA393">
      <w:pPr>
        <w:pStyle w:val="44"/>
        <w:widowControl/>
        <w:numPr>
          <w:ilvl w:val="0"/>
          <w:numId w:val="14"/>
        </w:numPr>
        <w:spacing w:line="360" w:lineRule="auto"/>
        <w:ind w:firstLineChars="0"/>
        <w:jc w:val="left"/>
        <w:rPr>
          <w:b/>
          <w:bCs/>
          <w:color w:val="000000" w:themeColor="text1"/>
          <w:szCs w:val="21"/>
          <w14:textFill>
            <w14:solidFill>
              <w14:schemeClr w14:val="tx1"/>
            </w14:solidFill>
          </w14:textFill>
        </w:rPr>
      </w:pPr>
      <w:r>
        <w:rPr>
          <w:color w:val="000000" w:themeColor="text1"/>
          <w14:textFill>
            <w14:solidFill>
              <w14:schemeClr w14:val="tx1"/>
            </w14:solidFill>
          </w14:textFill>
        </w:rPr>
        <w:t>综合评分法</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1"/>
          <w:numId w:val="0"/>
        </w:numPr>
        <w:spacing w:line="360" w:lineRule="auto"/>
        <w:ind w:firstLine="422" w:firstLineChars="20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择优评审法：</w:t>
      </w:r>
      <w:r>
        <w:rPr>
          <w:rFonts w:hint="eastAsia"/>
          <w:b/>
          <w:color w:val="000000" w:themeColor="text1"/>
          <w:szCs w:val="21"/>
          <w:highlight w:val="yellow"/>
          <w14:textFill>
            <w14:solidFill>
              <w14:schemeClr w14:val="tx1"/>
            </w14:solidFill>
          </w14:textFill>
        </w:rPr>
        <w:t>经</w:t>
      </w:r>
      <w:r>
        <w:rPr>
          <w:rFonts w:hint="eastAsia"/>
          <w:b/>
          <w:color w:val="000000" w:themeColor="text1"/>
          <w:szCs w:val="21"/>
          <w:highlight w:val="yellow"/>
          <w:lang w:val="en-US" w:eastAsia="zh-CN"/>
          <w14:textFill>
            <w14:solidFill>
              <w14:schemeClr w14:val="tx1"/>
            </w14:solidFill>
          </w14:textFill>
        </w:rPr>
        <w:t>延期后</w:t>
      </w:r>
      <w:r>
        <w:rPr>
          <w:rFonts w:hint="eastAsia"/>
          <w:b/>
          <w:color w:val="000000" w:themeColor="text1"/>
          <w:szCs w:val="21"/>
          <w:highlight w:val="yellow"/>
          <w14:textFill>
            <w14:solidFill>
              <w14:schemeClr w14:val="tx1"/>
            </w14:solidFill>
          </w14:textFill>
        </w:rPr>
        <w:t>不足3家有效投标供应商报名的，我院有权</w:t>
      </w:r>
      <w:r>
        <w:rPr>
          <w:rFonts w:hint="eastAsia"/>
          <w:b/>
          <w:color w:val="000000" w:themeColor="text1"/>
          <w:szCs w:val="21"/>
          <w:highlight w:val="yellow"/>
          <w:lang w:val="en-US" w:eastAsia="zh-CN"/>
          <w14:textFill>
            <w14:solidFill>
              <w14:schemeClr w14:val="tx1"/>
            </w14:solidFill>
          </w14:textFill>
        </w:rPr>
        <w:t>按照择优评审的方式与报名供应商进行议价谈判。</w:t>
      </w:r>
      <w:r>
        <w:rPr>
          <w:rFonts w:hint="eastAsia"/>
          <w:b/>
          <w:color w:val="000000" w:themeColor="text1"/>
          <w:szCs w:val="21"/>
          <w:highlight w:val="yellow"/>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4EE081B9">
      <w:pPr>
        <w:pStyle w:val="44"/>
        <w:widowControl/>
        <w:numPr>
          <w:ilvl w:val="0"/>
          <w:numId w:val="14"/>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1592EAD0">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评审现场</w:t>
      </w:r>
      <w:r>
        <w:rPr>
          <w:rFonts w:hint="eastAsia"/>
          <w:color w:val="000000" w:themeColor="text1"/>
          <w:szCs w:val="21"/>
          <w14:textFill>
            <w14:solidFill>
              <w14:schemeClr w14:val="tx1"/>
            </w14:solidFill>
          </w14:textFill>
        </w:rPr>
        <w:t>通过资格性、符合性审查不足三家的可直接按公开遴选采购文件规定的评审标准进行评审</w:t>
      </w:r>
      <w:r>
        <w:rPr>
          <w:rFonts w:hint="eastAsia"/>
          <w:color w:val="000000" w:themeColor="text1"/>
          <w:szCs w:val="21"/>
          <w:lang w:eastAsia="zh-CN"/>
          <w14:textFill>
            <w14:solidFill>
              <w14:schemeClr w14:val="tx1"/>
            </w14:solidFill>
          </w14:textFill>
        </w:rPr>
        <w:t>。</w:t>
      </w:r>
    </w:p>
    <w:p w14:paraId="63A449C4">
      <w:pPr>
        <w:pStyle w:val="44"/>
        <w:widowControl/>
        <w:numPr>
          <w:ilvl w:val="0"/>
          <w:numId w:val="15"/>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会签评审报告</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6" w:name="_Hlk72439043"/>
    </w:p>
    <w:p w14:paraId="46483C92">
      <w:pPr>
        <w:jc w:val="center"/>
        <w:rPr>
          <w:rFonts w:ascii="方正小标宋简体" w:hAnsi="方正小标宋简体" w:eastAsia="方正小标宋简体" w:cs="方正小标宋简体"/>
          <w:kern w:val="0"/>
          <w:sz w:val="44"/>
          <w:szCs w:val="36"/>
        </w:rPr>
      </w:pPr>
    </w:p>
    <w:p w14:paraId="7BF23289">
      <w:pPr>
        <w:pStyle w:val="36"/>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21586"/>
      <w:bookmarkStart w:id="12" w:name="_Toc73521674"/>
      <w:bookmarkStart w:id="13" w:name="_Toc73518157"/>
      <w:bookmarkStart w:id="14" w:name="_Toc100052408"/>
      <w:bookmarkStart w:id="15" w:name="_Toc73517679"/>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17680"/>
      <w:bookmarkStart w:id="17" w:name="_Toc73518158"/>
      <w:bookmarkStart w:id="18" w:name="_Toc100052409"/>
      <w:bookmarkStart w:id="19" w:name="_Toc73521675"/>
      <w:bookmarkStart w:id="20" w:name="_Toc73521587"/>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589"/>
      <w:bookmarkStart w:id="22" w:name="_Toc73518160"/>
      <w:bookmarkStart w:id="23" w:name="_Toc73521677"/>
      <w:bookmarkStart w:id="24" w:name="_Toc73517682"/>
      <w:bookmarkStart w:id="25" w:name="_Toc10005241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单位负责人：</w:t>
      </w:r>
      <w:r>
        <w:rPr>
          <w:rFonts w:hint="eastAsia" w:ascii="宋体" w:hAnsi="宋体" w:eastAsia="宋体" w:cs="宋体"/>
          <w:color w:val="000000"/>
          <w:kern w:val="0"/>
          <w:szCs w:val="21"/>
          <w:lang w:val="en-US" w:eastAsia="zh-CN"/>
        </w:rPr>
        <w:t>陈燕铭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3"/>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780ED759">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7061FF01">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3A5EBFAD">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36"/>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lang w:val="en-US" w:eastAsia="zh-CN"/>
        </w:rPr>
        <w:t>二</w:t>
      </w:r>
      <w:r>
        <w:rPr>
          <w:rFonts w:hint="eastAsia" w:ascii="宋体" w:hAnsi="宋体" w:eastAsia="宋体" w:cs="宋体"/>
          <w:b/>
          <w:sz w:val="32"/>
          <w:szCs w:val="32"/>
        </w:rPr>
        <w:t>、自查表</w:t>
      </w:r>
    </w:p>
    <w:p w14:paraId="0F3B92FA">
      <w:pPr>
        <w:pStyle w:val="36"/>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0"/>
              <w:rPr>
                <w:rFonts w:ascii="宋体" w:hAnsi="宋体" w:cs="宋体"/>
                <w:sz w:val="21"/>
                <w:szCs w:val="21"/>
              </w:rPr>
            </w:pPr>
            <w:r>
              <w:rPr>
                <w:rFonts w:hint="eastAsia" w:ascii="宋体" w:hAnsi="宋体" w:cs="宋体"/>
                <w:sz w:val="21"/>
                <w:szCs w:val="21"/>
              </w:rPr>
              <w:t>见投标文件第( )页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 )页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2F7824B9">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 )页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0"/>
              <w:rPr>
                <w:rFonts w:ascii="宋体" w:hAnsi="宋体" w:cs="宋体"/>
                <w:sz w:val="21"/>
                <w:szCs w:val="21"/>
              </w:rPr>
            </w:pPr>
            <w:r>
              <w:rPr>
                <w:rFonts w:hint="eastAsia" w:ascii="宋体" w:hAnsi="宋体" w:cs="宋体"/>
                <w:sz w:val="21"/>
                <w:szCs w:val="21"/>
              </w:rPr>
              <w:t>见投标文件第( )页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0"/>
              <w:rPr>
                <w:rFonts w:ascii="宋体" w:hAnsi="宋体" w:cs="宋体"/>
                <w:sz w:val="21"/>
                <w:szCs w:val="21"/>
              </w:rPr>
            </w:pPr>
            <w:r>
              <w:rPr>
                <w:rFonts w:hint="eastAsia" w:ascii="宋体" w:hAnsi="宋体" w:cs="宋体"/>
                <w:sz w:val="21"/>
                <w:szCs w:val="21"/>
              </w:rPr>
              <w:t>见投标文件第( )页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0"/>
              <w:rPr>
                <w:rFonts w:ascii="宋体" w:hAnsi="宋体" w:cs="宋体"/>
                <w:sz w:val="21"/>
                <w:szCs w:val="21"/>
              </w:rPr>
            </w:pPr>
            <w:r>
              <w:rPr>
                <w:rFonts w:hint="eastAsia" w:ascii="宋体" w:hAnsi="宋体" w:cs="宋体"/>
                <w:sz w:val="21"/>
                <w:szCs w:val="21"/>
              </w:rPr>
              <w:t>见投标文件第( )页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8"/>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8"/>
        <w:ind w:left="0" w:firstLine="0" w:firstLineChars="0"/>
      </w:pPr>
    </w:p>
    <w:p w14:paraId="31F4A4C5"/>
    <w:p w14:paraId="01D2D3C6">
      <w:pPr>
        <w:pStyle w:val="36"/>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 )页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 )页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 )页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 )页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 )页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 )页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 )页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 )页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 )页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 )页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 )页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 )页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 )页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 )页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3"/>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58C848AC">
      <w:pPr>
        <w:pStyle w:val="3"/>
        <w:numPr>
          <w:ilvl w:val="255"/>
          <w:numId w:val="0"/>
        </w:numPr>
        <w:spacing w:line="240" w:lineRule="auto"/>
        <w:jc w:val="center"/>
        <w:rPr>
          <w:rFonts w:hint="eastAsia" w:ascii="Times New Roman" w:hAnsi="Times New Roman" w:eastAsia="宋体" w:cs="Times New Roman"/>
        </w:rPr>
      </w:pPr>
    </w:p>
    <w:p w14:paraId="58CC0646">
      <w:pPr>
        <w:pStyle w:val="3"/>
        <w:numPr>
          <w:ilvl w:val="255"/>
          <w:numId w:val="0"/>
        </w:numPr>
        <w:spacing w:line="240" w:lineRule="auto"/>
        <w:jc w:val="center"/>
        <w:rPr>
          <w:rFonts w:hint="eastAsia" w:ascii="Times New Roman" w:hAnsi="Times New Roman" w:eastAsia="宋体" w:cs="Times New Roman"/>
        </w:rPr>
      </w:pPr>
    </w:p>
    <w:p w14:paraId="02271D8B">
      <w:pPr>
        <w:pStyle w:val="3"/>
        <w:numPr>
          <w:ilvl w:val="255"/>
          <w:numId w:val="0"/>
        </w:numPr>
        <w:spacing w:line="240" w:lineRule="auto"/>
        <w:jc w:val="center"/>
        <w:rPr>
          <w:rFonts w:hint="eastAsia" w:ascii="Times New Roman" w:hAnsi="Times New Roman" w:eastAsia="宋体" w:cs="Times New Roman"/>
        </w:rPr>
      </w:pPr>
    </w:p>
    <w:p w14:paraId="06BDC956">
      <w:pPr>
        <w:pStyle w:val="3"/>
        <w:numPr>
          <w:ilvl w:val="255"/>
          <w:numId w:val="0"/>
        </w:numPr>
        <w:spacing w:line="240" w:lineRule="auto"/>
        <w:jc w:val="center"/>
        <w:rPr>
          <w:rFonts w:hint="eastAsia" w:ascii="Times New Roman" w:hAnsi="Times New Roman" w:eastAsia="宋体" w:cs="Times New Roman"/>
        </w:rPr>
      </w:pPr>
    </w:p>
    <w:p w14:paraId="02945F7D">
      <w:pPr>
        <w:pStyle w:val="3"/>
        <w:numPr>
          <w:ilvl w:val="255"/>
          <w:numId w:val="0"/>
        </w:numPr>
        <w:spacing w:line="240" w:lineRule="auto"/>
        <w:jc w:val="center"/>
        <w:rPr>
          <w:rFonts w:hint="eastAsia" w:ascii="Times New Roman" w:hAnsi="Times New Roman" w:eastAsia="宋体" w:cs="Times New Roman"/>
        </w:rPr>
      </w:pPr>
    </w:p>
    <w:p w14:paraId="267F32E7">
      <w:pPr>
        <w:pStyle w:val="3"/>
        <w:numPr>
          <w:ilvl w:val="255"/>
          <w:numId w:val="0"/>
        </w:numPr>
        <w:spacing w:line="240" w:lineRule="auto"/>
        <w:jc w:val="center"/>
        <w:rPr>
          <w:rFonts w:hint="eastAsia" w:ascii="Times New Roman" w:hAnsi="Times New Roman" w:eastAsia="宋体" w:cs="Times New Roman"/>
        </w:rPr>
      </w:pPr>
    </w:p>
    <w:p w14:paraId="660F1FDF">
      <w:pPr>
        <w:pStyle w:val="3"/>
        <w:numPr>
          <w:ilvl w:val="255"/>
          <w:numId w:val="0"/>
        </w:numPr>
        <w:spacing w:line="240" w:lineRule="auto"/>
        <w:jc w:val="center"/>
        <w:rPr>
          <w:rFonts w:hint="eastAsia" w:ascii="Times New Roman" w:hAnsi="Times New Roman" w:eastAsia="宋体" w:cs="Times New Roman"/>
        </w:rPr>
      </w:pPr>
    </w:p>
    <w:p w14:paraId="07C8C59F">
      <w:pPr>
        <w:pStyle w:val="3"/>
        <w:numPr>
          <w:ilvl w:val="255"/>
          <w:numId w:val="0"/>
        </w:numPr>
        <w:spacing w:line="240" w:lineRule="auto"/>
        <w:jc w:val="center"/>
        <w:rPr>
          <w:rFonts w:hint="eastAsia" w:ascii="Times New Roman" w:hAnsi="Times New Roman" w:eastAsia="宋体" w:cs="Times New Roman"/>
        </w:rPr>
      </w:pPr>
    </w:p>
    <w:p w14:paraId="1232CA53">
      <w:pPr>
        <w:pStyle w:val="3"/>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bookmarkStart w:id="30" w:name="_GoBack"/>
      <w:bookmarkEnd w:id="30"/>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366899B4">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6D99AC5-94B8-49EB-9E42-0A3F249F41C2}"/>
  </w:font>
  <w:font w:name="黑体">
    <w:panose1 w:val="02010609060101010101"/>
    <w:charset w:val="86"/>
    <w:family w:val="auto"/>
    <w:pitch w:val="default"/>
    <w:sig w:usb0="800002BF" w:usb1="38CF7CFA" w:usb2="00000016" w:usb3="00000000" w:csb0="00040001" w:csb1="00000000"/>
    <w:embedRegular r:id="rId2" w:fontKey="{5A5EA1DD-BD82-42E9-A2D2-E6553462759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8A4CEA9E-A121-453F-B31B-5EAC700C6E89}"/>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69933109-7292-4620-8943-7DCB76804028}"/>
  </w:font>
  <w:font w:name="华文中宋">
    <w:panose1 w:val="02010600040101010101"/>
    <w:charset w:val="86"/>
    <w:family w:val="auto"/>
    <w:pitch w:val="default"/>
    <w:sig w:usb0="00000287" w:usb1="080F0000" w:usb2="00000000" w:usb3="00000000" w:csb0="0004009F" w:csb1="DFD70000"/>
    <w:embedRegular r:id="rId5" w:fontKey="{4311DDC0-982A-47C7-BBAA-CFE093EFC396}"/>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1C76B6E0-1F06-4565-8129-AEE892FEFD15}"/>
  </w:font>
  <w:font w:name="方正小标宋简体">
    <w:panose1 w:val="03000509000000000000"/>
    <w:charset w:val="86"/>
    <w:family w:val="auto"/>
    <w:pitch w:val="default"/>
    <w:sig w:usb0="00000001" w:usb1="080E0000" w:usb2="00000000" w:usb3="00000000" w:csb0="00040000" w:csb1="00000000"/>
    <w:embedRegular r:id="rId7" w:fontKey="{47CAB013-A486-4B75-A2E0-E41F3E343115}"/>
  </w:font>
  <w:font w:name="微软雅黑">
    <w:panose1 w:val="020B0503020204020204"/>
    <w:charset w:val="86"/>
    <w:family w:val="swiss"/>
    <w:pitch w:val="default"/>
    <w:sig w:usb0="80000287" w:usb1="2ACF3C50" w:usb2="00000016" w:usb3="00000000" w:csb0="0004001F" w:csb1="00000000"/>
    <w:embedRegular r:id="rId8" w:fontKey="{13D163C3-1861-419A-B612-799DC78C4080}"/>
  </w:font>
  <w:font w:name="仿宋">
    <w:panose1 w:val="02010609060101010101"/>
    <w:charset w:val="86"/>
    <w:family w:val="modern"/>
    <w:pitch w:val="default"/>
    <w:sig w:usb0="800002BF" w:usb1="38CF7CFA" w:usb2="00000016" w:usb3="00000000" w:csb0="00040001" w:csb1="00000000"/>
    <w:embedRegular r:id="rId9" w:fontKey="{C596C728-69C0-43F6-B1A5-CB540981851E}"/>
  </w:font>
  <w:font w:name="方正小标宋_GBK">
    <w:panose1 w:val="02000000000000000000"/>
    <w:charset w:val="86"/>
    <w:family w:val="script"/>
    <w:pitch w:val="default"/>
    <w:sig w:usb0="A00002BF" w:usb1="38CF7CFA" w:usb2="00082016" w:usb3="00000000" w:csb0="00040001" w:csb1="00000000"/>
    <w:embedRegular r:id="rId10" w:fontKey="{1EC0CC5C-8A48-4FE1-86A0-E6BE8B8998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96FAFE7"/>
    <w:multiLevelType w:val="singleLevel"/>
    <w:tmpl w:val="996FAFE7"/>
    <w:lvl w:ilvl="0" w:tentative="0">
      <w:start w:val="1"/>
      <w:numFmt w:val="decimal"/>
      <w:lvlText w:val="%1)"/>
      <w:lvlJc w:val="left"/>
      <w:pPr>
        <w:ind w:left="425" w:hanging="425"/>
      </w:pPr>
      <w:rPr>
        <w:rFonts w:hint="default"/>
      </w:rPr>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D70FB1DE"/>
    <w:multiLevelType w:val="singleLevel"/>
    <w:tmpl w:val="D70FB1DE"/>
    <w:lvl w:ilvl="0" w:tentative="0">
      <w:start w:val="2"/>
      <w:numFmt w:val="decimal"/>
      <w:suff w:val="space"/>
      <w:lvlText w:val="%1."/>
      <w:lvlJc w:val="left"/>
    </w:lvl>
  </w:abstractNum>
  <w:abstractNum w:abstractNumId="6">
    <w:nsid w:val="D9146FBB"/>
    <w:multiLevelType w:val="singleLevel"/>
    <w:tmpl w:val="D9146FBB"/>
    <w:lvl w:ilvl="0" w:tentative="0">
      <w:start w:val="1"/>
      <w:numFmt w:val="chineseCounting"/>
      <w:suff w:val="nothing"/>
      <w:lvlText w:val="（%1）"/>
      <w:lvlJc w:val="left"/>
      <w:rPr>
        <w:rFonts w:hint="eastAsia"/>
      </w:rPr>
    </w:lvl>
  </w:abstractNum>
  <w:abstractNum w:abstractNumId="7">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8">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9">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0">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3">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4">
    <w:nsid w:val="1B4CD236"/>
    <w:multiLevelType w:val="singleLevel"/>
    <w:tmpl w:val="1B4CD236"/>
    <w:lvl w:ilvl="0" w:tentative="0">
      <w:start w:val="6"/>
      <w:numFmt w:val="chineseCounting"/>
      <w:suff w:val="space"/>
      <w:lvlText w:val="第%1章"/>
      <w:lvlJc w:val="left"/>
      <w:rPr>
        <w:rFonts w:hint="eastAsia"/>
      </w:rPr>
    </w:lvl>
  </w:abstractNum>
  <w:abstractNum w:abstractNumId="15">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6">
    <w:nsid w:val="36B6CA1F"/>
    <w:multiLevelType w:val="singleLevel"/>
    <w:tmpl w:val="36B6CA1F"/>
    <w:lvl w:ilvl="0" w:tentative="0">
      <w:start w:val="1"/>
      <w:numFmt w:val="decimal"/>
      <w:lvlText w:val="(%1)"/>
      <w:lvlJc w:val="left"/>
      <w:pPr>
        <w:ind w:left="425" w:hanging="425"/>
      </w:pPr>
      <w:rPr>
        <w:rFonts w:hint="default"/>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2"/>
  </w:num>
  <w:num w:numId="3">
    <w:abstractNumId w:val="13"/>
  </w:num>
  <w:num w:numId="4">
    <w:abstractNumId w:val="7"/>
  </w:num>
  <w:num w:numId="5">
    <w:abstractNumId w:val="15"/>
  </w:num>
  <w:num w:numId="6">
    <w:abstractNumId w:val="9"/>
  </w:num>
  <w:num w:numId="7">
    <w:abstractNumId w:val="22"/>
  </w:num>
  <w:num w:numId="8">
    <w:abstractNumId w:val="21"/>
  </w:num>
  <w:num w:numId="9">
    <w:abstractNumId w:val="3"/>
  </w:num>
  <w:num w:numId="10">
    <w:abstractNumId w:val="17"/>
  </w:num>
  <w:num w:numId="11">
    <w:abstractNumId w:val="11"/>
  </w:num>
  <w:num w:numId="12">
    <w:abstractNumId w:val="10"/>
  </w:num>
  <w:num w:numId="13">
    <w:abstractNumId w:val="27"/>
  </w:num>
  <w:num w:numId="14">
    <w:abstractNumId w:val="16"/>
  </w:num>
  <w:num w:numId="15">
    <w:abstractNumId w:val="1"/>
  </w:num>
  <w:num w:numId="16">
    <w:abstractNumId w:val="24"/>
  </w:num>
  <w:num w:numId="17">
    <w:abstractNumId w:val="19"/>
  </w:num>
  <w:num w:numId="18">
    <w:abstractNumId w:val="20"/>
  </w:num>
  <w:num w:numId="19">
    <w:abstractNumId w:val="14"/>
  </w:num>
  <w:num w:numId="20">
    <w:abstractNumId w:val="18"/>
  </w:num>
  <w:num w:numId="21">
    <w:abstractNumId w:val="5"/>
  </w:num>
  <w:num w:numId="22">
    <w:abstractNumId w:val="25"/>
  </w:num>
  <w:num w:numId="23">
    <w:abstractNumId w:val="8"/>
  </w:num>
  <w:num w:numId="24">
    <w:abstractNumId w:val="6"/>
  </w:num>
  <w:num w:numId="25">
    <w:abstractNumId w:val="12"/>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2E21"/>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0B26"/>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2104022"/>
    <w:rsid w:val="030E2569"/>
    <w:rsid w:val="03BD1657"/>
    <w:rsid w:val="04C609C8"/>
    <w:rsid w:val="04CE3D21"/>
    <w:rsid w:val="04E35A1E"/>
    <w:rsid w:val="05715D6E"/>
    <w:rsid w:val="05AC5740"/>
    <w:rsid w:val="062A4F87"/>
    <w:rsid w:val="066426AB"/>
    <w:rsid w:val="06CE7C54"/>
    <w:rsid w:val="070C6AB3"/>
    <w:rsid w:val="0722284A"/>
    <w:rsid w:val="07683527"/>
    <w:rsid w:val="079B25E0"/>
    <w:rsid w:val="07A05F2C"/>
    <w:rsid w:val="08403A7A"/>
    <w:rsid w:val="085546C8"/>
    <w:rsid w:val="08EE6740"/>
    <w:rsid w:val="09181A0E"/>
    <w:rsid w:val="09303623"/>
    <w:rsid w:val="09491AC5"/>
    <w:rsid w:val="09FA4319"/>
    <w:rsid w:val="0A243FBF"/>
    <w:rsid w:val="0A263C68"/>
    <w:rsid w:val="0A5667CD"/>
    <w:rsid w:val="0AFD710E"/>
    <w:rsid w:val="0B4A6058"/>
    <w:rsid w:val="0B512C73"/>
    <w:rsid w:val="0B677C63"/>
    <w:rsid w:val="0BE95409"/>
    <w:rsid w:val="0C9B1CCF"/>
    <w:rsid w:val="0CCE2622"/>
    <w:rsid w:val="0CD563F7"/>
    <w:rsid w:val="0E085C48"/>
    <w:rsid w:val="0EBB3AA4"/>
    <w:rsid w:val="0FAD08ED"/>
    <w:rsid w:val="100D0676"/>
    <w:rsid w:val="108F0808"/>
    <w:rsid w:val="10A23C41"/>
    <w:rsid w:val="11113C16"/>
    <w:rsid w:val="119A47CB"/>
    <w:rsid w:val="120732E1"/>
    <w:rsid w:val="12B66C1C"/>
    <w:rsid w:val="13A63ACA"/>
    <w:rsid w:val="13C24A51"/>
    <w:rsid w:val="14175BB0"/>
    <w:rsid w:val="14882CBA"/>
    <w:rsid w:val="14922FE9"/>
    <w:rsid w:val="14E75DFB"/>
    <w:rsid w:val="14EE3866"/>
    <w:rsid w:val="15180BA4"/>
    <w:rsid w:val="15420113"/>
    <w:rsid w:val="15DC43E5"/>
    <w:rsid w:val="15EA1883"/>
    <w:rsid w:val="16503E5D"/>
    <w:rsid w:val="16714F7E"/>
    <w:rsid w:val="16BA5DAD"/>
    <w:rsid w:val="16DA42D5"/>
    <w:rsid w:val="171A032B"/>
    <w:rsid w:val="17324FA7"/>
    <w:rsid w:val="18510A99"/>
    <w:rsid w:val="188340A0"/>
    <w:rsid w:val="18C84236"/>
    <w:rsid w:val="190B1E92"/>
    <w:rsid w:val="19285BF1"/>
    <w:rsid w:val="19A23C56"/>
    <w:rsid w:val="19B61E14"/>
    <w:rsid w:val="19EA176D"/>
    <w:rsid w:val="19EE77E2"/>
    <w:rsid w:val="1A0231EB"/>
    <w:rsid w:val="1A845156"/>
    <w:rsid w:val="1AF94279"/>
    <w:rsid w:val="1BAB2FDC"/>
    <w:rsid w:val="1C6360EC"/>
    <w:rsid w:val="1D0535E1"/>
    <w:rsid w:val="1D122527"/>
    <w:rsid w:val="1D471F18"/>
    <w:rsid w:val="1DA430AA"/>
    <w:rsid w:val="1E141DF9"/>
    <w:rsid w:val="1EAB60A6"/>
    <w:rsid w:val="1EAE474B"/>
    <w:rsid w:val="1F1B41F1"/>
    <w:rsid w:val="1F9F0833"/>
    <w:rsid w:val="1FB5190D"/>
    <w:rsid w:val="1FFB05D4"/>
    <w:rsid w:val="20B25CBE"/>
    <w:rsid w:val="20D81D57"/>
    <w:rsid w:val="21951A7A"/>
    <w:rsid w:val="21DC5877"/>
    <w:rsid w:val="21F55351"/>
    <w:rsid w:val="22327245"/>
    <w:rsid w:val="227616EA"/>
    <w:rsid w:val="23AF490C"/>
    <w:rsid w:val="23E206E4"/>
    <w:rsid w:val="241F1A4B"/>
    <w:rsid w:val="24442CF2"/>
    <w:rsid w:val="249E5BD9"/>
    <w:rsid w:val="24B05A43"/>
    <w:rsid w:val="251F58B8"/>
    <w:rsid w:val="25335A76"/>
    <w:rsid w:val="257965BE"/>
    <w:rsid w:val="25897742"/>
    <w:rsid w:val="26013AFE"/>
    <w:rsid w:val="26CD4B45"/>
    <w:rsid w:val="274E2D73"/>
    <w:rsid w:val="277677B1"/>
    <w:rsid w:val="27AB0837"/>
    <w:rsid w:val="281B3EE1"/>
    <w:rsid w:val="283C2E70"/>
    <w:rsid w:val="292C4690"/>
    <w:rsid w:val="296A3769"/>
    <w:rsid w:val="29B33674"/>
    <w:rsid w:val="2A04596B"/>
    <w:rsid w:val="2A1E2AB2"/>
    <w:rsid w:val="2A29419B"/>
    <w:rsid w:val="2A7D4161"/>
    <w:rsid w:val="2BBE4A09"/>
    <w:rsid w:val="2C4E4E7B"/>
    <w:rsid w:val="2D305785"/>
    <w:rsid w:val="2DF5037E"/>
    <w:rsid w:val="2EBE628C"/>
    <w:rsid w:val="2FA22E86"/>
    <w:rsid w:val="2FEC137B"/>
    <w:rsid w:val="310D5099"/>
    <w:rsid w:val="31321010"/>
    <w:rsid w:val="3162492F"/>
    <w:rsid w:val="31AF0359"/>
    <w:rsid w:val="31EE248D"/>
    <w:rsid w:val="33097BA0"/>
    <w:rsid w:val="33126195"/>
    <w:rsid w:val="340B487E"/>
    <w:rsid w:val="34627E5E"/>
    <w:rsid w:val="34876E3B"/>
    <w:rsid w:val="34D53509"/>
    <w:rsid w:val="359F045A"/>
    <w:rsid w:val="362F5B1E"/>
    <w:rsid w:val="36607729"/>
    <w:rsid w:val="36DB2EFD"/>
    <w:rsid w:val="37295B73"/>
    <w:rsid w:val="373E02C1"/>
    <w:rsid w:val="37B27395"/>
    <w:rsid w:val="37F23808"/>
    <w:rsid w:val="37FA4B2D"/>
    <w:rsid w:val="38273E27"/>
    <w:rsid w:val="38AA4085"/>
    <w:rsid w:val="38DD5D05"/>
    <w:rsid w:val="39363BE6"/>
    <w:rsid w:val="3988482D"/>
    <w:rsid w:val="399D0437"/>
    <w:rsid w:val="3A736BBC"/>
    <w:rsid w:val="3AA52CC3"/>
    <w:rsid w:val="3B7E6DB2"/>
    <w:rsid w:val="3B83690E"/>
    <w:rsid w:val="3C355E58"/>
    <w:rsid w:val="3CA01A83"/>
    <w:rsid w:val="3CFF2D9A"/>
    <w:rsid w:val="3D0D4208"/>
    <w:rsid w:val="3D186F6A"/>
    <w:rsid w:val="3D22593A"/>
    <w:rsid w:val="3D5460D2"/>
    <w:rsid w:val="3DEB2C72"/>
    <w:rsid w:val="3E237E24"/>
    <w:rsid w:val="3E4D1237"/>
    <w:rsid w:val="3E9F68DA"/>
    <w:rsid w:val="3F2B286B"/>
    <w:rsid w:val="3F446ADE"/>
    <w:rsid w:val="3FED5CCD"/>
    <w:rsid w:val="400D4BB3"/>
    <w:rsid w:val="408221E1"/>
    <w:rsid w:val="40CF687B"/>
    <w:rsid w:val="416D6A0E"/>
    <w:rsid w:val="417D1DC2"/>
    <w:rsid w:val="43B4696F"/>
    <w:rsid w:val="43E443EC"/>
    <w:rsid w:val="446B68BB"/>
    <w:rsid w:val="44E42F3B"/>
    <w:rsid w:val="45BB73CE"/>
    <w:rsid w:val="45C06792"/>
    <w:rsid w:val="45F33725"/>
    <w:rsid w:val="45FA003E"/>
    <w:rsid w:val="45FB24E5"/>
    <w:rsid w:val="46756E72"/>
    <w:rsid w:val="46813D02"/>
    <w:rsid w:val="473A07C7"/>
    <w:rsid w:val="474A1318"/>
    <w:rsid w:val="4923137F"/>
    <w:rsid w:val="4963275E"/>
    <w:rsid w:val="498F35C1"/>
    <w:rsid w:val="49C12AD9"/>
    <w:rsid w:val="4A0A5CC7"/>
    <w:rsid w:val="4A307253"/>
    <w:rsid w:val="4A6C0158"/>
    <w:rsid w:val="4AB41B33"/>
    <w:rsid w:val="4B6824FD"/>
    <w:rsid w:val="4BDF11B3"/>
    <w:rsid w:val="4CBB3066"/>
    <w:rsid w:val="4CD51A8F"/>
    <w:rsid w:val="4D473FEB"/>
    <w:rsid w:val="4D537CF5"/>
    <w:rsid w:val="4D942511"/>
    <w:rsid w:val="4DBA7F6B"/>
    <w:rsid w:val="4E217FEA"/>
    <w:rsid w:val="4E3E74CF"/>
    <w:rsid w:val="4E4F6905"/>
    <w:rsid w:val="4EF852D8"/>
    <w:rsid w:val="4F012557"/>
    <w:rsid w:val="4FDF1192"/>
    <w:rsid w:val="4FFD7D60"/>
    <w:rsid w:val="50453910"/>
    <w:rsid w:val="505226DD"/>
    <w:rsid w:val="50637FC5"/>
    <w:rsid w:val="50BC39B4"/>
    <w:rsid w:val="50C56D57"/>
    <w:rsid w:val="52770955"/>
    <w:rsid w:val="52EB37B7"/>
    <w:rsid w:val="53281FE3"/>
    <w:rsid w:val="532D1418"/>
    <w:rsid w:val="5359798D"/>
    <w:rsid w:val="53607807"/>
    <w:rsid w:val="537457C4"/>
    <w:rsid w:val="53844041"/>
    <w:rsid w:val="53F0286B"/>
    <w:rsid w:val="550310E3"/>
    <w:rsid w:val="55631BDD"/>
    <w:rsid w:val="5577489C"/>
    <w:rsid w:val="55BA07E5"/>
    <w:rsid w:val="55E9653E"/>
    <w:rsid w:val="562543F0"/>
    <w:rsid w:val="57177BE7"/>
    <w:rsid w:val="573E4B0A"/>
    <w:rsid w:val="577E687E"/>
    <w:rsid w:val="57E119D2"/>
    <w:rsid w:val="57ED67F5"/>
    <w:rsid w:val="58501BF8"/>
    <w:rsid w:val="588D13BE"/>
    <w:rsid w:val="58C252AC"/>
    <w:rsid w:val="58E024C3"/>
    <w:rsid w:val="592E63F2"/>
    <w:rsid w:val="59462FFB"/>
    <w:rsid w:val="59F44805"/>
    <w:rsid w:val="59F6057D"/>
    <w:rsid w:val="5A292701"/>
    <w:rsid w:val="5AC3366B"/>
    <w:rsid w:val="5AD869DE"/>
    <w:rsid w:val="5AFB10E6"/>
    <w:rsid w:val="5B0248D7"/>
    <w:rsid w:val="5B5515FE"/>
    <w:rsid w:val="5BDA3C8D"/>
    <w:rsid w:val="5C467E02"/>
    <w:rsid w:val="5C637545"/>
    <w:rsid w:val="5C9103CC"/>
    <w:rsid w:val="5CC32BAF"/>
    <w:rsid w:val="5D473C76"/>
    <w:rsid w:val="5E042C8B"/>
    <w:rsid w:val="5E3D3557"/>
    <w:rsid w:val="5EB034DE"/>
    <w:rsid w:val="5EC15AC0"/>
    <w:rsid w:val="5ECA1FD8"/>
    <w:rsid w:val="5EED3477"/>
    <w:rsid w:val="5F1017E6"/>
    <w:rsid w:val="5F250945"/>
    <w:rsid w:val="5FC6785B"/>
    <w:rsid w:val="5FDB06E4"/>
    <w:rsid w:val="606721D5"/>
    <w:rsid w:val="60C42704"/>
    <w:rsid w:val="60FE4811"/>
    <w:rsid w:val="614D1FB2"/>
    <w:rsid w:val="61DB5207"/>
    <w:rsid w:val="61F44F53"/>
    <w:rsid w:val="625B3C89"/>
    <w:rsid w:val="627B3857"/>
    <w:rsid w:val="62EF4D77"/>
    <w:rsid w:val="63147DC8"/>
    <w:rsid w:val="63195E00"/>
    <w:rsid w:val="634F19A6"/>
    <w:rsid w:val="638C40E3"/>
    <w:rsid w:val="63E1404C"/>
    <w:rsid w:val="64460610"/>
    <w:rsid w:val="64D91F61"/>
    <w:rsid w:val="651915C4"/>
    <w:rsid w:val="655F52A6"/>
    <w:rsid w:val="65F00D0C"/>
    <w:rsid w:val="660A4DD7"/>
    <w:rsid w:val="662326FA"/>
    <w:rsid w:val="665713E0"/>
    <w:rsid w:val="66CE6580"/>
    <w:rsid w:val="67292C52"/>
    <w:rsid w:val="67714DB8"/>
    <w:rsid w:val="677E3D99"/>
    <w:rsid w:val="679747C8"/>
    <w:rsid w:val="67BA3663"/>
    <w:rsid w:val="682503E0"/>
    <w:rsid w:val="696B473F"/>
    <w:rsid w:val="696C37C8"/>
    <w:rsid w:val="69724027"/>
    <w:rsid w:val="69F6673E"/>
    <w:rsid w:val="6A480FCB"/>
    <w:rsid w:val="6B99622E"/>
    <w:rsid w:val="6BAC4F3F"/>
    <w:rsid w:val="6BCF7654"/>
    <w:rsid w:val="6C1F1AD0"/>
    <w:rsid w:val="6C3111FA"/>
    <w:rsid w:val="6C400B72"/>
    <w:rsid w:val="6C9A56E0"/>
    <w:rsid w:val="6CC61070"/>
    <w:rsid w:val="6CE25242"/>
    <w:rsid w:val="6D4653C0"/>
    <w:rsid w:val="6DC009DD"/>
    <w:rsid w:val="6E5B59D0"/>
    <w:rsid w:val="6E843F52"/>
    <w:rsid w:val="6E9758D2"/>
    <w:rsid w:val="6F3C1C7C"/>
    <w:rsid w:val="70380052"/>
    <w:rsid w:val="710D3D1B"/>
    <w:rsid w:val="714B51FB"/>
    <w:rsid w:val="71A36DE5"/>
    <w:rsid w:val="71BB14B3"/>
    <w:rsid w:val="73B56776"/>
    <w:rsid w:val="73C440FA"/>
    <w:rsid w:val="74766D2B"/>
    <w:rsid w:val="74B925FE"/>
    <w:rsid w:val="74BB4498"/>
    <w:rsid w:val="74E7523A"/>
    <w:rsid w:val="75306BE1"/>
    <w:rsid w:val="753F5076"/>
    <w:rsid w:val="7542758E"/>
    <w:rsid w:val="75886FA4"/>
    <w:rsid w:val="75AD3D2D"/>
    <w:rsid w:val="75BD19C2"/>
    <w:rsid w:val="77560455"/>
    <w:rsid w:val="78236896"/>
    <w:rsid w:val="784D29BC"/>
    <w:rsid w:val="791138AD"/>
    <w:rsid w:val="79845204"/>
    <w:rsid w:val="79940985"/>
    <w:rsid w:val="79DE04A6"/>
    <w:rsid w:val="79E629C5"/>
    <w:rsid w:val="7A993117"/>
    <w:rsid w:val="7A9D4552"/>
    <w:rsid w:val="7B41150C"/>
    <w:rsid w:val="7BC260B9"/>
    <w:rsid w:val="7BF37F79"/>
    <w:rsid w:val="7C7E1687"/>
    <w:rsid w:val="7CA36E25"/>
    <w:rsid w:val="7CD30F7E"/>
    <w:rsid w:val="7D9628D3"/>
    <w:rsid w:val="7E9F4271"/>
    <w:rsid w:val="7EF202FF"/>
    <w:rsid w:val="7F0F7867"/>
    <w:rsid w:val="7F4B611D"/>
    <w:rsid w:val="7F5C008E"/>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character" w:customStyle="1" w:styleId="80">
    <w:name w:val="font01"/>
    <w:basedOn w:val="31"/>
    <w:qFormat/>
    <w:uiPriority w:val="0"/>
    <w:rPr>
      <w:rFonts w:hint="eastAsia" w:ascii="宋体" w:hAnsi="宋体" w:eastAsia="宋体" w:cs="宋体"/>
      <w:color w:val="000000"/>
      <w:sz w:val="22"/>
      <w:szCs w:val="22"/>
      <w:u w:val="none"/>
    </w:rPr>
  </w:style>
  <w:style w:type="character" w:customStyle="1" w:styleId="81">
    <w:name w:val="font31"/>
    <w:basedOn w:val="31"/>
    <w:qFormat/>
    <w:uiPriority w:val="0"/>
    <w:rPr>
      <w:rFonts w:hint="default" w:ascii="Times New Roman" w:hAnsi="Times New Roman" w:cs="Times New Roman"/>
      <w:color w:val="000000"/>
      <w:sz w:val="22"/>
      <w:szCs w:val="22"/>
      <w:u w:val="none"/>
    </w:rPr>
  </w:style>
  <w:style w:type="character" w:customStyle="1" w:styleId="82">
    <w:name w:val="font4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50</Pages>
  <Words>4359</Words>
  <Characters>4850</Characters>
  <Lines>212</Lines>
  <Paragraphs>59</Paragraphs>
  <TotalTime>5</TotalTime>
  <ScaleCrop>false</ScaleCrop>
  <LinksUpToDate>false</LinksUpToDate>
  <CharactersWithSpaces>4927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2024-07-02T09:37:00Z</cp:lastPrinted>
  <dcterms:modified xsi:type="dcterms:W3CDTF">2025-09-25T07:06:23Z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F5EED3578F8E4BAEAC65F8D51426E65F_13</vt:lpwstr>
  </property>
  <property fmtid="{D5CDD505-2E9C-101B-9397-08002B2CF9AE}" pid="4" name="KSOTemplateDocerSaveRecord">
    <vt:lpwstr>eyJoZGlkIjoiNTY5OGNjNGRmMTZhNjg4ZjRiNjMyZTk5NTVmMTVkYWQiLCJ1c2VySWQiOiIxMjM0Njk1MzQ0In0=</vt:lpwstr>
  </property>
</Properties>
</file>