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0"/>
        <w:gridCol w:w="2255"/>
        <w:gridCol w:w="3597"/>
        <w:gridCol w:w="2106"/>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50</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5"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02"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ZCB2025-HC50-208</w:t>
            </w:r>
          </w:p>
        </w:tc>
        <w:tc>
          <w:tcPr>
            <w:tcW w:w="2077"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lang w:val="en-US" w:eastAsia="zh-CN"/>
              </w:rPr>
              <w:t>可吸收防粘连膜</w:t>
            </w:r>
          </w:p>
        </w:tc>
        <w:tc>
          <w:tcPr>
            <w:tcW w:w="1215"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肝胆胰外科</w:t>
            </w:r>
          </w:p>
        </w:tc>
      </w:tr>
      <w:tr w14:paraId="76B6B453">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02"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ZCB2025-HC50-209</w:t>
            </w:r>
          </w:p>
        </w:tc>
        <w:tc>
          <w:tcPr>
            <w:tcW w:w="2077"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lang w:val="en-US" w:eastAsia="zh-CN"/>
              </w:rPr>
              <w:t>球囊封堵微导管</w:t>
            </w:r>
          </w:p>
        </w:tc>
        <w:tc>
          <w:tcPr>
            <w:tcW w:w="1215"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lang w:val="en-US" w:eastAsia="zh-CN"/>
              </w:rPr>
              <w:t>肝胆胰外科</w:t>
            </w:r>
          </w:p>
        </w:tc>
      </w:tr>
      <w:tr w14:paraId="399B031C">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eastAsia" w:eastAsia="宋体"/>
                <w:color w:val="000000"/>
                <w:sz w:val="22"/>
                <w:lang w:val="en-US" w:eastAsia="zh-CN"/>
              </w:rPr>
            </w:pPr>
            <w:r>
              <w:rPr>
                <w:rFonts w:hint="eastAsia" w:eastAsia="宋体"/>
                <w:color w:val="000000"/>
                <w:sz w:val="22"/>
                <w:lang w:val="en-US" w:eastAsia="zh-CN"/>
              </w:rPr>
              <w:t>3</w:t>
            </w:r>
          </w:p>
        </w:tc>
        <w:tc>
          <w:tcPr>
            <w:tcW w:w="1302" w:type="pct"/>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eastAsia" w:eastAsia="宋体"/>
                <w:color w:val="000000"/>
                <w:sz w:val="22"/>
                <w:lang w:val="en-US" w:eastAsia="zh-CN"/>
              </w:rPr>
            </w:pPr>
            <w:r>
              <w:rPr>
                <w:rFonts w:hint="default" w:eastAsia="宋体"/>
                <w:color w:val="000000"/>
                <w:sz w:val="22"/>
                <w:lang w:val="en-US" w:eastAsia="zh-CN"/>
              </w:rPr>
              <w:t>ZCB2025-HC50-210</w:t>
            </w:r>
          </w:p>
        </w:tc>
        <w:tc>
          <w:tcPr>
            <w:tcW w:w="2077" w:type="pct"/>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eastAsia" w:eastAsia="宋体"/>
                <w:color w:val="000000"/>
                <w:sz w:val="22"/>
                <w:lang w:val="en-US" w:eastAsia="zh-CN"/>
              </w:rPr>
            </w:pPr>
            <w:r>
              <w:rPr>
                <w:rFonts w:hint="eastAsia" w:eastAsia="宋体"/>
                <w:color w:val="000000"/>
                <w:sz w:val="22"/>
                <w:lang w:val="en-US" w:eastAsia="zh-CN"/>
              </w:rPr>
              <w:t>一次性使用等离子手术电极</w:t>
            </w:r>
          </w:p>
        </w:tc>
        <w:tc>
          <w:tcPr>
            <w:tcW w:w="1215" w:type="pct"/>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eastAsia" w:eastAsia="宋体"/>
                <w:color w:val="000000"/>
                <w:sz w:val="22"/>
                <w:lang w:val="en-US" w:eastAsia="zh-CN"/>
              </w:rPr>
              <w:t>泌尿外科</w:t>
            </w:r>
          </w:p>
        </w:tc>
      </w:tr>
      <w:tr w14:paraId="577765B6">
        <w:tblPrEx>
          <w:tblCellMar>
            <w:top w:w="0" w:type="dxa"/>
            <w:left w:w="108" w:type="dxa"/>
            <w:bottom w:w="0" w:type="dxa"/>
            <w:right w:w="108" w:type="dxa"/>
          </w:tblCellMar>
        </w:tblPrEx>
        <w:trPr>
          <w:trHeight w:val="415" w:hRule="atLeast"/>
        </w:trPr>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eastAsia" w:eastAsia="宋体"/>
                <w:color w:val="000000"/>
                <w:sz w:val="22"/>
                <w:lang w:val="en-US" w:eastAsia="zh-CN"/>
              </w:rPr>
            </w:pPr>
            <w:r>
              <w:rPr>
                <w:rFonts w:hint="eastAsia" w:eastAsia="宋体"/>
                <w:color w:val="000000"/>
                <w:sz w:val="22"/>
                <w:lang w:val="en-US" w:eastAsia="zh-CN"/>
              </w:rPr>
              <w:t>4</w:t>
            </w:r>
          </w:p>
        </w:tc>
        <w:tc>
          <w:tcPr>
            <w:tcW w:w="1302" w:type="pct"/>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eastAsia" w:eastAsia="宋体"/>
                <w:color w:val="000000"/>
                <w:sz w:val="22"/>
                <w:lang w:val="en-US" w:eastAsia="zh-CN"/>
              </w:rPr>
            </w:pPr>
            <w:r>
              <w:rPr>
                <w:rFonts w:hint="default" w:eastAsia="宋体"/>
                <w:color w:val="000000"/>
                <w:sz w:val="22"/>
                <w:lang w:val="en-US" w:eastAsia="zh-CN"/>
              </w:rPr>
              <w:t>ZCB2025-HC50-211</w:t>
            </w:r>
          </w:p>
        </w:tc>
        <w:tc>
          <w:tcPr>
            <w:tcW w:w="2077" w:type="pct"/>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一次性使用可筋膜缝合穿刺器</w:t>
            </w:r>
          </w:p>
        </w:tc>
        <w:tc>
          <w:tcPr>
            <w:tcW w:w="1215" w:type="pct"/>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eastAsia" w:eastAsia="宋体"/>
                <w:color w:val="000000"/>
                <w:sz w:val="22"/>
                <w:lang w:val="en-US" w:eastAsia="zh-CN"/>
              </w:rPr>
              <w:t>胃肠外科</w:t>
            </w:r>
          </w:p>
        </w:tc>
      </w:tr>
    </w:tbl>
    <w:p w14:paraId="57931D19">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第50期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第50期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4</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2025年9月26日14点30分，</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ZCB2025-HC50-208</w:t>
            </w:r>
          </w:p>
        </w:tc>
        <w:tc>
          <w:tcPr>
            <w:tcW w:w="425"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可吸收防粘连膜</w:t>
            </w:r>
          </w:p>
        </w:tc>
        <w:tc>
          <w:tcPr>
            <w:tcW w:w="396"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620/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780/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1390</w:t>
            </w:r>
          </w:p>
        </w:tc>
        <w:tc>
          <w:tcPr>
            <w:tcW w:w="1705"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1、多种规格：宽不小于50mm，不大于100mm，长不小于70mm，不大于150mm，厚度为0.02mm±0.005mm；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2、产品由聚-DL-乳酸-聚乙醇酸共聚物制成。</w:t>
            </w:r>
          </w:p>
        </w:tc>
        <w:tc>
          <w:tcPr>
            <w:tcW w:w="356" w:type="pct"/>
            <w:shd w:val="clear" w:color="auto" w:fill="auto"/>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2E7A1C5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ZCB2025-HC50-209</w:t>
            </w:r>
          </w:p>
        </w:tc>
        <w:tc>
          <w:tcPr>
            <w:tcW w:w="425"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球囊封堵微导管</w:t>
            </w:r>
          </w:p>
        </w:tc>
        <w:tc>
          <w:tcPr>
            <w:tcW w:w="396"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9000/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10000</w:t>
            </w:r>
          </w:p>
        </w:tc>
        <w:tc>
          <w:tcPr>
            <w:tcW w:w="1705"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1、规格2.7F，长度不小于110cm，不大于150cm；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2、优先顺应性球囊，尼龙材质；导管PEBAX复合材质，管身可承受不小于900psi压力；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3、用于注射或输入对照介质和/液体和/或栓塞材料，和/或适当的器械（如支架，弹簧圈）等；用于临时封堵外周血管或神经血管等，亦可选择性阻断或控制血流</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4.产品灭菌提供，一次性使用，货架有效期不小于3年。</w:t>
            </w:r>
          </w:p>
        </w:tc>
        <w:tc>
          <w:tcPr>
            <w:tcW w:w="356" w:type="pct"/>
            <w:shd w:val="clear" w:color="auto" w:fill="auto"/>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886359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67"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ZCB2025-HC50-210</w:t>
            </w:r>
          </w:p>
        </w:tc>
        <w:tc>
          <w:tcPr>
            <w:tcW w:w="425"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一次性使用等离子手术电极</w:t>
            </w:r>
          </w:p>
        </w:tc>
        <w:tc>
          <w:tcPr>
            <w:tcW w:w="396" w:type="pct"/>
            <w:shd w:val="clear" w:color="auto" w:fill="auto"/>
            <w:vAlign w:val="center"/>
          </w:tcPr>
          <w:p w14:paraId="038C400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2288</w:t>
            </w:r>
          </w:p>
        </w:tc>
        <w:tc>
          <w:tcPr>
            <w:tcW w:w="1705"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1.与在库WOLF电切镜等离子手术设备配合使用，在泌尿科等内窥镜手术中对软组织进行切割、凝血；</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2.等离子刀头（环状电极），刀身长度不小于280mm，有粗环、细环、钩状等多种规格刀头可选择，工作极须有0.3mm与0.7mm等多种规格可选择（须三类注册证）</w:t>
            </w:r>
          </w:p>
        </w:tc>
        <w:tc>
          <w:tcPr>
            <w:tcW w:w="356" w:type="pct"/>
            <w:shd w:val="clear" w:color="auto" w:fill="auto"/>
            <w:vAlign w:val="center"/>
          </w:tcPr>
          <w:p w14:paraId="3C03D58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546F01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5B9360D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667" w:type="pct"/>
            <w:vAlign w:val="top"/>
          </w:tcPr>
          <w:p w14:paraId="7E6625C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67"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ZCB2025-HC50-211</w:t>
            </w:r>
          </w:p>
        </w:tc>
        <w:tc>
          <w:tcPr>
            <w:tcW w:w="425"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一次性使用可筋膜缝合穿刺器</w:t>
            </w:r>
          </w:p>
        </w:tc>
        <w:tc>
          <w:tcPr>
            <w:tcW w:w="396" w:type="pct"/>
            <w:shd w:val="clear" w:color="auto" w:fill="auto"/>
            <w:vAlign w:val="center"/>
          </w:tcPr>
          <w:p w14:paraId="41A38017">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1898</w:t>
            </w:r>
          </w:p>
        </w:tc>
        <w:tc>
          <w:tcPr>
            <w:tcW w:w="1705" w:type="pct"/>
            <w:shd w:val="clear" w:color="auto" w:fill="auto"/>
            <w:vAlign w:val="center"/>
          </w:tcPr>
          <w:p w14:paraId="122AEC7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1、穿刺器由穿刺套管、穿刺芯、缝合芯等组成。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2、产品以无菌状态提供，一次性使用。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3、产品兼具穿刺和缝合功能，自带隐藏针和线，无需人工挂线。</w:t>
            </w:r>
          </w:p>
        </w:tc>
        <w:tc>
          <w:tcPr>
            <w:tcW w:w="356" w:type="pct"/>
            <w:shd w:val="clear" w:color="auto" w:fill="auto"/>
            <w:vAlign w:val="center"/>
          </w:tcPr>
          <w:p w14:paraId="3CAA45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47194C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425E5A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67" w:type="pct"/>
            <w:vAlign w:val="top"/>
          </w:tcPr>
          <w:p w14:paraId="723C7E2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9月12日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根据党办通〔2025〕</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1171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4D414A8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204AAE0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6E69DB4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30F205E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41F2938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65DA0EC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70EC6CB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37B44FF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40E0DB3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7F8C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6C05CBC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33FF6B6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ZCB2025-HC50-208</w:t>
            </w:r>
          </w:p>
        </w:tc>
        <w:tc>
          <w:tcPr>
            <w:tcW w:w="425" w:type="pct"/>
            <w:shd w:val="clear" w:color="auto" w:fill="auto"/>
            <w:vAlign w:val="center"/>
          </w:tcPr>
          <w:p w14:paraId="7BE0188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可吸收防粘连膜</w:t>
            </w:r>
          </w:p>
        </w:tc>
        <w:tc>
          <w:tcPr>
            <w:tcW w:w="396" w:type="pct"/>
            <w:shd w:val="clear" w:color="auto" w:fill="auto"/>
            <w:vAlign w:val="center"/>
          </w:tcPr>
          <w:p w14:paraId="158FA50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620/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780/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1390</w:t>
            </w:r>
          </w:p>
        </w:tc>
        <w:tc>
          <w:tcPr>
            <w:tcW w:w="1705" w:type="pct"/>
            <w:shd w:val="clear" w:color="auto" w:fill="auto"/>
            <w:vAlign w:val="center"/>
          </w:tcPr>
          <w:p w14:paraId="62EDB6B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1、多种规格：宽不小于50mm，不大于100mm，长不小于70mm，不大于150mm，厚度为0.02mm±0.005mm；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2、产品由聚-DL-乳酸-聚乙醇酸共聚物制成。</w:t>
            </w:r>
          </w:p>
        </w:tc>
        <w:tc>
          <w:tcPr>
            <w:tcW w:w="356" w:type="pct"/>
            <w:shd w:val="clear" w:color="auto" w:fill="auto"/>
            <w:vAlign w:val="center"/>
          </w:tcPr>
          <w:p w14:paraId="5034E0A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4FC9D56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548251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3C8CD48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584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5AC5210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1B979E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ZCB2025-HC50-209</w:t>
            </w:r>
          </w:p>
        </w:tc>
        <w:tc>
          <w:tcPr>
            <w:tcW w:w="425" w:type="pct"/>
            <w:shd w:val="clear" w:color="auto" w:fill="auto"/>
            <w:vAlign w:val="center"/>
          </w:tcPr>
          <w:p w14:paraId="69A55F0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球囊封堵微导管</w:t>
            </w:r>
          </w:p>
        </w:tc>
        <w:tc>
          <w:tcPr>
            <w:tcW w:w="396" w:type="pct"/>
            <w:shd w:val="clear" w:color="auto" w:fill="auto"/>
            <w:vAlign w:val="center"/>
          </w:tcPr>
          <w:p w14:paraId="445123F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9000/</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10000</w:t>
            </w:r>
          </w:p>
        </w:tc>
        <w:tc>
          <w:tcPr>
            <w:tcW w:w="1705" w:type="pct"/>
            <w:shd w:val="clear" w:color="auto" w:fill="auto"/>
            <w:vAlign w:val="center"/>
          </w:tcPr>
          <w:p w14:paraId="058B972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1、规格2.7F，长度不小于110cm，不大于150cm；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2、优先顺应性球囊，尼龙材质；导管PEBAX复合材质，管身可承受不小于900psi压力；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3、用于注射或输入对照介质和/液体和/或栓塞材料，和/或适当的器械（如支架，弹簧圈）等；用于临时封堵外周血管或神经血管等，亦可选择性阻断或控制血流</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4.产品灭菌提供，一次性使用，货架有效期不小于3年。</w:t>
            </w:r>
          </w:p>
        </w:tc>
        <w:tc>
          <w:tcPr>
            <w:tcW w:w="356" w:type="pct"/>
            <w:shd w:val="clear" w:color="auto" w:fill="auto"/>
            <w:vAlign w:val="center"/>
          </w:tcPr>
          <w:p w14:paraId="60F707F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38D34E1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D5BFB7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肝胆胰外科</w:t>
            </w:r>
          </w:p>
        </w:tc>
        <w:tc>
          <w:tcPr>
            <w:tcW w:w="667" w:type="pct"/>
            <w:vAlign w:val="top"/>
          </w:tcPr>
          <w:p w14:paraId="6D46157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7745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7B31B02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67" w:type="pct"/>
            <w:shd w:val="clear" w:color="auto" w:fill="auto"/>
            <w:vAlign w:val="center"/>
          </w:tcPr>
          <w:p w14:paraId="66A4011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ZCB2025-HC50-210</w:t>
            </w:r>
          </w:p>
        </w:tc>
        <w:tc>
          <w:tcPr>
            <w:tcW w:w="425" w:type="pct"/>
            <w:shd w:val="clear" w:color="auto" w:fill="auto"/>
            <w:vAlign w:val="center"/>
          </w:tcPr>
          <w:p w14:paraId="5C21964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一次性使用等离子手术电极</w:t>
            </w:r>
          </w:p>
        </w:tc>
        <w:tc>
          <w:tcPr>
            <w:tcW w:w="396" w:type="pct"/>
            <w:shd w:val="clear" w:color="auto" w:fill="auto"/>
            <w:vAlign w:val="center"/>
          </w:tcPr>
          <w:p w14:paraId="125B61D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2288</w:t>
            </w:r>
          </w:p>
        </w:tc>
        <w:tc>
          <w:tcPr>
            <w:tcW w:w="1705" w:type="pct"/>
            <w:shd w:val="clear" w:color="auto" w:fill="auto"/>
            <w:vAlign w:val="center"/>
          </w:tcPr>
          <w:p w14:paraId="45EA23F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1.与在库WOLF电切镜等离子手术设备配合使用，在泌尿科等内窥镜手术中对软组织进行切割、凝血；</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2.等离子刀头（环状电极），刀身长度不小于280mm，有粗环、细环、钩状等多种规格刀头可选择，工作极须有0.3mm与0.7mm等多种规格可选择（须三类注册证）</w:t>
            </w:r>
          </w:p>
        </w:tc>
        <w:tc>
          <w:tcPr>
            <w:tcW w:w="356" w:type="pct"/>
            <w:shd w:val="clear" w:color="auto" w:fill="auto"/>
            <w:vAlign w:val="center"/>
          </w:tcPr>
          <w:p w14:paraId="48BA6B7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3AC37B4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12210F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泌尿外科</w:t>
            </w:r>
          </w:p>
        </w:tc>
        <w:tc>
          <w:tcPr>
            <w:tcW w:w="667" w:type="pct"/>
            <w:vAlign w:val="top"/>
          </w:tcPr>
          <w:p w14:paraId="4A076DE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4DBF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28964F7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67" w:type="pct"/>
            <w:shd w:val="clear" w:color="auto" w:fill="auto"/>
            <w:vAlign w:val="center"/>
          </w:tcPr>
          <w:p w14:paraId="24706BC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ZCB2025-HC50-211</w:t>
            </w:r>
          </w:p>
        </w:tc>
        <w:tc>
          <w:tcPr>
            <w:tcW w:w="425" w:type="pct"/>
            <w:shd w:val="clear" w:color="auto" w:fill="auto"/>
            <w:vAlign w:val="center"/>
          </w:tcPr>
          <w:p w14:paraId="7E0BBDE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一次性使用可筋膜缝合穿刺器</w:t>
            </w:r>
          </w:p>
        </w:tc>
        <w:tc>
          <w:tcPr>
            <w:tcW w:w="396" w:type="pct"/>
            <w:shd w:val="clear" w:color="auto" w:fill="auto"/>
            <w:vAlign w:val="center"/>
          </w:tcPr>
          <w:p w14:paraId="56430AFA">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1898</w:t>
            </w:r>
          </w:p>
        </w:tc>
        <w:tc>
          <w:tcPr>
            <w:tcW w:w="1705" w:type="pct"/>
            <w:shd w:val="clear" w:color="auto" w:fill="auto"/>
            <w:vAlign w:val="center"/>
          </w:tcPr>
          <w:p w14:paraId="273668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1、穿刺器由穿刺套管、穿刺芯、缝合芯等组成。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2、产品以无菌状态提供，一次性使用。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3、产品兼具穿刺和缝合功能，自带隐藏针和线，无需人工挂线。</w:t>
            </w:r>
          </w:p>
        </w:tc>
        <w:tc>
          <w:tcPr>
            <w:tcW w:w="356" w:type="pct"/>
            <w:shd w:val="clear" w:color="auto" w:fill="auto"/>
            <w:vAlign w:val="center"/>
          </w:tcPr>
          <w:p w14:paraId="54FA3CB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81BC87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166DD1D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胃肠外科</w:t>
            </w:r>
          </w:p>
        </w:tc>
        <w:tc>
          <w:tcPr>
            <w:tcW w:w="667" w:type="pct"/>
            <w:vAlign w:val="top"/>
          </w:tcPr>
          <w:p w14:paraId="1E0C4D9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02E0F8FD">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9</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2"/>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18157"/>
      <w:bookmarkStart w:id="13" w:name="_Toc73517679"/>
      <w:bookmarkStart w:id="14" w:name="_Toc73521586"/>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73521675"/>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21589"/>
      <w:bookmarkStart w:id="24" w:name="_Toc73521677"/>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numId w:val="0"/>
        </w:numPr>
        <w:adjustRightInd w:val="0"/>
        <w:snapToGrid w:val="0"/>
        <w:spacing w:line="480" w:lineRule="exact"/>
        <w:ind w:left="142" w:leftChars="0"/>
        <w:rPr>
          <w:rFonts w:ascii="黑体" w:hAnsi="黑体" w:eastAsia="黑体" w:cs="宋体"/>
          <w:bCs/>
          <w:sz w:val="28"/>
          <w:szCs w:val="28"/>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p w14:paraId="2058120C">
      <w:pPr>
        <w:pStyle w:val="43"/>
        <w:numPr>
          <w:numId w:val="0"/>
        </w:numPr>
        <w:adjustRightInd w:val="0"/>
        <w:snapToGrid w:val="0"/>
        <w:spacing w:line="480" w:lineRule="exact"/>
        <w:ind w:left="142" w:leftChars="0"/>
        <w:rPr>
          <w:rFonts w:ascii="黑体" w:hAnsi="黑体" w:eastAsia="黑体" w:cs="宋体"/>
          <w:bCs/>
          <w:sz w:val="28"/>
          <w:szCs w:val="28"/>
        </w:rPr>
      </w:pPr>
      <w:r>
        <w:rPr>
          <w:rFonts w:hint="eastAsia" w:ascii="黑体" w:hAnsi="黑体" w:eastAsia="黑体" w:cs="宋体"/>
          <w:bCs/>
          <w:sz w:val="28"/>
          <w:szCs w:val="28"/>
          <w:lang w:val="en-US" w:eastAsia="zh-CN"/>
        </w:rPr>
        <w:t>二、</w:t>
      </w:r>
      <w:r>
        <w:rPr>
          <w:rFonts w:ascii="黑体" w:hAnsi="黑体" w:eastAsia="黑体" w:cs="宋体"/>
          <w:bCs/>
          <w:sz w:val="28"/>
          <w:szCs w:val="28"/>
        </w:rPr>
        <w:t>自查表</w:t>
      </w:r>
    </w:p>
    <w:p w14:paraId="780ED759">
      <w:pPr>
        <w:pStyle w:val="12"/>
        <w:numPr>
          <w:numId w:val="0"/>
        </w:numPr>
        <w:adjustRightInd w:val="0"/>
        <w:snapToGrid w:val="0"/>
        <w:spacing w:line="480" w:lineRule="exact"/>
        <w:ind w:left="142" w:leftChars="0"/>
        <w:rPr>
          <w:rFonts w:ascii="黑体" w:hAnsi="黑体" w:eastAsia="黑体"/>
          <w:snapToGrid w:val="0"/>
          <w:kern w:val="0"/>
          <w:sz w:val="28"/>
          <w:szCs w:val="28"/>
        </w:rPr>
      </w:pPr>
      <w:r>
        <w:rPr>
          <w:rFonts w:hint="eastAsia" w:ascii="黑体" w:hAnsi="黑体" w:eastAsia="黑体"/>
          <w:snapToGrid w:val="0"/>
          <w:kern w:val="0"/>
          <w:sz w:val="28"/>
          <w:szCs w:val="28"/>
          <w:lang w:val="en-US" w:eastAsia="zh-CN"/>
        </w:rPr>
        <w:t>三、</w:t>
      </w:r>
      <w:r>
        <w:rPr>
          <w:rFonts w:hint="eastAsia" w:ascii="黑体" w:hAnsi="黑体" w:eastAsia="黑体"/>
          <w:snapToGrid w:val="0"/>
          <w:kern w:val="0"/>
          <w:sz w:val="28"/>
          <w:szCs w:val="28"/>
        </w:rPr>
        <w:t>符合性资料</w:t>
      </w:r>
    </w:p>
    <w:p w14:paraId="7061FF01">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numId w:val="0"/>
        </w:numPr>
        <w:adjustRightInd w:val="0"/>
        <w:snapToGrid w:val="0"/>
        <w:spacing w:line="480" w:lineRule="exact"/>
        <w:ind w:left="142" w:leftChars="0"/>
        <w:rPr>
          <w:rFonts w:ascii="黑体" w:hAnsi="黑体" w:eastAsia="黑体"/>
          <w:snapToGrid w:val="0"/>
          <w:kern w:val="0"/>
          <w:sz w:val="28"/>
          <w:szCs w:val="28"/>
        </w:rPr>
      </w:pPr>
      <w:r>
        <w:rPr>
          <w:rFonts w:hint="eastAsia" w:ascii="黑体" w:hAnsi="黑体" w:eastAsia="黑体"/>
          <w:snapToGrid w:val="0"/>
          <w:kern w:val="0"/>
          <w:sz w:val="28"/>
          <w:szCs w:val="28"/>
          <w:lang w:val="en-US" w:eastAsia="zh-CN"/>
        </w:rPr>
        <w:t>四、</w:t>
      </w:r>
      <w:r>
        <w:rPr>
          <w:rFonts w:hint="eastAsia" w:ascii="黑体" w:hAnsi="黑体" w:eastAsia="黑体"/>
          <w:snapToGrid w:val="0"/>
          <w:kern w:val="0"/>
          <w:sz w:val="28"/>
          <w:szCs w:val="28"/>
        </w:rPr>
        <w:t>商务资料</w:t>
      </w:r>
    </w:p>
    <w:p w14:paraId="3A5EBFAD">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numId w:val="0"/>
        </w:numPr>
        <w:adjustRightInd w:val="0"/>
        <w:snapToGrid w:val="0"/>
        <w:spacing w:line="480" w:lineRule="exact"/>
        <w:ind w:left="142" w:leftChars="0"/>
        <w:rPr>
          <w:rFonts w:ascii="黑体" w:hAnsi="黑体" w:eastAsia="黑体"/>
          <w:snapToGrid w:val="0"/>
          <w:kern w:val="0"/>
          <w:sz w:val="28"/>
          <w:szCs w:val="28"/>
        </w:rPr>
      </w:pPr>
      <w:r>
        <w:rPr>
          <w:rFonts w:hint="eastAsia" w:ascii="黑体" w:hAnsi="黑体" w:eastAsia="黑体"/>
          <w:snapToGrid w:val="0"/>
          <w:kern w:val="0"/>
          <w:sz w:val="28"/>
          <w:szCs w:val="28"/>
          <w:lang w:val="en-US" w:eastAsia="zh-CN"/>
        </w:rPr>
        <w:t>五、</w:t>
      </w: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4"/>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4"/>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4"/>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4"/>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4"/>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7"/>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Start w:id="30" w:name="_GoBack"/>
      <w:bookmarkEnd w:id="30"/>
    </w:p>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039F7BE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A9501F0-2E31-40DB-B038-2265DFEE061E}"/>
  </w:font>
  <w:font w:name="黑体">
    <w:panose1 w:val="02010609060101010101"/>
    <w:charset w:val="86"/>
    <w:family w:val="auto"/>
    <w:pitch w:val="default"/>
    <w:sig w:usb0="800002BF" w:usb1="38CF7CFA" w:usb2="00000016" w:usb3="00000000" w:csb0="00040001" w:csb1="00000000"/>
    <w:embedRegular r:id="rId2" w:fontKey="{F3AADF08-8D41-46BE-BF4D-4C56D822D8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F2FB519-735F-4E25-B149-3BCF1E7F6BD6}"/>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FA77698-6814-4C96-97A5-FC148DA4F91F}"/>
  </w:font>
  <w:font w:name="华文中宋">
    <w:panose1 w:val="02010600040101010101"/>
    <w:charset w:val="86"/>
    <w:family w:val="auto"/>
    <w:pitch w:val="default"/>
    <w:sig w:usb0="00000287" w:usb1="080F0000" w:usb2="00000000" w:usb3="00000000" w:csb0="0004009F" w:csb1="DFD70000"/>
    <w:embedRegular r:id="rId5" w:fontKey="{4A54BBBE-F908-4D65-8AF4-21BC0D0D07F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0AFE919-95C4-4CC0-82F8-526E70F1FD89}"/>
  </w:font>
  <w:font w:name="方正小标宋简体">
    <w:panose1 w:val="03000509000000000000"/>
    <w:charset w:val="86"/>
    <w:family w:val="auto"/>
    <w:pitch w:val="default"/>
    <w:sig w:usb0="00000001" w:usb1="080E0000" w:usb2="00000000" w:usb3="00000000" w:csb0="00040000" w:csb1="00000000"/>
    <w:embedRegular r:id="rId7" w:fontKey="{4963BB49-7222-4076-B236-70E2B9EF653A}"/>
  </w:font>
  <w:font w:name="微软雅黑">
    <w:panose1 w:val="020B0503020204020204"/>
    <w:charset w:val="86"/>
    <w:family w:val="swiss"/>
    <w:pitch w:val="default"/>
    <w:sig w:usb0="80000287" w:usb1="2ACF3C50" w:usb2="00000016" w:usb3="00000000" w:csb0="0004001F" w:csb1="00000000"/>
    <w:embedRegular r:id="rId8" w:fontKey="{C848274A-865B-4841-A291-AE815E84F651}"/>
  </w:font>
  <w:font w:name="仿宋">
    <w:panose1 w:val="02010609060101010101"/>
    <w:charset w:val="86"/>
    <w:family w:val="modern"/>
    <w:pitch w:val="default"/>
    <w:sig w:usb0="800002BF" w:usb1="38CF7CFA" w:usb2="00000016" w:usb3="00000000" w:csb0="00040001" w:csb1="00000000"/>
    <w:embedRegular r:id="rId9" w:fontKey="{FD4B9468-CEDD-4B9D-A358-2B8F590D7451}"/>
  </w:font>
  <w:font w:name="方正小标宋_GBK">
    <w:panose1 w:val="02000000000000000000"/>
    <w:charset w:val="86"/>
    <w:family w:val="script"/>
    <w:pitch w:val="default"/>
    <w:sig w:usb0="A00002BF" w:usb1="38CF7CFA" w:usb2="00082016" w:usb3="00000000" w:csb0="00040001" w:csb1="00000000"/>
    <w:embedRegular r:id="rId10" w:fontKey="{716AEC68-850D-495B-B776-55647201FA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6">
    <w:nsid w:val="77D5EEE3"/>
    <w:multiLevelType w:val="singleLevel"/>
    <w:tmpl w:val="77D5EEE3"/>
    <w:lvl w:ilvl="0" w:tentative="0">
      <w:start w:val="1"/>
      <w:numFmt w:val="decimal"/>
      <w:lvlText w:val="(%1)"/>
      <w:lvlJc w:val="left"/>
      <w:pPr>
        <w:ind w:left="425" w:hanging="425"/>
      </w:pPr>
      <w:rPr>
        <w:rFonts w:hint="default"/>
      </w:rPr>
    </w:lvl>
  </w:abstractNum>
  <w:num w:numId="1">
    <w:abstractNumId w:val="25"/>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6"/>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8"/>
  </w:num>
  <w:num w:numId="23">
    <w:abstractNumId w:val="6"/>
  </w:num>
  <w:num w:numId="24">
    <w:abstractNumId w:val="1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2B66C1C"/>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0231EB"/>
    <w:rsid w:val="1A845156"/>
    <w:rsid w:val="1AF94279"/>
    <w:rsid w:val="1BAB2FDC"/>
    <w:rsid w:val="1C6360EC"/>
    <w:rsid w:val="1D122527"/>
    <w:rsid w:val="1D471F18"/>
    <w:rsid w:val="1D6B2DC7"/>
    <w:rsid w:val="1DA430AA"/>
    <w:rsid w:val="1E141DF9"/>
    <w:rsid w:val="1EAB60A6"/>
    <w:rsid w:val="1EAE474B"/>
    <w:rsid w:val="1F1B41F1"/>
    <w:rsid w:val="1F9F0833"/>
    <w:rsid w:val="1FB5190D"/>
    <w:rsid w:val="1FFB05D4"/>
    <w:rsid w:val="20B25CBE"/>
    <w:rsid w:val="20D81D57"/>
    <w:rsid w:val="21951A7A"/>
    <w:rsid w:val="21DC5877"/>
    <w:rsid w:val="21F55351"/>
    <w:rsid w:val="227616EA"/>
    <w:rsid w:val="241F1A4B"/>
    <w:rsid w:val="249E5BD9"/>
    <w:rsid w:val="24B05A43"/>
    <w:rsid w:val="251F58B8"/>
    <w:rsid w:val="25335A76"/>
    <w:rsid w:val="257965BE"/>
    <w:rsid w:val="25897742"/>
    <w:rsid w:val="26013AFE"/>
    <w:rsid w:val="26CD4B45"/>
    <w:rsid w:val="274E2D73"/>
    <w:rsid w:val="277677B1"/>
    <w:rsid w:val="27AB0837"/>
    <w:rsid w:val="281B3EE1"/>
    <w:rsid w:val="283C2E70"/>
    <w:rsid w:val="296A3769"/>
    <w:rsid w:val="29B33674"/>
    <w:rsid w:val="29F77D2B"/>
    <w:rsid w:val="2A04596B"/>
    <w:rsid w:val="2A1E2AB2"/>
    <w:rsid w:val="2A29419B"/>
    <w:rsid w:val="2A7D4161"/>
    <w:rsid w:val="2BBE4A09"/>
    <w:rsid w:val="2D305785"/>
    <w:rsid w:val="2DF5037E"/>
    <w:rsid w:val="2EBE628C"/>
    <w:rsid w:val="2FA22E86"/>
    <w:rsid w:val="310D5099"/>
    <w:rsid w:val="31321010"/>
    <w:rsid w:val="3162492F"/>
    <w:rsid w:val="31AF0359"/>
    <w:rsid w:val="31EE248D"/>
    <w:rsid w:val="33097BA0"/>
    <w:rsid w:val="340B487E"/>
    <w:rsid w:val="34627E5E"/>
    <w:rsid w:val="34876E3B"/>
    <w:rsid w:val="34D53509"/>
    <w:rsid w:val="359F045A"/>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A01A83"/>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5FB24E5"/>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E9653E"/>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B578BB"/>
    <w:rsid w:val="5CC32BAF"/>
    <w:rsid w:val="5E042C8B"/>
    <w:rsid w:val="5E3D3557"/>
    <w:rsid w:val="5EB034DE"/>
    <w:rsid w:val="5EC15AC0"/>
    <w:rsid w:val="5ECA1FD8"/>
    <w:rsid w:val="5EED3477"/>
    <w:rsid w:val="5F1017E6"/>
    <w:rsid w:val="5FC6785B"/>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3C440FA"/>
    <w:rsid w:val="74766D2B"/>
    <w:rsid w:val="74B925FE"/>
    <w:rsid w:val="74BB4498"/>
    <w:rsid w:val="74E7523A"/>
    <w:rsid w:val="75306BE1"/>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4B611D"/>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1522</Words>
  <Characters>1626</Characters>
  <Lines>212</Lines>
  <Paragraphs>59</Paragraphs>
  <TotalTime>13</TotalTime>
  <ScaleCrop>false</ScaleCrop>
  <LinksUpToDate>false</LinksUpToDate>
  <CharactersWithSpaces>1650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2025-09-25T06:40:19Z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