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88" w:type="pct"/>
        <w:tblInd w:w="493" w:type="dxa"/>
        <w:tblLayout w:type="autofit"/>
        <w:tblCellMar>
          <w:top w:w="0" w:type="dxa"/>
          <w:left w:w="108" w:type="dxa"/>
          <w:bottom w:w="0" w:type="dxa"/>
          <w:right w:w="108" w:type="dxa"/>
        </w:tblCellMar>
      </w:tblPr>
      <w:tblGrid>
        <w:gridCol w:w="704"/>
        <w:gridCol w:w="2255"/>
        <w:gridCol w:w="3597"/>
        <w:gridCol w:w="2102"/>
      </w:tblGrid>
      <w:tr w14:paraId="20121B5C">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41</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431"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02"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default" w:eastAsia="宋体"/>
                <w:color w:val="000000"/>
                <w:sz w:val="22"/>
                <w:lang w:val="en-US" w:eastAsia="zh-CN"/>
              </w:rPr>
              <w:t>ZCB2025-HC41-16</w:t>
            </w:r>
            <w:r>
              <w:rPr>
                <w:rFonts w:hint="eastAsia" w:eastAsia="宋体"/>
                <w:color w:val="000000"/>
                <w:sz w:val="22"/>
                <w:lang w:val="en-US" w:eastAsia="zh-CN"/>
              </w:rPr>
              <w:t>9</w:t>
            </w:r>
          </w:p>
        </w:tc>
        <w:tc>
          <w:tcPr>
            <w:tcW w:w="2077"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一次性吸引管</w:t>
            </w:r>
          </w:p>
        </w:tc>
        <w:tc>
          <w:tcPr>
            <w:tcW w:w="1212"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急诊科</w:t>
            </w:r>
          </w:p>
        </w:tc>
      </w:tr>
      <w:tr w14:paraId="76B6B453">
        <w:tblPrEx>
          <w:tblCellMar>
            <w:top w:w="0" w:type="dxa"/>
            <w:left w:w="108" w:type="dxa"/>
            <w:bottom w:w="0" w:type="dxa"/>
            <w:right w:w="108" w:type="dxa"/>
          </w:tblCellMar>
        </w:tblPrEx>
        <w:trPr>
          <w:trHeight w:val="415"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02"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70</w:t>
            </w:r>
          </w:p>
        </w:tc>
        <w:tc>
          <w:tcPr>
            <w:tcW w:w="2077"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一次性无菌胸腹腔引流导管及附件</w:t>
            </w:r>
          </w:p>
        </w:tc>
        <w:tc>
          <w:tcPr>
            <w:tcW w:w="1212"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rPr>
              <w:t>超声医学科护理组</w:t>
            </w:r>
          </w:p>
        </w:tc>
      </w:tr>
      <w:tr w14:paraId="17E9961C">
        <w:tblPrEx>
          <w:tblCellMar>
            <w:top w:w="0" w:type="dxa"/>
            <w:left w:w="108" w:type="dxa"/>
            <w:bottom w:w="0" w:type="dxa"/>
            <w:right w:w="108" w:type="dxa"/>
          </w:tblCellMar>
        </w:tblPrEx>
        <w:trPr>
          <w:trHeight w:val="400"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302"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71</w:t>
            </w:r>
          </w:p>
        </w:tc>
        <w:tc>
          <w:tcPr>
            <w:tcW w:w="2077"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可吸收血管封合医用胶</w:t>
            </w:r>
          </w:p>
        </w:tc>
        <w:tc>
          <w:tcPr>
            <w:tcW w:w="1212" w:type="pct"/>
            <w:tcBorders>
              <w:top w:val="single" w:color="auto" w:sz="4" w:space="0"/>
              <w:left w:val="nil"/>
              <w:bottom w:val="single" w:color="auto" w:sz="4" w:space="0"/>
              <w:right w:val="single" w:color="auto" w:sz="4" w:space="0"/>
            </w:tcBorders>
            <w:shd w:val="clear" w:color="auto" w:fill="auto"/>
            <w:vAlign w:val="center"/>
          </w:tcPr>
          <w:p w14:paraId="72A9AB06">
            <w:pPr>
              <w:jc w:val="center"/>
              <w:rPr>
                <w:rFonts w:hint="eastAsia" w:eastAsia="宋体"/>
                <w:color w:val="000000"/>
                <w:sz w:val="22"/>
                <w:lang w:val="en-US" w:eastAsia="zh-CN"/>
              </w:rPr>
            </w:pPr>
            <w:r>
              <w:rPr>
                <w:rFonts w:hint="eastAsia" w:eastAsia="宋体"/>
                <w:color w:val="000000"/>
                <w:sz w:val="22"/>
              </w:rPr>
              <w:t>心脏大血管外科</w:t>
            </w:r>
          </w:p>
        </w:tc>
      </w:tr>
      <w:tr w14:paraId="2567D5A0">
        <w:tblPrEx>
          <w:tblCellMar>
            <w:top w:w="0" w:type="dxa"/>
            <w:left w:w="108" w:type="dxa"/>
            <w:bottom w:w="0" w:type="dxa"/>
            <w:right w:w="108" w:type="dxa"/>
          </w:tblCellMar>
        </w:tblPrEx>
        <w:trPr>
          <w:trHeight w:val="398"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302"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72</w:t>
            </w:r>
          </w:p>
        </w:tc>
        <w:tc>
          <w:tcPr>
            <w:tcW w:w="2077" w:type="pct"/>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显微牵线夹</w:t>
            </w:r>
          </w:p>
        </w:tc>
        <w:tc>
          <w:tcPr>
            <w:tcW w:w="1212" w:type="pct"/>
            <w:tcBorders>
              <w:top w:val="single" w:color="auto" w:sz="4" w:space="0"/>
              <w:left w:val="nil"/>
              <w:bottom w:val="single" w:color="auto" w:sz="4" w:space="0"/>
              <w:right w:val="single" w:color="auto" w:sz="4" w:space="0"/>
            </w:tcBorders>
            <w:shd w:val="clear" w:color="auto" w:fill="auto"/>
            <w:vAlign w:val="center"/>
          </w:tcPr>
          <w:p w14:paraId="1ECFE113">
            <w:pPr>
              <w:jc w:val="center"/>
              <w:rPr>
                <w:rFonts w:hint="eastAsia" w:eastAsia="宋体"/>
                <w:color w:val="000000"/>
                <w:sz w:val="22"/>
                <w:lang w:val="en-US" w:eastAsia="zh-CN"/>
              </w:rPr>
            </w:pPr>
            <w:r>
              <w:rPr>
                <w:rFonts w:hint="eastAsia" w:eastAsia="宋体"/>
                <w:color w:val="000000"/>
                <w:sz w:val="22"/>
              </w:rPr>
              <w:t>心脏大血管外科</w:t>
            </w:r>
          </w:p>
        </w:tc>
      </w:tr>
      <w:tr w14:paraId="50F09777">
        <w:tblPrEx>
          <w:tblCellMar>
            <w:top w:w="0" w:type="dxa"/>
            <w:left w:w="108" w:type="dxa"/>
            <w:bottom w:w="0" w:type="dxa"/>
            <w:right w:w="108" w:type="dxa"/>
          </w:tblCellMar>
        </w:tblPrEx>
        <w:trPr>
          <w:trHeight w:val="398"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41A5036D">
            <w:pPr>
              <w:jc w:val="center"/>
              <w:rPr>
                <w:rFonts w:hint="eastAsia" w:eastAsia="宋体"/>
                <w:color w:val="000000"/>
                <w:sz w:val="22"/>
                <w:lang w:val="en-US" w:eastAsia="zh-CN"/>
              </w:rPr>
            </w:pPr>
            <w:r>
              <w:rPr>
                <w:rFonts w:hint="eastAsia" w:eastAsia="宋体"/>
                <w:color w:val="000000"/>
                <w:sz w:val="22"/>
                <w:lang w:val="en-US" w:eastAsia="zh-CN"/>
              </w:rPr>
              <w:t>5</w:t>
            </w:r>
          </w:p>
        </w:tc>
        <w:tc>
          <w:tcPr>
            <w:tcW w:w="1302" w:type="pct"/>
            <w:tcBorders>
              <w:top w:val="single" w:color="auto" w:sz="4" w:space="0"/>
              <w:left w:val="nil"/>
              <w:bottom w:val="single" w:color="auto" w:sz="4" w:space="0"/>
              <w:right w:val="single" w:color="auto" w:sz="4" w:space="0"/>
            </w:tcBorders>
            <w:shd w:val="clear" w:color="auto" w:fill="auto"/>
            <w:vAlign w:val="center"/>
          </w:tcPr>
          <w:p w14:paraId="16E701AA">
            <w:pPr>
              <w:jc w:val="center"/>
              <w:rPr>
                <w:rFonts w:hint="eastAsia"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73</w:t>
            </w:r>
          </w:p>
        </w:tc>
        <w:tc>
          <w:tcPr>
            <w:tcW w:w="2077" w:type="pct"/>
            <w:tcBorders>
              <w:top w:val="single" w:color="auto" w:sz="4" w:space="0"/>
              <w:left w:val="nil"/>
              <w:bottom w:val="single" w:color="auto" w:sz="4" w:space="0"/>
              <w:right w:val="single" w:color="auto" w:sz="4" w:space="0"/>
            </w:tcBorders>
            <w:shd w:val="clear" w:color="auto" w:fill="auto"/>
            <w:vAlign w:val="center"/>
          </w:tcPr>
          <w:p w14:paraId="4F919EF7">
            <w:pPr>
              <w:jc w:val="center"/>
              <w:rPr>
                <w:rFonts w:hint="eastAsia" w:eastAsia="宋体"/>
                <w:color w:val="000000"/>
                <w:sz w:val="22"/>
                <w:lang w:val="en-US" w:eastAsia="zh-CN"/>
              </w:rPr>
            </w:pPr>
            <w:r>
              <w:rPr>
                <w:rFonts w:hint="eastAsia" w:eastAsia="宋体"/>
                <w:color w:val="000000"/>
                <w:sz w:val="22"/>
                <w:lang w:val="en-US" w:eastAsia="zh-CN"/>
              </w:rPr>
              <w:t>一次性使用吸痰导管包</w:t>
            </w:r>
          </w:p>
        </w:tc>
        <w:tc>
          <w:tcPr>
            <w:tcW w:w="1212" w:type="pct"/>
            <w:tcBorders>
              <w:top w:val="single" w:color="auto" w:sz="4" w:space="0"/>
              <w:left w:val="nil"/>
              <w:bottom w:val="single" w:color="auto" w:sz="4" w:space="0"/>
              <w:right w:val="single" w:color="auto" w:sz="4" w:space="0"/>
            </w:tcBorders>
            <w:shd w:val="clear" w:color="auto" w:fill="auto"/>
            <w:vAlign w:val="center"/>
          </w:tcPr>
          <w:p w14:paraId="4B7B906E">
            <w:pPr>
              <w:jc w:val="center"/>
              <w:rPr>
                <w:rFonts w:hint="eastAsia" w:eastAsia="宋体"/>
                <w:color w:val="000000"/>
                <w:sz w:val="22"/>
                <w:lang w:val="en-US" w:eastAsia="zh-CN"/>
              </w:rPr>
            </w:pPr>
            <w:r>
              <w:rPr>
                <w:rFonts w:hint="eastAsia" w:eastAsia="宋体"/>
                <w:color w:val="000000"/>
                <w:sz w:val="22"/>
              </w:rPr>
              <w:t>心脏大血管外科</w:t>
            </w:r>
          </w:p>
        </w:tc>
      </w:tr>
    </w:tbl>
    <w:p w14:paraId="73FC8F88">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41</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color w:val="FF0000"/>
          <w:kern w:val="0"/>
          <w:szCs w:val="21"/>
          <w:lang w:val="en-US" w:eastAsia="zh-CN"/>
        </w:rPr>
        <w:t>41</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lang w:val="en-US" w:eastAsia="zh-CN"/>
        </w:rPr>
        <w:t>要求执行阳光平台采购的产品，</w:t>
      </w:r>
      <w:bookmarkStart w:id="30" w:name="_GoBack"/>
      <w:bookmarkEnd w:id="30"/>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（一）报名时间：自公告发布之日起至2025年8月28日17：00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年9月5日8点30分，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22</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28</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51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4"/>
        <w:gridCol w:w="1018"/>
        <w:gridCol w:w="1361"/>
        <w:gridCol w:w="3321"/>
        <w:gridCol w:w="1029"/>
        <w:gridCol w:w="1286"/>
        <w:gridCol w:w="653"/>
        <w:gridCol w:w="1286"/>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0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58"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12"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495"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3"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8"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3"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78"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0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ZCB2025-HC41-16</w:t>
            </w:r>
            <w:r>
              <w:rPr>
                <w:rFonts w:hint="eastAsia" w:asciiTheme="majorEastAsia" w:hAnsiTheme="majorEastAsia" w:eastAsiaTheme="majorEastAsia" w:cstheme="majorEastAsia"/>
                <w:i w:val="0"/>
                <w:iCs w:val="0"/>
                <w:color w:val="000000"/>
                <w:kern w:val="0"/>
                <w:sz w:val="20"/>
                <w:szCs w:val="20"/>
                <w:u w:val="none"/>
                <w:lang w:val="en-US" w:eastAsia="zh-CN" w:bidi="ar"/>
              </w:rPr>
              <w:t>9</w:t>
            </w:r>
          </w:p>
        </w:tc>
        <w:tc>
          <w:tcPr>
            <w:tcW w:w="458"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一次性吸引管</w:t>
            </w:r>
          </w:p>
        </w:tc>
        <w:tc>
          <w:tcPr>
            <w:tcW w:w="612" w:type="pct"/>
            <w:shd w:val="clear" w:color="auto" w:fill="auto"/>
            <w:vAlign w:val="center"/>
          </w:tcPr>
          <w:p w14:paraId="2FAAEB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82</w:t>
            </w:r>
          </w:p>
        </w:tc>
        <w:tc>
          <w:tcPr>
            <w:tcW w:w="1495" w:type="pct"/>
            <w:shd w:val="clear" w:color="auto" w:fill="auto"/>
            <w:vAlign w:val="center"/>
          </w:tcPr>
          <w:p w14:paraId="2BF5F15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1、进液管长度 1250士50 mm，管径6±1mm，接头内径8±1mm，带有滤水接头。</w:t>
            </w:r>
          </w:p>
          <w:p w14:paraId="3D99DA2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3、排液管长度1550+50mm，管内径8+1mm，接头内经 10±1mm，带有排水沉头。</w:t>
            </w:r>
          </w:p>
          <w:p w14:paraId="7AF6A1D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4、进出胃管为Y型管设计，长度170+50mm，接头内径8.5士2mm。</w:t>
            </w:r>
          </w:p>
          <w:p w14:paraId="61C0688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5、管路材质为PVC，一次性使用。</w:t>
            </w:r>
          </w:p>
          <w:p w14:paraId="54051F14">
            <w:pPr>
              <w:widowControl/>
              <w:jc w:val="both"/>
              <w:rPr>
                <w:rFonts w:hint="default"/>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6、适配于医院在用的同业SCII型自动洗胃机。</w:t>
            </w:r>
          </w:p>
        </w:tc>
        <w:tc>
          <w:tcPr>
            <w:tcW w:w="463" w:type="pct"/>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3454627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78" w:type="pct"/>
            <w:vAlign w:val="top"/>
          </w:tcPr>
          <w:p w14:paraId="2E7A1C5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0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70</w:t>
            </w:r>
          </w:p>
        </w:tc>
        <w:tc>
          <w:tcPr>
            <w:tcW w:w="458"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一次性无菌胸腹腔引流导管及附件</w:t>
            </w:r>
          </w:p>
        </w:tc>
        <w:tc>
          <w:tcPr>
            <w:tcW w:w="612" w:type="pct"/>
            <w:shd w:val="clear" w:color="auto" w:fill="auto"/>
            <w:vAlign w:val="center"/>
          </w:tcPr>
          <w:p w14:paraId="3BF328E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1495" w:type="pct"/>
            <w:shd w:val="clear" w:color="auto" w:fill="auto"/>
            <w:vAlign w:val="center"/>
          </w:tcPr>
          <w:p w14:paraId="34977E1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1.产品由导管和导丝、扩张器等组成：导管材质为聚氨酯；</w:t>
            </w:r>
          </w:p>
          <w:p w14:paraId="1B3BE29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2.导管前端具有直形和弯形等型号，具有防堵多侧孔特点；</w:t>
            </w:r>
          </w:p>
          <w:p w14:paraId="51B6AC5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3.导管具有多种型号可满足临床需求。管径6F--12F，长度20--30cm±1mm；导丝直径范围0.018--0.035inch；导管管体：有相应的刻度标志，易于掌握置管深度；扩张器：（1-2）5-12F；导引穿刺针：18G；</w:t>
            </w:r>
          </w:p>
          <w:p w14:paraId="4AFECF5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4.产品以无菌形式提供，一次性使用，有效期不小于36个月。</w:t>
            </w:r>
          </w:p>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5.适配于医院在用的GE LOGIQ E9设备使用。</w:t>
            </w:r>
          </w:p>
        </w:tc>
        <w:tc>
          <w:tcPr>
            <w:tcW w:w="463" w:type="pct"/>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7886359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超声医学科护理组</w:t>
            </w:r>
          </w:p>
        </w:tc>
        <w:tc>
          <w:tcPr>
            <w:tcW w:w="578"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8F的导管及其配套的全部附件</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1843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7076162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07" w:type="pct"/>
            <w:shd w:val="clear" w:color="auto" w:fill="auto"/>
            <w:vAlign w:val="center"/>
          </w:tcPr>
          <w:p w14:paraId="5A0EFC8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71</w:t>
            </w:r>
          </w:p>
        </w:tc>
        <w:tc>
          <w:tcPr>
            <w:tcW w:w="458" w:type="pct"/>
            <w:shd w:val="clear" w:color="auto" w:fill="auto"/>
            <w:vAlign w:val="center"/>
          </w:tcPr>
          <w:p w14:paraId="7C1A338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可吸收血管封合医用胶</w:t>
            </w:r>
          </w:p>
        </w:tc>
        <w:tc>
          <w:tcPr>
            <w:tcW w:w="612" w:type="pct"/>
            <w:shd w:val="clear" w:color="auto" w:fill="auto"/>
            <w:vAlign w:val="center"/>
          </w:tcPr>
          <w:p w14:paraId="4643214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2975</w:t>
            </w:r>
          </w:p>
        </w:tc>
        <w:tc>
          <w:tcPr>
            <w:tcW w:w="1495" w:type="pct"/>
            <w:shd w:val="clear" w:color="auto" w:fill="auto"/>
            <w:vAlign w:val="center"/>
          </w:tcPr>
          <w:p w14:paraId="7782EF2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（1）破裂强度应不低于200mmHg，溶胀率应不大于自身重量的400%；</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（2）粘合强度：对凝胶施加200mmHg压力，维持时间大于10min不脱落、不渗漏；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（3）细胞内毒素：细菌内毒素含量应小于2.15EU/件；</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（4）产品无菌、无热原、无亚慢毒性、无遗传毒性；</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（5）产品可在4周内降解完全，符合GB/T 16886系列标准。</w:t>
            </w:r>
          </w:p>
        </w:tc>
        <w:tc>
          <w:tcPr>
            <w:tcW w:w="463" w:type="pct"/>
            <w:vAlign w:val="center"/>
          </w:tcPr>
          <w:p w14:paraId="563468D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2DDB936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3EFFE8A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29E2D89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A98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B1CCBA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07" w:type="pct"/>
            <w:shd w:val="clear" w:color="auto" w:fill="auto"/>
            <w:vAlign w:val="center"/>
          </w:tcPr>
          <w:p w14:paraId="4E15864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72</w:t>
            </w:r>
          </w:p>
        </w:tc>
        <w:tc>
          <w:tcPr>
            <w:tcW w:w="458" w:type="pct"/>
            <w:shd w:val="clear" w:color="auto" w:fill="auto"/>
            <w:vAlign w:val="center"/>
          </w:tcPr>
          <w:p w14:paraId="6B78600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显微牵线夹</w:t>
            </w:r>
          </w:p>
        </w:tc>
        <w:tc>
          <w:tcPr>
            <w:tcW w:w="612" w:type="pct"/>
            <w:shd w:val="clear" w:color="auto" w:fill="auto"/>
            <w:vAlign w:val="center"/>
          </w:tcPr>
          <w:p w14:paraId="440A585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w:t>
            </w:r>
          </w:p>
        </w:tc>
        <w:tc>
          <w:tcPr>
            <w:tcW w:w="1495" w:type="pct"/>
            <w:shd w:val="clear" w:color="auto" w:fill="auto"/>
            <w:vAlign w:val="center"/>
          </w:tcPr>
          <w:p w14:paraId="5ADEB96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1.用于显微手术时夹持牵引线；</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2.采用不锈钢材料制成；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3.有大中小等多种型号可选；</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4.长不小于200mm，不大于250mm；直径0.6.-0.8mm</w:t>
            </w:r>
          </w:p>
        </w:tc>
        <w:tc>
          <w:tcPr>
            <w:tcW w:w="463" w:type="pct"/>
            <w:vAlign w:val="center"/>
          </w:tcPr>
          <w:p w14:paraId="07A1ACF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7D13F1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否（如后续纳入挂网范围须无条件挂网签订合同）</w:t>
            </w:r>
          </w:p>
        </w:tc>
        <w:tc>
          <w:tcPr>
            <w:tcW w:w="293" w:type="pct"/>
            <w:shd w:val="clear" w:color="auto" w:fill="auto"/>
            <w:vAlign w:val="center"/>
          </w:tcPr>
          <w:p w14:paraId="437A5BA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34859200">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中号（M）</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22BE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7C5C12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07" w:type="pct"/>
            <w:shd w:val="clear" w:color="auto" w:fill="auto"/>
            <w:vAlign w:val="center"/>
          </w:tcPr>
          <w:p w14:paraId="2888C01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73</w:t>
            </w:r>
          </w:p>
        </w:tc>
        <w:tc>
          <w:tcPr>
            <w:tcW w:w="458" w:type="pct"/>
            <w:shd w:val="clear" w:color="auto" w:fill="auto"/>
            <w:vAlign w:val="center"/>
          </w:tcPr>
          <w:p w14:paraId="5994F72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一次性使用吸痰导管包</w:t>
            </w:r>
          </w:p>
        </w:tc>
        <w:tc>
          <w:tcPr>
            <w:tcW w:w="612" w:type="pct"/>
            <w:shd w:val="clear" w:color="auto" w:fill="auto"/>
            <w:vAlign w:val="center"/>
          </w:tcPr>
          <w:p w14:paraId="77B4652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85/</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58/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w:t>
            </w:r>
          </w:p>
        </w:tc>
        <w:tc>
          <w:tcPr>
            <w:tcW w:w="1495" w:type="pct"/>
            <w:shd w:val="clear" w:color="auto" w:fill="auto"/>
            <w:vAlign w:val="center"/>
          </w:tcPr>
          <w:p w14:paraId="1760D2B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1、产品由一次性使用吸痰管、一次性使用负压吸引瓶、一次性使用吸引连接管、一次性使用清洗杯、一次性使用薄膜手套及一次性使用无纺布等组成。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2、产品引流瓶材质为PP或者PC塑料。</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3、产品须配备吸痰护理包所需物品及吸痰管。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4、吸引瓶瓶身具备刻度条。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5、配有防污染的堵头及挂钩。</w:t>
            </w:r>
          </w:p>
        </w:tc>
        <w:tc>
          <w:tcPr>
            <w:tcW w:w="463" w:type="pct"/>
            <w:vAlign w:val="center"/>
          </w:tcPr>
          <w:p w14:paraId="448A9BA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303BAEA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56D672A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628BBE6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4632DD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21日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对新准入和替换的</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586" w:tblpY="662"/>
        <w:tblOverlap w:val="never"/>
        <w:tblW w:w="51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4"/>
        <w:gridCol w:w="1018"/>
        <w:gridCol w:w="1361"/>
        <w:gridCol w:w="3321"/>
        <w:gridCol w:w="1029"/>
        <w:gridCol w:w="1286"/>
        <w:gridCol w:w="653"/>
        <w:gridCol w:w="1286"/>
      </w:tblGrid>
      <w:tr w14:paraId="3DC1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8B5253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07" w:type="pct"/>
            <w:vAlign w:val="center"/>
          </w:tcPr>
          <w:p w14:paraId="0F063FF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58" w:type="pct"/>
            <w:vAlign w:val="center"/>
          </w:tcPr>
          <w:p w14:paraId="09A14E0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12" w:type="pct"/>
            <w:vAlign w:val="center"/>
          </w:tcPr>
          <w:p w14:paraId="5266F50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495" w:type="pct"/>
            <w:vAlign w:val="center"/>
          </w:tcPr>
          <w:p w14:paraId="5CDF254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3" w:type="pct"/>
            <w:vAlign w:val="center"/>
          </w:tcPr>
          <w:p w14:paraId="7340EC7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8" w:type="pct"/>
            <w:vAlign w:val="center"/>
          </w:tcPr>
          <w:p w14:paraId="6278D50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3" w:type="pct"/>
          </w:tcPr>
          <w:p w14:paraId="5F446BF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78" w:type="pct"/>
          </w:tcPr>
          <w:p w14:paraId="46CFBC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AD0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70FE2A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07" w:type="pct"/>
            <w:shd w:val="clear" w:color="auto" w:fill="auto"/>
            <w:vAlign w:val="center"/>
          </w:tcPr>
          <w:p w14:paraId="3E480A2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ZCB2025-HC41-16</w:t>
            </w:r>
            <w:r>
              <w:rPr>
                <w:rFonts w:hint="eastAsia" w:asciiTheme="majorEastAsia" w:hAnsiTheme="majorEastAsia" w:eastAsiaTheme="majorEastAsia" w:cstheme="majorEastAsia"/>
                <w:i w:val="0"/>
                <w:iCs w:val="0"/>
                <w:color w:val="000000"/>
                <w:kern w:val="0"/>
                <w:sz w:val="20"/>
                <w:szCs w:val="20"/>
                <w:u w:val="none"/>
                <w:lang w:val="en-US" w:eastAsia="zh-CN" w:bidi="ar"/>
              </w:rPr>
              <w:t>9</w:t>
            </w:r>
          </w:p>
        </w:tc>
        <w:tc>
          <w:tcPr>
            <w:tcW w:w="458" w:type="pct"/>
            <w:shd w:val="clear" w:color="auto" w:fill="auto"/>
            <w:vAlign w:val="center"/>
          </w:tcPr>
          <w:p w14:paraId="6A8A8BC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一次性吸引管</w:t>
            </w:r>
          </w:p>
        </w:tc>
        <w:tc>
          <w:tcPr>
            <w:tcW w:w="612" w:type="pct"/>
            <w:shd w:val="clear" w:color="auto" w:fill="auto"/>
            <w:vAlign w:val="center"/>
          </w:tcPr>
          <w:p w14:paraId="00FE5CA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82</w:t>
            </w:r>
          </w:p>
        </w:tc>
        <w:tc>
          <w:tcPr>
            <w:tcW w:w="1495" w:type="pct"/>
            <w:shd w:val="clear" w:color="auto" w:fill="auto"/>
            <w:vAlign w:val="center"/>
          </w:tcPr>
          <w:p w14:paraId="6792B3E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1、进液管长度 1250士50 mm，管径6±1mm，接头内径8±1mm，带有滤水接头。</w:t>
            </w:r>
          </w:p>
          <w:p w14:paraId="236F0B7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3、排液管长度1550+50mm，管内径8+1mm，接头内经 10±1mm，带有排水沉头。</w:t>
            </w:r>
          </w:p>
          <w:p w14:paraId="7BD90F5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4、进出胃管为Y型管设计，长度170+50mm，接头内径8.5士2mm。</w:t>
            </w:r>
          </w:p>
          <w:p w14:paraId="1D775E4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5、管路材质为PVC，一次性使用。</w:t>
            </w:r>
          </w:p>
          <w:p w14:paraId="27F11CB2">
            <w:pPr>
              <w:widowControl/>
              <w:jc w:val="both"/>
              <w:rPr>
                <w:rFonts w:hint="default"/>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6、适配于医院在用的同业SCII型自动洗胃机。</w:t>
            </w:r>
          </w:p>
        </w:tc>
        <w:tc>
          <w:tcPr>
            <w:tcW w:w="463" w:type="pct"/>
            <w:vAlign w:val="center"/>
          </w:tcPr>
          <w:p w14:paraId="05ABE83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24176FD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1D6F7F8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78" w:type="pct"/>
            <w:vAlign w:val="top"/>
          </w:tcPr>
          <w:p w14:paraId="4A8B4F92">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2C93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9D9C8B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07" w:type="pct"/>
            <w:shd w:val="clear" w:color="auto" w:fill="auto"/>
            <w:vAlign w:val="center"/>
          </w:tcPr>
          <w:p w14:paraId="75ABE2F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70</w:t>
            </w:r>
          </w:p>
        </w:tc>
        <w:tc>
          <w:tcPr>
            <w:tcW w:w="458" w:type="pct"/>
            <w:shd w:val="clear" w:color="auto" w:fill="auto"/>
            <w:vAlign w:val="center"/>
          </w:tcPr>
          <w:p w14:paraId="137610F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一次性无菌胸腹腔引流导管及附件</w:t>
            </w:r>
          </w:p>
        </w:tc>
        <w:tc>
          <w:tcPr>
            <w:tcW w:w="612" w:type="pct"/>
            <w:shd w:val="clear" w:color="auto" w:fill="auto"/>
            <w:vAlign w:val="center"/>
          </w:tcPr>
          <w:p w14:paraId="1808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1495" w:type="pct"/>
            <w:shd w:val="clear" w:color="auto" w:fill="auto"/>
            <w:vAlign w:val="center"/>
          </w:tcPr>
          <w:p w14:paraId="175E293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1.产品由导管和导丝、扩张器等组成：导管材质为聚氨酯；</w:t>
            </w:r>
          </w:p>
          <w:p w14:paraId="2BACC11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2.导管前端具有直形和弯形等型号，具有防堵多侧孔特点；</w:t>
            </w:r>
          </w:p>
          <w:p w14:paraId="76E605A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3.导管具有多种型号可满足临床需求。管径6F--12F，长度20--30cm±1mm；导丝直径范围0.018--0.035inch；导管管体：有相应的刻度标志，易于掌握置管深度；扩张器：（1-2）5-12F；导引穿刺针：18G；</w:t>
            </w:r>
          </w:p>
          <w:p w14:paraId="6D2B6A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4.产品以无菌形式提供，一次性使用，有效期不小于36个月。</w:t>
            </w:r>
          </w:p>
          <w:p w14:paraId="1DC20D7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5.适配于医院在用的GE LOGIQ E9设备使用。</w:t>
            </w:r>
          </w:p>
        </w:tc>
        <w:tc>
          <w:tcPr>
            <w:tcW w:w="463" w:type="pct"/>
            <w:vAlign w:val="center"/>
          </w:tcPr>
          <w:p w14:paraId="4FA9835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7944B3A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0C914C3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超声医学科护理组</w:t>
            </w:r>
          </w:p>
        </w:tc>
        <w:tc>
          <w:tcPr>
            <w:tcW w:w="578" w:type="pct"/>
            <w:vAlign w:val="top"/>
          </w:tcPr>
          <w:p w14:paraId="5454EC3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8F的导管及其配套的全部附件</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03FB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21E6591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07" w:type="pct"/>
            <w:shd w:val="clear" w:color="auto" w:fill="auto"/>
            <w:vAlign w:val="center"/>
          </w:tcPr>
          <w:p w14:paraId="061F77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71</w:t>
            </w:r>
          </w:p>
        </w:tc>
        <w:tc>
          <w:tcPr>
            <w:tcW w:w="458" w:type="pct"/>
            <w:shd w:val="clear" w:color="auto" w:fill="auto"/>
            <w:vAlign w:val="center"/>
          </w:tcPr>
          <w:p w14:paraId="1B8566B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可吸收血管封合医用胶</w:t>
            </w:r>
          </w:p>
        </w:tc>
        <w:tc>
          <w:tcPr>
            <w:tcW w:w="612" w:type="pct"/>
            <w:shd w:val="clear" w:color="auto" w:fill="auto"/>
            <w:vAlign w:val="center"/>
          </w:tcPr>
          <w:p w14:paraId="555BBAE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2975</w:t>
            </w:r>
          </w:p>
        </w:tc>
        <w:tc>
          <w:tcPr>
            <w:tcW w:w="1495" w:type="pct"/>
            <w:shd w:val="clear" w:color="auto" w:fill="auto"/>
            <w:vAlign w:val="center"/>
          </w:tcPr>
          <w:p w14:paraId="063FAD1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（1）破裂强度应不低于200mmHg，溶胀率应不大于自身重量的400%；</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（2）粘合强度：对凝胶施加200mmHg压力，维持时间大于10min不脱落、不渗漏；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（3）细胞内毒素：细菌内毒素含量应小于2.15EU/件；</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（4）产品无菌、无热原、无亚慢毒性、无遗传毒性；</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（5）产品可在4周内降解完全，符合GB/T 16886系列标准。</w:t>
            </w:r>
          </w:p>
        </w:tc>
        <w:tc>
          <w:tcPr>
            <w:tcW w:w="463" w:type="pct"/>
            <w:vAlign w:val="center"/>
          </w:tcPr>
          <w:p w14:paraId="5871F92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4CB3A35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05E883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2D95EF0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6C7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6664C90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07" w:type="pct"/>
            <w:shd w:val="clear" w:color="auto" w:fill="auto"/>
            <w:vAlign w:val="center"/>
          </w:tcPr>
          <w:p w14:paraId="318EFF0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72</w:t>
            </w:r>
          </w:p>
        </w:tc>
        <w:tc>
          <w:tcPr>
            <w:tcW w:w="458" w:type="pct"/>
            <w:shd w:val="clear" w:color="auto" w:fill="auto"/>
            <w:vAlign w:val="center"/>
          </w:tcPr>
          <w:p w14:paraId="7188A3D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显微牵线夹</w:t>
            </w:r>
          </w:p>
        </w:tc>
        <w:tc>
          <w:tcPr>
            <w:tcW w:w="612" w:type="pct"/>
            <w:shd w:val="clear" w:color="auto" w:fill="auto"/>
            <w:vAlign w:val="center"/>
          </w:tcPr>
          <w:p w14:paraId="1C2A1B0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w:t>
            </w:r>
          </w:p>
        </w:tc>
        <w:tc>
          <w:tcPr>
            <w:tcW w:w="1495" w:type="pct"/>
            <w:shd w:val="clear" w:color="auto" w:fill="auto"/>
            <w:vAlign w:val="center"/>
          </w:tcPr>
          <w:p w14:paraId="3852F8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1.用于显微手术时夹持牵引线；</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2.采用不锈钢材料制成；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3.有大中小等多种型号可选；</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4.长不小于200mm，不大于250mm；直径0.6.-0.8mm</w:t>
            </w:r>
          </w:p>
        </w:tc>
        <w:tc>
          <w:tcPr>
            <w:tcW w:w="463" w:type="pct"/>
            <w:vAlign w:val="center"/>
          </w:tcPr>
          <w:p w14:paraId="2138860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99184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否（如后续纳入挂网范围须无条件挂网签订合同）</w:t>
            </w:r>
          </w:p>
        </w:tc>
        <w:tc>
          <w:tcPr>
            <w:tcW w:w="293" w:type="pct"/>
            <w:shd w:val="clear" w:color="auto" w:fill="auto"/>
            <w:vAlign w:val="center"/>
          </w:tcPr>
          <w:p w14:paraId="6560119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3E236AD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中号（M）</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23B8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7F3F90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07" w:type="pct"/>
            <w:shd w:val="clear" w:color="auto" w:fill="auto"/>
            <w:vAlign w:val="center"/>
          </w:tcPr>
          <w:p w14:paraId="2345224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73</w:t>
            </w:r>
          </w:p>
        </w:tc>
        <w:tc>
          <w:tcPr>
            <w:tcW w:w="458" w:type="pct"/>
            <w:shd w:val="clear" w:color="auto" w:fill="auto"/>
            <w:vAlign w:val="center"/>
          </w:tcPr>
          <w:p w14:paraId="72A70B7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一次性使用吸痰导管包</w:t>
            </w:r>
          </w:p>
        </w:tc>
        <w:tc>
          <w:tcPr>
            <w:tcW w:w="612" w:type="pct"/>
            <w:shd w:val="clear" w:color="auto" w:fill="auto"/>
            <w:vAlign w:val="center"/>
          </w:tcPr>
          <w:p w14:paraId="075A0C6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85/</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58/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w:t>
            </w:r>
          </w:p>
        </w:tc>
        <w:tc>
          <w:tcPr>
            <w:tcW w:w="1495" w:type="pct"/>
            <w:shd w:val="clear" w:color="auto" w:fill="auto"/>
            <w:vAlign w:val="center"/>
          </w:tcPr>
          <w:p w14:paraId="4378E7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1、产品由一次性使用吸痰管、一次性使用负压吸引瓶、一次性使用吸引连接管、一次性使用清洗杯、一次性使用薄膜手套及一次性使用无纺布等组成。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2、产品引流瓶材质为PP或者PC塑料。</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3、产品须配备吸痰护理包所需物品及吸痰管。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4、吸引瓶瓶身具备刻度条。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5、配有防污染的堵头及挂钩。</w:t>
            </w:r>
          </w:p>
        </w:tc>
        <w:tc>
          <w:tcPr>
            <w:tcW w:w="463" w:type="pct"/>
            <w:vAlign w:val="center"/>
          </w:tcPr>
          <w:p w14:paraId="2A6978A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6256E86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20B43A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1DAF1B9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17679"/>
      <w:bookmarkStart w:id="13" w:name="_Toc73521586"/>
      <w:bookmarkStart w:id="14" w:name="_Toc73518157"/>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73518158"/>
      <w:bookmarkStart w:id="19" w:name="_Toc100052409"/>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100052410"/>
      <w:bookmarkStart w:id="23" w:name="_Toc7351816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7A00A2E1">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867921-4256-46A8-8FBA-C27ABA3AF8D9}"/>
  </w:font>
  <w:font w:name="黑体">
    <w:panose1 w:val="02010609060101010101"/>
    <w:charset w:val="86"/>
    <w:family w:val="auto"/>
    <w:pitch w:val="default"/>
    <w:sig w:usb0="800002BF" w:usb1="38CF7CFA" w:usb2="00000016" w:usb3="00000000" w:csb0="00040001" w:csb1="00000000"/>
    <w:embedRegular r:id="rId2" w:fontKey="{0BEA1990-E0E3-48D6-9766-C49280AE01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7EBA513-5294-460D-97D6-29D6A0DD23A6}"/>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FB11430B-EF9D-43E7-9747-658BFE0DA18F}"/>
  </w:font>
  <w:font w:name="华文中宋">
    <w:panose1 w:val="02010600040101010101"/>
    <w:charset w:val="86"/>
    <w:family w:val="auto"/>
    <w:pitch w:val="default"/>
    <w:sig w:usb0="00000287" w:usb1="080F0000" w:usb2="00000000" w:usb3="00000000" w:csb0="0004009F" w:csb1="DFD70000"/>
    <w:embedRegular r:id="rId5" w:fontKey="{52FBE839-7FCF-4A1E-A52E-53787737443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40BFA81-B14F-4641-9E9B-23092E30CF36}"/>
  </w:font>
  <w:font w:name="方正小标宋简体">
    <w:panose1 w:val="03000509000000000000"/>
    <w:charset w:val="86"/>
    <w:family w:val="auto"/>
    <w:pitch w:val="default"/>
    <w:sig w:usb0="00000001" w:usb1="080E0000" w:usb2="00000000" w:usb3="00000000" w:csb0="00040000" w:csb1="00000000"/>
    <w:embedRegular r:id="rId7" w:fontKey="{B22D3304-06AC-40F9-9CBF-D1754433E42D}"/>
  </w:font>
  <w:font w:name="微软雅黑">
    <w:panose1 w:val="020B0503020204020204"/>
    <w:charset w:val="86"/>
    <w:family w:val="swiss"/>
    <w:pitch w:val="default"/>
    <w:sig w:usb0="80000287" w:usb1="2ACF3C50" w:usb2="00000016" w:usb3="00000000" w:csb0="0004001F" w:csb1="00000000"/>
    <w:embedRegular r:id="rId8" w:fontKey="{0E5DE17A-54DA-4DB0-BD4F-BD67CF73C39D}"/>
  </w:font>
  <w:font w:name="仿宋">
    <w:panose1 w:val="02010609060101010101"/>
    <w:charset w:val="86"/>
    <w:family w:val="modern"/>
    <w:pitch w:val="default"/>
    <w:sig w:usb0="800002BF" w:usb1="38CF7CFA" w:usb2="00000016" w:usb3="00000000" w:csb0="00040001" w:csb1="00000000"/>
    <w:embedRegular r:id="rId9" w:fontKey="{AEF6B061-8EA0-4D66-8775-0B63DA51133C}"/>
  </w:font>
  <w:font w:name="方正小标宋_GBK">
    <w:panose1 w:val="03000509000000000000"/>
    <w:charset w:val="86"/>
    <w:family w:val="script"/>
    <w:pitch w:val="default"/>
    <w:sig w:usb0="00000001" w:usb1="080E0000" w:usb2="00000000" w:usb3="00000000" w:csb0="00040000" w:csb1="00000000"/>
    <w:embedRegular r:id="rId10" w:fontKey="{B29416C5-BA44-413B-8B8C-4648BC5EF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512C73"/>
    <w:rsid w:val="0B677C63"/>
    <w:rsid w:val="0BE95409"/>
    <w:rsid w:val="0C9B1CCF"/>
    <w:rsid w:val="0CCE2622"/>
    <w:rsid w:val="0CD563F7"/>
    <w:rsid w:val="0E085C48"/>
    <w:rsid w:val="0EBB3AA4"/>
    <w:rsid w:val="0FAD08ED"/>
    <w:rsid w:val="100D0676"/>
    <w:rsid w:val="10A23C41"/>
    <w:rsid w:val="11113C16"/>
    <w:rsid w:val="119A47CB"/>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1F1A4B"/>
    <w:rsid w:val="249E5BD9"/>
    <w:rsid w:val="24B05A43"/>
    <w:rsid w:val="251F58B8"/>
    <w:rsid w:val="25335A76"/>
    <w:rsid w:val="257965BE"/>
    <w:rsid w:val="25897742"/>
    <w:rsid w:val="26013AFE"/>
    <w:rsid w:val="26CD4B45"/>
    <w:rsid w:val="274E2D73"/>
    <w:rsid w:val="27AB0837"/>
    <w:rsid w:val="281B3EE1"/>
    <w:rsid w:val="283C2E70"/>
    <w:rsid w:val="296A3769"/>
    <w:rsid w:val="29B33674"/>
    <w:rsid w:val="29C0261A"/>
    <w:rsid w:val="2A04596B"/>
    <w:rsid w:val="2A1E2AB2"/>
    <w:rsid w:val="2A29419B"/>
    <w:rsid w:val="2A7D4161"/>
    <w:rsid w:val="2BBE4A09"/>
    <w:rsid w:val="2D305785"/>
    <w:rsid w:val="2DF5037E"/>
    <w:rsid w:val="2EBE628C"/>
    <w:rsid w:val="2FA22E86"/>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default" w:ascii="Times New Roman" w:hAnsi="Times New Roman" w:cs="Times New Roman"/>
      <w:color w:val="00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4691</Words>
  <Characters>5364</Characters>
  <Lines>212</Lines>
  <Paragraphs>59</Paragraphs>
  <TotalTime>0</TotalTime>
  <ScaleCrop>false</ScaleCrop>
  <LinksUpToDate>false</LinksUpToDate>
  <CharactersWithSpaces>5452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2025-09-04T06:48:58Z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