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20A0C">
      <w:pPr>
        <w:jc w:val="center"/>
        <w:rPr>
          <w:rFonts w:asciiTheme="majorEastAsia" w:hAnsiTheme="majorEastAsia" w:eastAsiaTheme="majorEastAsia"/>
          <w:b/>
        </w:rPr>
      </w:pPr>
      <w:r>
        <w:rPr>
          <w:rFonts w:hint="eastAsia" w:asciiTheme="majorEastAsia" w:hAnsiTheme="majorEastAsia" w:eastAsiaTheme="majorEastAsia"/>
          <w:b/>
          <w:sz w:val="44"/>
          <w:szCs w:val="44"/>
        </w:rPr>
        <w:t>中山大学附属第八医院（深圳福田）货物类</w:t>
      </w:r>
    </w:p>
    <w:p w14:paraId="026FC558">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采购需求书</w:t>
      </w:r>
    </w:p>
    <w:p w14:paraId="326B4E80">
      <w:pPr>
        <w:ind w:firstLine="240" w:firstLineChars="100"/>
        <w:rPr>
          <w:rFonts w:cs="方正小标宋简体" w:asciiTheme="majorEastAsia" w:hAnsiTheme="majorEastAsia" w:eastAsiaTheme="majorEastAsia"/>
          <w:sz w:val="36"/>
          <w:szCs w:val="36"/>
        </w:rPr>
      </w:pPr>
      <w:r>
        <w:rPr>
          <w:rFonts w:hint="eastAsia" w:cs="宋体" w:asciiTheme="majorEastAsia" w:hAnsiTheme="majorEastAsia" w:eastAsiaTheme="majorEastAsia"/>
          <w:sz w:val="24"/>
        </w:rPr>
        <w:t>说明：“★”号条款为实质性条款，必须完全满足，不满足则不予采购</w:t>
      </w:r>
    </w:p>
    <w:p w14:paraId="0634CDFA">
      <w:pPr>
        <w:ind w:firstLine="361" w:firstLineChars="100"/>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第一部分 项目基本要求</w:t>
      </w:r>
    </w:p>
    <w:p w14:paraId="3EFA4189">
      <w:pPr>
        <w:spacing w:before="100" w:beforeAutospacing="1"/>
        <w:rPr>
          <w:rFonts w:cs="方正小标宋简体" w:asciiTheme="majorEastAsia" w:hAnsiTheme="majorEastAsia" w:eastAsiaTheme="majorEastAsia"/>
          <w:sz w:val="32"/>
          <w:szCs w:val="32"/>
        </w:rPr>
      </w:pPr>
      <w:r>
        <w:rPr>
          <w:rFonts w:hint="eastAsia" w:cs="方正小标宋简体" w:asciiTheme="majorEastAsia" w:hAnsiTheme="majorEastAsia" w:eastAsiaTheme="majorEastAsia"/>
          <w:sz w:val="32"/>
          <w:szCs w:val="32"/>
        </w:rPr>
        <w:t xml:space="preserve"> 一、项目基本信息</w:t>
      </w:r>
    </w:p>
    <w:p w14:paraId="24675D60">
      <w:pPr>
        <w:spacing w:before="100" w:beforeAutospacing="1"/>
        <w:ind w:firstLine="482" w:firstLineChars="200"/>
        <w:rPr>
          <w:rFonts w:cs="方正小标宋简体" w:asciiTheme="majorEastAsia" w:hAnsiTheme="majorEastAsia" w:eastAsiaTheme="majorEastAsia"/>
          <w:sz w:val="24"/>
          <w:shd w:val="clear" w:color="auto" w:fill="FFFFFF"/>
        </w:rPr>
      </w:pPr>
      <w:r>
        <w:rPr>
          <w:rFonts w:hint="eastAsia" w:asciiTheme="majorEastAsia" w:hAnsiTheme="majorEastAsia" w:eastAsiaTheme="majorEastAsia"/>
          <w:b/>
          <w:color w:val="000000"/>
          <w:sz w:val="24"/>
          <w:szCs w:val="21"/>
        </w:rPr>
        <w:t xml:space="preserve">申请科室：检验科      </w:t>
      </w:r>
    </w:p>
    <w:tbl>
      <w:tblPr>
        <w:tblStyle w:val="9"/>
        <w:tblW w:w="10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22"/>
        <w:gridCol w:w="760"/>
        <w:gridCol w:w="657"/>
        <w:gridCol w:w="528"/>
        <w:gridCol w:w="840"/>
        <w:gridCol w:w="191"/>
        <w:gridCol w:w="631"/>
        <w:gridCol w:w="503"/>
        <w:gridCol w:w="490"/>
        <w:gridCol w:w="425"/>
        <w:gridCol w:w="567"/>
        <w:gridCol w:w="1417"/>
        <w:gridCol w:w="993"/>
        <w:gridCol w:w="1062"/>
      </w:tblGrid>
      <w:tr w14:paraId="0B14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0" w:type="dxa"/>
            <w:gridSpan w:val="4"/>
            <w:shd w:val="clear" w:color="auto" w:fill="auto"/>
          </w:tcPr>
          <w:p w14:paraId="75FAA9E3">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申请设备名称</w:t>
            </w:r>
          </w:p>
        </w:tc>
        <w:tc>
          <w:tcPr>
            <w:tcW w:w="1559" w:type="dxa"/>
            <w:gridSpan w:val="3"/>
            <w:shd w:val="clear" w:color="auto" w:fill="auto"/>
          </w:tcPr>
          <w:p w14:paraId="3B8655AF">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进口/国产</w:t>
            </w:r>
          </w:p>
        </w:tc>
        <w:tc>
          <w:tcPr>
            <w:tcW w:w="1134" w:type="dxa"/>
            <w:gridSpan w:val="2"/>
            <w:shd w:val="clear" w:color="auto" w:fill="auto"/>
          </w:tcPr>
          <w:p w14:paraId="5177D602">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数量</w:t>
            </w:r>
          </w:p>
        </w:tc>
        <w:tc>
          <w:tcPr>
            <w:tcW w:w="915" w:type="dxa"/>
            <w:gridSpan w:val="2"/>
            <w:shd w:val="clear" w:color="auto" w:fill="auto"/>
          </w:tcPr>
          <w:p w14:paraId="4662DC9F">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单位</w:t>
            </w:r>
          </w:p>
        </w:tc>
        <w:tc>
          <w:tcPr>
            <w:tcW w:w="1984" w:type="dxa"/>
            <w:gridSpan w:val="2"/>
            <w:shd w:val="clear" w:color="auto" w:fill="auto"/>
          </w:tcPr>
          <w:p w14:paraId="524F3A08">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预算单价（万元）</w:t>
            </w:r>
          </w:p>
        </w:tc>
        <w:tc>
          <w:tcPr>
            <w:tcW w:w="2055" w:type="dxa"/>
            <w:gridSpan w:val="2"/>
            <w:shd w:val="clear" w:color="auto" w:fill="auto"/>
          </w:tcPr>
          <w:p w14:paraId="1DEFF76B">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预算总价（万元）</w:t>
            </w:r>
          </w:p>
        </w:tc>
      </w:tr>
      <w:tr w14:paraId="21D1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0" w:type="dxa"/>
            <w:gridSpan w:val="4"/>
            <w:shd w:val="clear" w:color="auto" w:fill="auto"/>
            <w:vAlign w:val="center"/>
          </w:tcPr>
          <w:p w14:paraId="0EB089DB">
            <w:pPr>
              <w:jc w:val="center"/>
              <w:rPr>
                <w:rFonts w:asciiTheme="majorEastAsia" w:hAnsiTheme="majorEastAsia" w:eastAsiaTheme="majorEastAsia"/>
                <w:sz w:val="24"/>
                <w:szCs w:val="21"/>
              </w:rPr>
            </w:pPr>
            <w:r>
              <w:rPr>
                <w:rFonts w:hint="eastAsia"/>
                <w:szCs w:val="21"/>
              </w:rPr>
              <w:t>全自动核酸检测分析仪</w:t>
            </w:r>
          </w:p>
        </w:tc>
        <w:tc>
          <w:tcPr>
            <w:tcW w:w="1559" w:type="dxa"/>
            <w:gridSpan w:val="3"/>
            <w:shd w:val="clear" w:color="auto" w:fill="auto"/>
            <w:vAlign w:val="center"/>
          </w:tcPr>
          <w:p w14:paraId="05662A40">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国产</w:t>
            </w:r>
          </w:p>
        </w:tc>
        <w:tc>
          <w:tcPr>
            <w:tcW w:w="1134" w:type="dxa"/>
            <w:gridSpan w:val="2"/>
            <w:shd w:val="clear" w:color="auto" w:fill="auto"/>
            <w:vAlign w:val="center"/>
          </w:tcPr>
          <w:p w14:paraId="32F79EE6">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4</w:t>
            </w:r>
          </w:p>
        </w:tc>
        <w:tc>
          <w:tcPr>
            <w:tcW w:w="915" w:type="dxa"/>
            <w:gridSpan w:val="2"/>
            <w:shd w:val="clear" w:color="auto" w:fill="auto"/>
            <w:vAlign w:val="center"/>
          </w:tcPr>
          <w:p w14:paraId="573A4A18">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台</w:t>
            </w:r>
          </w:p>
        </w:tc>
        <w:tc>
          <w:tcPr>
            <w:tcW w:w="1984" w:type="dxa"/>
            <w:gridSpan w:val="2"/>
            <w:shd w:val="clear" w:color="auto" w:fill="auto"/>
          </w:tcPr>
          <w:p w14:paraId="74BA6B4F">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0.15</w:t>
            </w:r>
          </w:p>
        </w:tc>
        <w:tc>
          <w:tcPr>
            <w:tcW w:w="2055" w:type="dxa"/>
            <w:gridSpan w:val="2"/>
            <w:shd w:val="clear" w:color="auto" w:fill="auto"/>
            <w:vAlign w:val="center"/>
          </w:tcPr>
          <w:p w14:paraId="5F65FBB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0.6</w:t>
            </w:r>
          </w:p>
        </w:tc>
      </w:tr>
      <w:tr w14:paraId="4D18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3" w:type="dxa"/>
            <w:gridSpan w:val="2"/>
            <w:shd w:val="clear" w:color="auto" w:fill="auto"/>
            <w:vAlign w:val="center"/>
          </w:tcPr>
          <w:p w14:paraId="2E1AC89B">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项目背景</w:t>
            </w:r>
          </w:p>
        </w:tc>
        <w:tc>
          <w:tcPr>
            <w:tcW w:w="9064" w:type="dxa"/>
            <w:gridSpan w:val="13"/>
            <w:shd w:val="clear" w:color="auto" w:fill="auto"/>
          </w:tcPr>
          <w:p w14:paraId="3F13214B">
            <w:pPr>
              <w:rPr>
                <w:rFonts w:ascii="宋体" w:hAnsi="宋体" w:cs="宋体"/>
                <w:szCs w:val="21"/>
              </w:rPr>
            </w:pPr>
            <w:r>
              <w:rPr>
                <w:rFonts w:hint="eastAsia" w:ascii="宋体" w:hAnsi="宋体" w:cs="宋体"/>
                <w:szCs w:val="21"/>
              </w:rPr>
              <w:t>目前本科室关于甲乙流新冠等呼吸道病原体主要是抗原检测为主。但抗原检测存在灵敏度低、阳性检出率低、漏检率高的弊端。而常规的核酸检测，TAT时间过长，无法满足临床快速的上呼吸道感染或发热的诊疗需求。</w:t>
            </w:r>
          </w:p>
          <w:p w14:paraId="59202EA8">
            <w:pPr>
              <w:ind w:firstLine="420" w:firstLineChars="200"/>
              <w:rPr>
                <w:rFonts w:ascii="宋体" w:hAnsi="宋体" w:cs="宋体"/>
                <w:szCs w:val="21"/>
              </w:rPr>
            </w:pPr>
            <w:r>
              <w:rPr>
                <w:rFonts w:hint="eastAsia" w:ascii="宋体" w:hAnsi="宋体" w:cs="宋体"/>
                <w:szCs w:val="21"/>
              </w:rPr>
              <w:t>基于全自动核酸检测分析仪呼吸道病原体检测试剂盒，兼具抗原和普通核酸检测方法的优点，样本随到随检，检测时间快，灵敏度高，结果准确、人工操作简单。</w:t>
            </w:r>
          </w:p>
          <w:p w14:paraId="43FEA2DA">
            <w:pPr>
              <w:numPr>
                <w:ilvl w:val="0"/>
                <w:numId w:val="1"/>
              </w:numPr>
              <w:rPr>
                <w:rFonts w:asciiTheme="majorEastAsia" w:hAnsiTheme="majorEastAsia" w:eastAsiaTheme="majorEastAsia"/>
                <w:sz w:val="24"/>
                <w:szCs w:val="21"/>
              </w:rPr>
            </w:pPr>
            <w:r>
              <w:rPr>
                <w:rFonts w:hint="eastAsia" w:ascii="宋体" w:hAnsi="宋体" w:cs="宋体"/>
                <w:szCs w:val="21"/>
              </w:rPr>
              <w:t>为提高我院呼吸道病毒的诊断能力，解决医院核酸检测T</w:t>
            </w:r>
            <w:r>
              <w:rPr>
                <w:rFonts w:ascii="宋体" w:hAnsi="宋体" w:cs="宋体"/>
                <w:szCs w:val="21"/>
              </w:rPr>
              <w:t>AT</w:t>
            </w:r>
            <w:r>
              <w:rPr>
                <w:rFonts w:hint="eastAsia" w:ascii="宋体" w:hAnsi="宋体" w:cs="宋体"/>
                <w:szCs w:val="21"/>
              </w:rPr>
              <w:t>过长，呼吸道感染季检测人手不够的问题，更好的满足临床流感流行季的快速准确的诊疗需求，特此申请采购全自动核酸检测分析仪。</w:t>
            </w:r>
          </w:p>
        </w:tc>
      </w:tr>
      <w:tr w14:paraId="1ED8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17" w:type="dxa"/>
            <w:gridSpan w:val="15"/>
            <w:shd w:val="clear" w:color="auto" w:fill="auto"/>
          </w:tcPr>
          <w:p w14:paraId="17397FE9">
            <w:pPr>
              <w:rPr>
                <w:rFonts w:cs="宋体" w:asciiTheme="majorEastAsia" w:hAnsiTheme="majorEastAsia" w:eastAsiaTheme="majorEastAsia"/>
                <w:b/>
                <w:bCs/>
                <w:sz w:val="24"/>
              </w:rPr>
            </w:pPr>
            <w:r>
              <w:rPr>
                <w:rFonts w:hint="eastAsia" w:cs="宋体" w:asciiTheme="majorEastAsia" w:hAnsiTheme="majorEastAsia" w:eastAsiaTheme="majorEastAsia"/>
                <w:b/>
                <w:sz w:val="24"/>
              </w:rPr>
              <w:t>★</w:t>
            </w:r>
            <w:r>
              <w:rPr>
                <w:rFonts w:hint="eastAsia" w:cs="宋体" w:asciiTheme="majorEastAsia" w:hAnsiTheme="majorEastAsia" w:eastAsiaTheme="majorEastAsia"/>
                <w:b/>
                <w:bCs/>
                <w:sz w:val="24"/>
              </w:rPr>
              <w:t>设备配置总清单（包括主机和各种配件或附件、试剂耗材及软件等，写明规格和数量）</w:t>
            </w:r>
          </w:p>
        </w:tc>
      </w:tr>
      <w:tr w14:paraId="70BB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shd w:val="clear" w:color="auto" w:fill="auto"/>
            <w:vAlign w:val="center"/>
          </w:tcPr>
          <w:p w14:paraId="29848D34">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序号</w:t>
            </w:r>
          </w:p>
        </w:tc>
        <w:tc>
          <w:tcPr>
            <w:tcW w:w="1982" w:type="dxa"/>
            <w:gridSpan w:val="2"/>
            <w:shd w:val="clear" w:color="auto" w:fill="auto"/>
            <w:vAlign w:val="center"/>
          </w:tcPr>
          <w:p w14:paraId="0E90FE6A">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货物名称</w:t>
            </w:r>
          </w:p>
        </w:tc>
        <w:tc>
          <w:tcPr>
            <w:tcW w:w="1185" w:type="dxa"/>
            <w:gridSpan w:val="2"/>
            <w:shd w:val="clear" w:color="auto" w:fill="auto"/>
            <w:vAlign w:val="center"/>
          </w:tcPr>
          <w:p w14:paraId="7DE1B1FF">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进口/国产</w:t>
            </w:r>
          </w:p>
        </w:tc>
        <w:tc>
          <w:tcPr>
            <w:tcW w:w="840" w:type="dxa"/>
            <w:shd w:val="clear" w:color="auto" w:fill="auto"/>
            <w:vAlign w:val="center"/>
          </w:tcPr>
          <w:p w14:paraId="12061253">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数量</w:t>
            </w:r>
          </w:p>
        </w:tc>
        <w:tc>
          <w:tcPr>
            <w:tcW w:w="822" w:type="dxa"/>
            <w:gridSpan w:val="2"/>
            <w:shd w:val="clear" w:color="auto" w:fill="auto"/>
            <w:vAlign w:val="center"/>
          </w:tcPr>
          <w:p w14:paraId="37778296">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单位</w:t>
            </w:r>
          </w:p>
        </w:tc>
        <w:tc>
          <w:tcPr>
            <w:tcW w:w="993" w:type="dxa"/>
            <w:gridSpan w:val="2"/>
            <w:shd w:val="clear" w:color="auto" w:fill="auto"/>
            <w:vAlign w:val="center"/>
          </w:tcPr>
          <w:p w14:paraId="59FBC571">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预算单价(万元)</w:t>
            </w:r>
          </w:p>
        </w:tc>
        <w:tc>
          <w:tcPr>
            <w:tcW w:w="992" w:type="dxa"/>
            <w:gridSpan w:val="2"/>
            <w:shd w:val="clear" w:color="auto" w:fill="auto"/>
            <w:vAlign w:val="center"/>
          </w:tcPr>
          <w:p w14:paraId="5BC2550A">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预算总价(万元)</w:t>
            </w:r>
          </w:p>
        </w:tc>
        <w:tc>
          <w:tcPr>
            <w:tcW w:w="1417" w:type="dxa"/>
            <w:shd w:val="clear" w:color="auto" w:fill="auto"/>
            <w:vAlign w:val="center"/>
          </w:tcPr>
          <w:p w14:paraId="77E0230C">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是否需要注册证/备案证</w:t>
            </w:r>
          </w:p>
        </w:tc>
        <w:tc>
          <w:tcPr>
            <w:tcW w:w="993" w:type="dxa"/>
            <w:shd w:val="clear" w:color="auto" w:fill="auto"/>
            <w:vAlign w:val="center"/>
          </w:tcPr>
          <w:p w14:paraId="734200D1">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是否属于消耗品</w:t>
            </w:r>
          </w:p>
        </w:tc>
        <w:tc>
          <w:tcPr>
            <w:tcW w:w="1062" w:type="dxa"/>
            <w:shd w:val="clear" w:color="auto" w:fill="auto"/>
            <w:vAlign w:val="center"/>
          </w:tcPr>
          <w:p w14:paraId="0D99C85F">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是否需要单独报价</w:t>
            </w:r>
          </w:p>
        </w:tc>
      </w:tr>
      <w:tr w14:paraId="08A2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shd w:val="clear" w:color="auto" w:fill="auto"/>
            <w:vAlign w:val="center"/>
          </w:tcPr>
          <w:p w14:paraId="220172AE">
            <w:pPr>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1</w:t>
            </w:r>
          </w:p>
        </w:tc>
        <w:tc>
          <w:tcPr>
            <w:tcW w:w="1982" w:type="dxa"/>
            <w:gridSpan w:val="2"/>
            <w:shd w:val="clear" w:color="auto" w:fill="auto"/>
            <w:vAlign w:val="center"/>
          </w:tcPr>
          <w:p w14:paraId="7B0602B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全自动核酸检测分析仪</w:t>
            </w:r>
          </w:p>
        </w:tc>
        <w:tc>
          <w:tcPr>
            <w:tcW w:w="1185" w:type="dxa"/>
            <w:gridSpan w:val="2"/>
            <w:shd w:val="clear" w:color="auto" w:fill="auto"/>
            <w:vAlign w:val="center"/>
          </w:tcPr>
          <w:p w14:paraId="311FAFE9">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国产</w:t>
            </w:r>
          </w:p>
        </w:tc>
        <w:tc>
          <w:tcPr>
            <w:tcW w:w="840" w:type="dxa"/>
            <w:shd w:val="clear" w:color="auto" w:fill="auto"/>
            <w:vAlign w:val="center"/>
          </w:tcPr>
          <w:p w14:paraId="1E1C1F7C">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4</w:t>
            </w:r>
          </w:p>
        </w:tc>
        <w:tc>
          <w:tcPr>
            <w:tcW w:w="822" w:type="dxa"/>
            <w:gridSpan w:val="2"/>
            <w:shd w:val="clear" w:color="auto" w:fill="auto"/>
            <w:vAlign w:val="center"/>
          </w:tcPr>
          <w:p w14:paraId="10F6EDBD">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台</w:t>
            </w:r>
          </w:p>
        </w:tc>
        <w:tc>
          <w:tcPr>
            <w:tcW w:w="993" w:type="dxa"/>
            <w:gridSpan w:val="2"/>
            <w:shd w:val="clear" w:color="auto" w:fill="auto"/>
            <w:vAlign w:val="center"/>
          </w:tcPr>
          <w:p w14:paraId="1B5B0BA4">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0.15</w:t>
            </w:r>
          </w:p>
        </w:tc>
        <w:tc>
          <w:tcPr>
            <w:tcW w:w="992" w:type="dxa"/>
            <w:gridSpan w:val="2"/>
            <w:shd w:val="clear" w:color="auto" w:fill="auto"/>
            <w:vAlign w:val="center"/>
          </w:tcPr>
          <w:p w14:paraId="4087B9B5">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0.6</w:t>
            </w:r>
          </w:p>
        </w:tc>
        <w:tc>
          <w:tcPr>
            <w:tcW w:w="1417" w:type="dxa"/>
            <w:shd w:val="clear" w:color="auto" w:fill="auto"/>
            <w:vAlign w:val="center"/>
          </w:tcPr>
          <w:p w14:paraId="163392C1">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是</w:t>
            </w:r>
          </w:p>
        </w:tc>
        <w:tc>
          <w:tcPr>
            <w:tcW w:w="993" w:type="dxa"/>
            <w:shd w:val="clear" w:color="auto" w:fill="auto"/>
            <w:vAlign w:val="center"/>
          </w:tcPr>
          <w:p w14:paraId="6FCA9030">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否</w:t>
            </w:r>
          </w:p>
        </w:tc>
        <w:tc>
          <w:tcPr>
            <w:tcW w:w="1062" w:type="dxa"/>
            <w:shd w:val="clear" w:color="auto" w:fill="auto"/>
            <w:vAlign w:val="center"/>
          </w:tcPr>
          <w:p w14:paraId="35A7DF58">
            <w:pPr>
              <w:jc w:val="center"/>
              <w:rPr>
                <w:rFonts w:asciiTheme="majorEastAsia" w:hAnsiTheme="majorEastAsia" w:eastAsiaTheme="majorEastAsia"/>
                <w:bCs/>
                <w:sz w:val="24"/>
                <w:szCs w:val="21"/>
              </w:rPr>
            </w:pPr>
            <w:r>
              <w:rPr>
                <w:rFonts w:hint="eastAsia" w:asciiTheme="majorEastAsia" w:hAnsiTheme="majorEastAsia" w:eastAsiaTheme="majorEastAsia"/>
                <w:bCs/>
                <w:sz w:val="24"/>
                <w:szCs w:val="21"/>
              </w:rPr>
              <w:t>是</w:t>
            </w:r>
          </w:p>
        </w:tc>
      </w:tr>
    </w:tbl>
    <w:p w14:paraId="163AC7D6">
      <w:pPr>
        <w:ind w:firstLine="480" w:firstLineChars="150"/>
        <w:rPr>
          <w:rFonts w:cs="方正小标宋简体" w:asciiTheme="majorEastAsia" w:hAnsiTheme="majorEastAsia" w:eastAsiaTheme="majorEastAsia"/>
          <w:sz w:val="32"/>
          <w:szCs w:val="32"/>
        </w:rPr>
      </w:pPr>
      <w:r>
        <w:rPr>
          <w:rFonts w:hint="eastAsia" w:cs="方正小标宋简体" w:asciiTheme="majorEastAsia" w:hAnsiTheme="majorEastAsia" w:eastAsiaTheme="majorEastAsia"/>
          <w:sz w:val="32"/>
          <w:szCs w:val="32"/>
        </w:rPr>
        <w:t>二、特殊资格要求说明</w:t>
      </w:r>
    </w:p>
    <w:p w14:paraId="58252387">
      <w:pPr>
        <w:pStyle w:val="16"/>
        <w:ind w:left="400" w:firstLine="0" w:firstLineChars="0"/>
        <w:rPr>
          <w:rFonts w:asciiTheme="majorEastAsia" w:hAnsiTheme="majorEastAsia" w:eastAsiaTheme="majorEastAsia"/>
          <w:bCs/>
          <w:color w:val="FF0000"/>
          <w:szCs w:val="21"/>
        </w:rPr>
      </w:pPr>
      <w:r>
        <w:rPr>
          <w:rFonts w:hint="eastAsia" w:cs="宋体" w:asciiTheme="majorEastAsia" w:hAnsiTheme="majorEastAsia" w:eastAsiaTheme="majorEastAsia"/>
          <w:sz w:val="24"/>
        </w:rPr>
        <w:t>本项目属于医疗器械目录管理,需提供：</w:t>
      </w:r>
    </w:p>
    <w:p w14:paraId="2A7ABC7B">
      <w:pPr>
        <w:pStyle w:val="16"/>
        <w:adjustRightInd w:val="0"/>
        <w:snapToGrid w:val="0"/>
        <w:ind w:firstLine="480"/>
        <w:rPr>
          <w:rFonts w:cs="宋体" w:asciiTheme="majorEastAsia" w:hAnsiTheme="majorEastAsia" w:eastAsiaTheme="majorEastAsia"/>
          <w:sz w:val="24"/>
        </w:rPr>
      </w:pPr>
      <w:r>
        <w:rPr>
          <w:rFonts w:hint="eastAsia" w:cs="宋体" w:asciiTheme="majorEastAsia" w:hAnsiTheme="majorEastAsia" w:eastAsiaTheme="majorEastAsia"/>
          <w:sz w:val="24"/>
        </w:rPr>
        <w:t>若投标供应商为所投产品的生产企业，必须提供《医疗器械生产企业许可（备案）证》且生产范围包含该产品，不在住所或者生产地址所在地销售的厂家还需提供医疗器械经营许可证/（第一类/二类）医疗器械经营备案凭证、若投标供应商为所投产品的代理商或授权供应商，必须提供《医疗器械经营企业许可(备案)证》 且经营范围包含该产品。</w:t>
      </w:r>
    </w:p>
    <w:p w14:paraId="692022E4">
      <w:pPr>
        <w:numPr>
          <w:ilvl w:val="0"/>
          <w:numId w:val="2"/>
        </w:numPr>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技术与商务需求</w:t>
      </w:r>
    </w:p>
    <w:p w14:paraId="2EAA1E94">
      <w:pPr>
        <w:ind w:firstLine="241" w:firstLineChars="100"/>
        <w:rPr>
          <w:rFonts w:cs="方正小标宋简体" w:asciiTheme="majorEastAsia" w:hAnsiTheme="majorEastAsia" w:eastAsiaTheme="majorEastAsia"/>
          <w:sz w:val="24"/>
          <w:szCs w:val="36"/>
        </w:rPr>
      </w:pPr>
      <w:r>
        <w:rPr>
          <w:rFonts w:hint="eastAsia" w:cs="宋体" w:asciiTheme="majorEastAsia" w:hAnsiTheme="majorEastAsia" w:eastAsiaTheme="majorEastAsia"/>
          <w:b/>
          <w:bCs/>
          <w:sz w:val="24"/>
        </w:rPr>
        <w:t>说明：</w:t>
      </w:r>
      <w:r>
        <w:rPr>
          <w:rFonts w:hint="eastAsia" w:cs="宋体" w:asciiTheme="majorEastAsia" w:hAnsiTheme="majorEastAsia" w:eastAsiaTheme="majorEastAsia"/>
          <w:b/>
          <w:sz w:val="24"/>
        </w:rPr>
        <w:t>1.“★”号条款为实质性条款，必须完全满足，不满足则不予采购。</w:t>
      </w:r>
    </w:p>
    <w:p w14:paraId="6B882019">
      <w:pPr>
        <w:ind w:firstLine="360" w:firstLineChars="100"/>
        <w:rPr>
          <w:rFonts w:cs="宋体" w:asciiTheme="majorEastAsia" w:hAnsiTheme="majorEastAsia" w:eastAsiaTheme="majorEastAsia"/>
          <w:bCs/>
          <w:sz w:val="20"/>
          <w:szCs w:val="20"/>
        </w:rPr>
      </w:pPr>
      <w:r>
        <w:rPr>
          <w:rFonts w:hint="eastAsia" w:cs="方正小标宋简体" w:asciiTheme="majorEastAsia" w:hAnsiTheme="majorEastAsia" w:eastAsiaTheme="majorEastAsia"/>
          <w:sz w:val="36"/>
          <w:szCs w:val="36"/>
        </w:rPr>
        <w:t xml:space="preserve">   </w:t>
      </w:r>
      <w:r>
        <w:rPr>
          <w:rFonts w:hint="eastAsia" w:cs="宋体" w:asciiTheme="majorEastAsia" w:hAnsiTheme="majorEastAsia" w:eastAsiaTheme="majorEastAsia"/>
          <w:b/>
          <w:sz w:val="24"/>
        </w:rPr>
        <w:t xml:space="preserve"> 2.“▲”</w:t>
      </w:r>
      <w:r>
        <w:rPr>
          <w:rFonts w:hint="eastAsia" w:cs="宋体" w:asciiTheme="majorEastAsia" w:hAnsiTheme="majorEastAsia" w:eastAsiaTheme="majorEastAsia"/>
          <w:b/>
          <w:bCs/>
          <w:sz w:val="24"/>
        </w:rPr>
        <w:t>号条款为重要技术参数，需逐一确定是否满足。</w:t>
      </w:r>
    </w:p>
    <w:p w14:paraId="7DBE7494">
      <w:pPr>
        <w:ind w:firstLine="201" w:firstLineChars="100"/>
        <w:rPr>
          <w:rFonts w:cs="方正小标宋简体" w:asciiTheme="majorEastAsia" w:hAnsiTheme="majorEastAsia" w:eastAsiaTheme="majorEastAsia"/>
          <w:b/>
          <w:sz w:val="20"/>
          <w:szCs w:val="20"/>
        </w:rPr>
      </w:pPr>
      <w:r>
        <w:rPr>
          <w:rFonts w:hint="eastAsia" w:cs="方正小标宋简体" w:asciiTheme="majorEastAsia" w:hAnsiTheme="majorEastAsia" w:eastAsiaTheme="majorEastAsia"/>
          <w:b/>
          <w:sz w:val="20"/>
          <w:szCs w:val="20"/>
        </w:rPr>
        <w:t>“★”号条款:所投产品如纳入医疗器械管理，投标供应商必须提供所投产品的《医疗器械注册(备案)证》的扫描件。(如有效期不足6个月的，需提供审批部门的回执。)</w:t>
      </w:r>
    </w:p>
    <w:tbl>
      <w:tblPr>
        <w:tblStyle w:val="9"/>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5"/>
        <w:gridCol w:w="120"/>
        <w:gridCol w:w="7444"/>
        <w:gridCol w:w="817"/>
      </w:tblGrid>
      <w:tr w14:paraId="6177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9" w:type="dxa"/>
            <w:gridSpan w:val="4"/>
            <w:shd w:val="clear" w:color="auto" w:fill="auto"/>
            <w:vAlign w:val="center"/>
          </w:tcPr>
          <w:p w14:paraId="5570EF72">
            <w:pPr>
              <w:adjustRightInd w:val="0"/>
              <w:snapToGrid w:val="0"/>
              <w:rPr>
                <w:rFonts w:asciiTheme="majorEastAsia" w:hAnsiTheme="majorEastAsia" w:eastAsiaTheme="majorEastAsia"/>
                <w:b/>
                <w:color w:val="auto"/>
                <w:sz w:val="28"/>
                <w:szCs w:val="21"/>
              </w:rPr>
            </w:pPr>
            <w:r>
              <w:rPr>
                <w:rFonts w:hint="eastAsia" w:asciiTheme="majorEastAsia" w:hAnsiTheme="majorEastAsia" w:eastAsiaTheme="majorEastAsia"/>
                <w:b/>
                <w:color w:val="auto"/>
                <w:sz w:val="28"/>
                <w:szCs w:val="21"/>
              </w:rPr>
              <w:t>一、技术部分</w:t>
            </w:r>
          </w:p>
        </w:tc>
        <w:tc>
          <w:tcPr>
            <w:tcW w:w="817" w:type="dxa"/>
            <w:vAlign w:val="center"/>
          </w:tcPr>
          <w:p w14:paraId="671CED38">
            <w:pPr>
              <w:adjustRightInd w:val="0"/>
              <w:snapToGrid w:val="0"/>
              <w:jc w:val="center"/>
              <w:rPr>
                <w:rFonts w:asciiTheme="majorEastAsia" w:hAnsiTheme="majorEastAsia" w:eastAsiaTheme="majorEastAsia"/>
                <w:b/>
                <w:color w:val="auto"/>
                <w:sz w:val="24"/>
                <w:szCs w:val="21"/>
              </w:rPr>
            </w:pPr>
          </w:p>
        </w:tc>
      </w:tr>
      <w:tr w14:paraId="69CD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14:paraId="2A2E4F91">
            <w:pPr>
              <w:adjustRightInd w:val="0"/>
              <w:snapToGrid w:val="0"/>
              <w:jc w:val="center"/>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序号</w:t>
            </w:r>
          </w:p>
        </w:tc>
        <w:tc>
          <w:tcPr>
            <w:tcW w:w="935" w:type="dxa"/>
            <w:vAlign w:val="center"/>
          </w:tcPr>
          <w:p w14:paraId="5FB96558">
            <w:pPr>
              <w:adjustRightInd w:val="0"/>
              <w:snapToGrid w:val="0"/>
              <w:jc w:val="center"/>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货物名称</w:t>
            </w:r>
          </w:p>
        </w:tc>
        <w:tc>
          <w:tcPr>
            <w:tcW w:w="7564" w:type="dxa"/>
            <w:gridSpan w:val="2"/>
            <w:shd w:val="clear" w:color="auto" w:fill="auto"/>
            <w:vAlign w:val="center"/>
          </w:tcPr>
          <w:p w14:paraId="1C5A28C7">
            <w:pPr>
              <w:jc w:val="center"/>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技术要求</w:t>
            </w:r>
          </w:p>
        </w:tc>
        <w:tc>
          <w:tcPr>
            <w:tcW w:w="817" w:type="dxa"/>
            <w:vAlign w:val="center"/>
          </w:tcPr>
          <w:p w14:paraId="2E328C1B">
            <w:pPr>
              <w:adjustRightInd w:val="0"/>
              <w:snapToGrid w:val="0"/>
              <w:jc w:val="center"/>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标注</w:t>
            </w:r>
          </w:p>
        </w:tc>
      </w:tr>
      <w:tr w14:paraId="2895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restart"/>
          </w:tcPr>
          <w:p w14:paraId="1F81D23B">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1</w:t>
            </w:r>
          </w:p>
        </w:tc>
        <w:tc>
          <w:tcPr>
            <w:tcW w:w="935" w:type="dxa"/>
            <w:vMerge w:val="restart"/>
          </w:tcPr>
          <w:p w14:paraId="5DEDC66C">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全自动核酸检测分析仪</w:t>
            </w:r>
          </w:p>
        </w:tc>
        <w:tc>
          <w:tcPr>
            <w:tcW w:w="7564" w:type="dxa"/>
            <w:gridSpan w:val="2"/>
            <w:shd w:val="clear" w:color="auto" w:fill="auto"/>
            <w:vAlign w:val="center"/>
          </w:tcPr>
          <w:p w14:paraId="5817ED1B">
            <w:pPr>
              <w:numPr>
                <w:ilvl w:val="0"/>
                <w:numId w:val="3"/>
              </w:numPr>
              <w:rPr>
                <w:rFonts w:asciiTheme="majorEastAsia" w:hAnsiTheme="majorEastAsia" w:eastAsiaTheme="majorEastAsia"/>
                <w:color w:val="auto"/>
                <w:szCs w:val="21"/>
              </w:rPr>
            </w:pPr>
            <w:r>
              <w:rPr>
                <w:rFonts w:hint="eastAsia" w:asciiTheme="majorEastAsia" w:hAnsiTheme="majorEastAsia" w:eastAsiaTheme="majorEastAsia"/>
                <w:color w:val="auto"/>
                <w:szCs w:val="21"/>
              </w:rPr>
              <w:t>方法学：磁珠法核酸提取、实时荧光定量PCR检测方法，反应程序含升降温过程，包含样本信息录入、进样、核酸提取与纯化、扩增检测、数据分析、自动化报告全流程。</w:t>
            </w:r>
          </w:p>
          <w:p w14:paraId="22C09AC1">
            <w:pPr>
              <w:pStyle w:val="16"/>
              <w:ind w:firstLine="0" w:firstLineChars="0"/>
              <w:rPr>
                <w:rFonts w:ascii="宋体" w:hAnsi="宋体" w:cs="宋体"/>
                <w:color w:val="auto"/>
                <w:szCs w:val="21"/>
              </w:rPr>
            </w:pPr>
          </w:p>
        </w:tc>
        <w:tc>
          <w:tcPr>
            <w:tcW w:w="817" w:type="dxa"/>
          </w:tcPr>
          <w:p w14:paraId="34C783C8">
            <w:pPr>
              <w:adjustRightInd w:val="0"/>
              <w:snapToGrid w:val="0"/>
              <w:rPr>
                <w:rFonts w:asciiTheme="majorEastAsia" w:hAnsiTheme="majorEastAsia" w:eastAsiaTheme="majorEastAsia"/>
                <w:b/>
                <w:color w:val="auto"/>
                <w:sz w:val="24"/>
                <w:szCs w:val="21"/>
              </w:rPr>
            </w:pPr>
          </w:p>
        </w:tc>
      </w:tr>
      <w:tr w14:paraId="27F3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5D6717C9">
            <w:pPr>
              <w:adjustRightInd w:val="0"/>
              <w:snapToGrid w:val="0"/>
              <w:rPr>
                <w:rFonts w:asciiTheme="majorEastAsia" w:hAnsiTheme="majorEastAsia" w:eastAsiaTheme="majorEastAsia"/>
                <w:b/>
                <w:color w:val="auto"/>
                <w:sz w:val="24"/>
                <w:szCs w:val="21"/>
              </w:rPr>
            </w:pPr>
          </w:p>
        </w:tc>
        <w:tc>
          <w:tcPr>
            <w:tcW w:w="935" w:type="dxa"/>
            <w:vMerge w:val="continue"/>
          </w:tcPr>
          <w:p w14:paraId="477507C3">
            <w:pPr>
              <w:adjustRightInd w:val="0"/>
              <w:snapToGrid w:val="0"/>
              <w:rPr>
                <w:rFonts w:asciiTheme="majorEastAsia" w:hAnsiTheme="majorEastAsia" w:eastAsiaTheme="majorEastAsia"/>
                <w:b/>
                <w:color w:val="auto"/>
                <w:sz w:val="24"/>
                <w:szCs w:val="21"/>
              </w:rPr>
            </w:pPr>
          </w:p>
        </w:tc>
        <w:tc>
          <w:tcPr>
            <w:tcW w:w="7564" w:type="dxa"/>
            <w:gridSpan w:val="2"/>
            <w:shd w:val="clear" w:color="auto" w:fill="auto"/>
            <w:vAlign w:val="center"/>
          </w:tcPr>
          <w:p w14:paraId="255304CB">
            <w:pPr>
              <w:numPr>
                <w:ilvl w:val="0"/>
                <w:numId w:val="3"/>
              </w:numPr>
              <w:rPr>
                <w:rFonts w:ascii="宋体" w:hAnsi="宋体" w:cs="宋体"/>
                <w:color w:val="auto"/>
                <w:szCs w:val="21"/>
              </w:rPr>
            </w:pPr>
            <w:r>
              <w:rPr>
                <w:rFonts w:hint="eastAsia" w:asciiTheme="majorEastAsia" w:hAnsiTheme="majorEastAsia" w:eastAsiaTheme="majorEastAsia"/>
                <w:color w:val="auto"/>
                <w:szCs w:val="21"/>
              </w:rPr>
              <w:t>平均升降温速率：≥15℃/s (50℃-90℃)。</w:t>
            </w:r>
          </w:p>
        </w:tc>
        <w:tc>
          <w:tcPr>
            <w:tcW w:w="817" w:type="dxa"/>
          </w:tcPr>
          <w:p w14:paraId="1AF82C31">
            <w:pPr>
              <w:adjustRightInd w:val="0"/>
              <w:snapToGrid w:val="0"/>
              <w:rPr>
                <w:rFonts w:asciiTheme="majorEastAsia" w:hAnsiTheme="majorEastAsia" w:eastAsiaTheme="majorEastAsia"/>
                <w:b/>
                <w:color w:val="auto"/>
                <w:sz w:val="24"/>
                <w:szCs w:val="21"/>
              </w:rPr>
            </w:pPr>
          </w:p>
        </w:tc>
      </w:tr>
      <w:tr w14:paraId="77A5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33B75D76">
            <w:pPr>
              <w:adjustRightInd w:val="0"/>
              <w:snapToGrid w:val="0"/>
              <w:rPr>
                <w:rFonts w:asciiTheme="majorEastAsia" w:hAnsiTheme="majorEastAsia" w:eastAsiaTheme="majorEastAsia"/>
                <w:b/>
                <w:color w:val="auto"/>
                <w:sz w:val="24"/>
                <w:szCs w:val="21"/>
              </w:rPr>
            </w:pPr>
          </w:p>
        </w:tc>
        <w:tc>
          <w:tcPr>
            <w:tcW w:w="935" w:type="dxa"/>
            <w:vMerge w:val="continue"/>
          </w:tcPr>
          <w:p w14:paraId="7BD70521">
            <w:pPr>
              <w:adjustRightInd w:val="0"/>
              <w:snapToGrid w:val="0"/>
              <w:rPr>
                <w:rFonts w:asciiTheme="majorEastAsia" w:hAnsiTheme="majorEastAsia" w:eastAsiaTheme="majorEastAsia"/>
                <w:b/>
                <w:color w:val="auto"/>
                <w:sz w:val="24"/>
                <w:szCs w:val="21"/>
              </w:rPr>
            </w:pPr>
          </w:p>
        </w:tc>
        <w:tc>
          <w:tcPr>
            <w:tcW w:w="7564" w:type="dxa"/>
            <w:gridSpan w:val="2"/>
            <w:shd w:val="clear" w:color="auto" w:fill="auto"/>
            <w:vAlign w:val="center"/>
          </w:tcPr>
          <w:p w14:paraId="621F507B">
            <w:pPr>
              <w:widowControl/>
              <w:numPr>
                <w:ilvl w:val="0"/>
                <w:numId w:val="3"/>
              </w:numPr>
              <w:jc w:val="left"/>
              <w:textAlignment w:val="center"/>
              <w:rPr>
                <w:rFonts w:ascii="宋体" w:hAnsi="宋体" w:cs="宋体"/>
                <w:color w:val="auto"/>
                <w:szCs w:val="21"/>
              </w:rPr>
            </w:pPr>
            <w:r>
              <w:rPr>
                <w:rFonts w:hint="eastAsia" w:asciiTheme="majorEastAsia" w:hAnsiTheme="majorEastAsia" w:eastAsiaTheme="majorEastAsia"/>
                <w:color w:val="auto"/>
                <w:szCs w:val="21"/>
              </w:rPr>
              <w:t>温度准确性：≤±0.5℃</w:t>
            </w:r>
          </w:p>
        </w:tc>
        <w:tc>
          <w:tcPr>
            <w:tcW w:w="817" w:type="dxa"/>
          </w:tcPr>
          <w:p w14:paraId="136D66CC">
            <w:pPr>
              <w:adjustRightInd w:val="0"/>
              <w:snapToGrid w:val="0"/>
              <w:rPr>
                <w:rFonts w:asciiTheme="majorEastAsia" w:hAnsiTheme="majorEastAsia" w:eastAsiaTheme="majorEastAsia"/>
                <w:b/>
                <w:color w:val="auto"/>
                <w:sz w:val="24"/>
                <w:szCs w:val="21"/>
              </w:rPr>
            </w:pPr>
          </w:p>
        </w:tc>
      </w:tr>
      <w:tr w14:paraId="15A4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0306BBA5">
            <w:pPr>
              <w:adjustRightInd w:val="0"/>
              <w:snapToGrid w:val="0"/>
              <w:rPr>
                <w:rFonts w:asciiTheme="majorEastAsia" w:hAnsiTheme="majorEastAsia" w:eastAsiaTheme="majorEastAsia"/>
                <w:b/>
                <w:color w:val="auto"/>
                <w:sz w:val="24"/>
                <w:szCs w:val="21"/>
              </w:rPr>
            </w:pPr>
          </w:p>
        </w:tc>
        <w:tc>
          <w:tcPr>
            <w:tcW w:w="935" w:type="dxa"/>
            <w:vMerge w:val="continue"/>
          </w:tcPr>
          <w:p w14:paraId="4CFB974C">
            <w:pPr>
              <w:adjustRightInd w:val="0"/>
              <w:snapToGrid w:val="0"/>
              <w:rPr>
                <w:rFonts w:asciiTheme="majorEastAsia" w:hAnsiTheme="majorEastAsia" w:eastAsiaTheme="majorEastAsia"/>
                <w:b/>
                <w:color w:val="auto"/>
                <w:sz w:val="24"/>
                <w:szCs w:val="21"/>
              </w:rPr>
            </w:pPr>
          </w:p>
        </w:tc>
        <w:tc>
          <w:tcPr>
            <w:tcW w:w="7564" w:type="dxa"/>
            <w:gridSpan w:val="2"/>
            <w:shd w:val="clear" w:color="auto" w:fill="auto"/>
            <w:vAlign w:val="center"/>
          </w:tcPr>
          <w:p w14:paraId="74C60007">
            <w:pPr>
              <w:numPr>
                <w:ilvl w:val="0"/>
                <w:numId w:val="3"/>
              </w:numPr>
              <w:rPr>
                <w:rFonts w:ascii="宋体" w:hAnsi="宋体" w:cs="宋体"/>
                <w:b/>
                <w:color w:val="auto"/>
                <w:szCs w:val="21"/>
              </w:rPr>
            </w:pPr>
            <w:r>
              <w:rPr>
                <w:rFonts w:hint="eastAsia" w:asciiTheme="majorEastAsia" w:hAnsiTheme="majorEastAsia" w:eastAsiaTheme="majorEastAsia"/>
                <w:color w:val="auto"/>
                <w:szCs w:val="21"/>
              </w:rPr>
              <w:t>荧光强度检测重复性：≤3%变异系数（CV）。</w:t>
            </w:r>
          </w:p>
        </w:tc>
        <w:tc>
          <w:tcPr>
            <w:tcW w:w="817" w:type="dxa"/>
          </w:tcPr>
          <w:p w14:paraId="1E5CF8FC">
            <w:pPr>
              <w:adjustRightInd w:val="0"/>
              <w:snapToGrid w:val="0"/>
              <w:rPr>
                <w:rFonts w:asciiTheme="majorEastAsia" w:hAnsiTheme="majorEastAsia" w:eastAsiaTheme="majorEastAsia"/>
                <w:b/>
                <w:color w:val="auto"/>
                <w:sz w:val="24"/>
                <w:szCs w:val="21"/>
              </w:rPr>
            </w:pPr>
          </w:p>
        </w:tc>
      </w:tr>
      <w:tr w14:paraId="502E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791F7663">
            <w:pPr>
              <w:adjustRightInd w:val="0"/>
              <w:snapToGrid w:val="0"/>
              <w:rPr>
                <w:rFonts w:asciiTheme="majorEastAsia" w:hAnsiTheme="majorEastAsia" w:eastAsiaTheme="majorEastAsia"/>
                <w:b/>
                <w:color w:val="auto"/>
                <w:sz w:val="24"/>
                <w:szCs w:val="21"/>
              </w:rPr>
            </w:pPr>
          </w:p>
        </w:tc>
        <w:tc>
          <w:tcPr>
            <w:tcW w:w="935" w:type="dxa"/>
            <w:vMerge w:val="continue"/>
          </w:tcPr>
          <w:p w14:paraId="6FD8BE60">
            <w:pPr>
              <w:adjustRightInd w:val="0"/>
              <w:snapToGrid w:val="0"/>
              <w:rPr>
                <w:rFonts w:asciiTheme="majorEastAsia" w:hAnsiTheme="majorEastAsia" w:eastAsiaTheme="majorEastAsia"/>
                <w:b/>
                <w:color w:val="auto"/>
                <w:sz w:val="24"/>
                <w:szCs w:val="21"/>
              </w:rPr>
            </w:pPr>
          </w:p>
        </w:tc>
        <w:tc>
          <w:tcPr>
            <w:tcW w:w="7564" w:type="dxa"/>
            <w:gridSpan w:val="2"/>
            <w:shd w:val="clear" w:color="auto" w:fill="auto"/>
            <w:vAlign w:val="center"/>
          </w:tcPr>
          <w:p w14:paraId="58DEEA8C">
            <w:pPr>
              <w:numPr>
                <w:ilvl w:val="0"/>
                <w:numId w:val="3"/>
              </w:numPr>
              <w:rPr>
                <w:rFonts w:ascii="宋体" w:hAnsi="宋体" w:cs="宋体"/>
                <w:b/>
                <w:color w:val="auto"/>
                <w:szCs w:val="21"/>
              </w:rPr>
            </w:pPr>
            <w:r>
              <w:rPr>
                <w:rFonts w:hint="eastAsia" w:asciiTheme="majorEastAsia" w:hAnsiTheme="majorEastAsia" w:eastAsiaTheme="majorEastAsia"/>
                <w:color w:val="auto"/>
                <w:szCs w:val="21"/>
              </w:rPr>
              <w:t>荧光强度检测精密度：≤5%变异系数（CV）。</w:t>
            </w:r>
          </w:p>
        </w:tc>
        <w:tc>
          <w:tcPr>
            <w:tcW w:w="817" w:type="dxa"/>
          </w:tcPr>
          <w:p w14:paraId="606DC021">
            <w:pPr>
              <w:adjustRightInd w:val="0"/>
              <w:snapToGrid w:val="0"/>
              <w:rPr>
                <w:rFonts w:asciiTheme="majorEastAsia" w:hAnsiTheme="majorEastAsia" w:eastAsiaTheme="majorEastAsia"/>
                <w:b/>
                <w:color w:val="auto"/>
                <w:sz w:val="24"/>
                <w:szCs w:val="21"/>
              </w:rPr>
            </w:pPr>
          </w:p>
        </w:tc>
      </w:tr>
      <w:tr w14:paraId="7011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37875C9C">
            <w:pPr>
              <w:adjustRightInd w:val="0"/>
              <w:snapToGrid w:val="0"/>
              <w:rPr>
                <w:rFonts w:asciiTheme="majorEastAsia" w:hAnsiTheme="majorEastAsia" w:eastAsiaTheme="majorEastAsia"/>
                <w:b/>
                <w:color w:val="auto"/>
                <w:sz w:val="24"/>
                <w:szCs w:val="21"/>
              </w:rPr>
            </w:pPr>
          </w:p>
        </w:tc>
        <w:tc>
          <w:tcPr>
            <w:tcW w:w="935" w:type="dxa"/>
            <w:vMerge w:val="continue"/>
          </w:tcPr>
          <w:p w14:paraId="73FCD5CC">
            <w:pPr>
              <w:adjustRightInd w:val="0"/>
              <w:snapToGrid w:val="0"/>
              <w:rPr>
                <w:rFonts w:asciiTheme="majorEastAsia" w:hAnsiTheme="majorEastAsia" w:eastAsiaTheme="majorEastAsia"/>
                <w:b/>
                <w:color w:val="auto"/>
                <w:sz w:val="24"/>
                <w:szCs w:val="21"/>
              </w:rPr>
            </w:pPr>
          </w:p>
        </w:tc>
        <w:tc>
          <w:tcPr>
            <w:tcW w:w="7564" w:type="dxa"/>
            <w:gridSpan w:val="2"/>
            <w:shd w:val="clear" w:color="auto" w:fill="auto"/>
            <w:vAlign w:val="center"/>
          </w:tcPr>
          <w:p w14:paraId="7553B0B3">
            <w:pPr>
              <w:numPr>
                <w:ilvl w:val="0"/>
                <w:numId w:val="3"/>
              </w:numPr>
              <w:rPr>
                <w:rFonts w:ascii="宋体" w:hAnsi="宋体" w:cs="宋体"/>
                <w:b/>
                <w:color w:val="auto"/>
                <w:szCs w:val="21"/>
              </w:rPr>
            </w:pPr>
            <w:r>
              <w:rPr>
                <w:rFonts w:hint="eastAsia" w:asciiTheme="majorEastAsia" w:hAnsiTheme="majorEastAsia" w:eastAsiaTheme="majorEastAsia"/>
                <w:color w:val="auto"/>
                <w:szCs w:val="21"/>
              </w:rPr>
              <w:t>检测通道：≥4个（FAM/SYBR、HEX/VIC、ROX/Texas Red、Cy5）</w:t>
            </w:r>
          </w:p>
        </w:tc>
        <w:tc>
          <w:tcPr>
            <w:tcW w:w="817" w:type="dxa"/>
          </w:tcPr>
          <w:p w14:paraId="4D235DAF">
            <w:pPr>
              <w:adjustRightInd w:val="0"/>
              <w:snapToGrid w:val="0"/>
              <w:rPr>
                <w:rFonts w:asciiTheme="majorEastAsia" w:hAnsiTheme="majorEastAsia" w:eastAsiaTheme="majorEastAsia"/>
                <w:b/>
                <w:color w:val="auto"/>
                <w:sz w:val="24"/>
                <w:szCs w:val="21"/>
              </w:rPr>
            </w:pPr>
          </w:p>
        </w:tc>
      </w:tr>
      <w:tr w14:paraId="2F7E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609C52C7">
            <w:pPr>
              <w:adjustRightInd w:val="0"/>
              <w:snapToGrid w:val="0"/>
              <w:rPr>
                <w:rFonts w:asciiTheme="majorEastAsia" w:hAnsiTheme="majorEastAsia" w:eastAsiaTheme="majorEastAsia"/>
                <w:b/>
                <w:color w:val="auto"/>
                <w:sz w:val="24"/>
                <w:szCs w:val="21"/>
              </w:rPr>
            </w:pPr>
          </w:p>
        </w:tc>
        <w:tc>
          <w:tcPr>
            <w:tcW w:w="935" w:type="dxa"/>
            <w:vMerge w:val="continue"/>
          </w:tcPr>
          <w:p w14:paraId="4458863E">
            <w:pPr>
              <w:adjustRightInd w:val="0"/>
              <w:snapToGrid w:val="0"/>
              <w:rPr>
                <w:rFonts w:asciiTheme="majorEastAsia" w:hAnsiTheme="majorEastAsia" w:eastAsiaTheme="majorEastAsia"/>
                <w:b/>
                <w:color w:val="auto"/>
                <w:sz w:val="24"/>
                <w:szCs w:val="21"/>
              </w:rPr>
            </w:pPr>
          </w:p>
        </w:tc>
        <w:tc>
          <w:tcPr>
            <w:tcW w:w="7564" w:type="dxa"/>
            <w:gridSpan w:val="2"/>
            <w:vAlign w:val="center"/>
          </w:tcPr>
          <w:p w14:paraId="546EEE8B">
            <w:pPr>
              <w:widowControl/>
              <w:numPr>
                <w:ilvl w:val="0"/>
                <w:numId w:val="3"/>
              </w:numPr>
              <w:jc w:val="left"/>
              <w:textAlignment w:val="center"/>
              <w:rPr>
                <w:rFonts w:ascii="宋体" w:hAnsi="宋体" w:cs="宋体"/>
                <w:b/>
                <w:color w:val="auto"/>
                <w:szCs w:val="21"/>
              </w:rPr>
            </w:pPr>
            <w:r>
              <w:rPr>
                <w:rFonts w:hint="eastAsia" w:asciiTheme="majorEastAsia" w:hAnsiTheme="majorEastAsia" w:eastAsiaTheme="majorEastAsia"/>
                <w:color w:val="auto"/>
                <w:szCs w:val="21"/>
              </w:rPr>
              <w:t>检测模块≥4个，单样本检测孔位模块可独立升降温控制，并可单独设定不同核酸检测项目反应程序。各单样本检测孔位模块互不干扰，可实现单样本随到随检且检测时间一致。</w:t>
            </w:r>
          </w:p>
        </w:tc>
        <w:tc>
          <w:tcPr>
            <w:tcW w:w="817" w:type="dxa"/>
          </w:tcPr>
          <w:p w14:paraId="2B9BB3D0">
            <w:pPr>
              <w:adjustRightInd w:val="0"/>
              <w:snapToGrid w:val="0"/>
              <w:rPr>
                <w:rFonts w:asciiTheme="majorEastAsia" w:hAnsiTheme="majorEastAsia" w:eastAsiaTheme="majorEastAsia"/>
                <w:b/>
                <w:color w:val="auto"/>
                <w:sz w:val="24"/>
                <w:szCs w:val="21"/>
              </w:rPr>
            </w:pPr>
          </w:p>
        </w:tc>
      </w:tr>
      <w:tr w14:paraId="5CFE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08E5EDF1">
            <w:pPr>
              <w:adjustRightInd w:val="0"/>
              <w:snapToGrid w:val="0"/>
              <w:rPr>
                <w:rFonts w:asciiTheme="majorEastAsia" w:hAnsiTheme="majorEastAsia" w:eastAsiaTheme="majorEastAsia"/>
                <w:b/>
                <w:color w:val="auto"/>
                <w:sz w:val="24"/>
                <w:szCs w:val="21"/>
              </w:rPr>
            </w:pPr>
          </w:p>
        </w:tc>
        <w:tc>
          <w:tcPr>
            <w:tcW w:w="935" w:type="dxa"/>
            <w:vMerge w:val="continue"/>
          </w:tcPr>
          <w:p w14:paraId="7C6D4B5B">
            <w:pPr>
              <w:adjustRightInd w:val="0"/>
              <w:snapToGrid w:val="0"/>
              <w:rPr>
                <w:rFonts w:asciiTheme="majorEastAsia" w:hAnsiTheme="majorEastAsia" w:eastAsiaTheme="majorEastAsia"/>
                <w:b/>
                <w:color w:val="auto"/>
                <w:sz w:val="24"/>
                <w:szCs w:val="21"/>
              </w:rPr>
            </w:pPr>
          </w:p>
        </w:tc>
        <w:tc>
          <w:tcPr>
            <w:tcW w:w="7564" w:type="dxa"/>
            <w:gridSpan w:val="2"/>
            <w:vAlign w:val="center"/>
          </w:tcPr>
          <w:p w14:paraId="4C7B596C">
            <w:pPr>
              <w:numPr>
                <w:ilvl w:val="0"/>
                <w:numId w:val="3"/>
              </w:numPr>
              <w:rPr>
                <w:rFonts w:ascii="宋体" w:hAnsi="宋体" w:cs="宋体" w:eastAsiaTheme="majorEastAsia"/>
                <w:b/>
                <w:color w:val="auto"/>
                <w:szCs w:val="21"/>
              </w:rPr>
            </w:pPr>
            <w:r>
              <w:rPr>
                <w:rFonts w:hint="eastAsia" w:asciiTheme="majorEastAsia" w:hAnsiTheme="majorEastAsia" w:eastAsiaTheme="majorEastAsia"/>
                <w:color w:val="auto"/>
                <w:szCs w:val="21"/>
              </w:rPr>
              <w:t>加样方式：可实现采样拭子可直接折断到试剂卡盒的样本腔内，实现现场采检一体检测，同时兼容一次性加样吸管加样，无需移液枪加样，简略操作流程，提升检测人员的工作效率。</w:t>
            </w:r>
          </w:p>
        </w:tc>
        <w:tc>
          <w:tcPr>
            <w:tcW w:w="817" w:type="dxa"/>
          </w:tcPr>
          <w:p w14:paraId="1AF903D8">
            <w:pPr>
              <w:adjustRightInd w:val="0"/>
              <w:snapToGrid w:val="0"/>
              <w:rPr>
                <w:rFonts w:asciiTheme="majorEastAsia" w:hAnsiTheme="majorEastAsia" w:eastAsiaTheme="majorEastAsia"/>
                <w:b/>
                <w:color w:val="auto"/>
                <w:sz w:val="24"/>
                <w:szCs w:val="21"/>
              </w:rPr>
            </w:pPr>
          </w:p>
        </w:tc>
      </w:tr>
      <w:tr w14:paraId="1433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411BAF04">
            <w:pPr>
              <w:adjustRightInd w:val="0"/>
              <w:snapToGrid w:val="0"/>
              <w:rPr>
                <w:rFonts w:asciiTheme="majorEastAsia" w:hAnsiTheme="majorEastAsia" w:eastAsiaTheme="majorEastAsia"/>
                <w:b/>
                <w:color w:val="auto"/>
                <w:sz w:val="24"/>
                <w:szCs w:val="21"/>
              </w:rPr>
            </w:pPr>
          </w:p>
        </w:tc>
        <w:tc>
          <w:tcPr>
            <w:tcW w:w="935" w:type="dxa"/>
            <w:vMerge w:val="continue"/>
          </w:tcPr>
          <w:p w14:paraId="1693DF70">
            <w:pPr>
              <w:adjustRightInd w:val="0"/>
              <w:snapToGrid w:val="0"/>
              <w:rPr>
                <w:rFonts w:asciiTheme="majorEastAsia" w:hAnsiTheme="majorEastAsia" w:eastAsiaTheme="majorEastAsia"/>
                <w:b/>
                <w:color w:val="auto"/>
                <w:sz w:val="24"/>
                <w:szCs w:val="21"/>
              </w:rPr>
            </w:pPr>
          </w:p>
        </w:tc>
        <w:tc>
          <w:tcPr>
            <w:tcW w:w="7564" w:type="dxa"/>
            <w:gridSpan w:val="2"/>
            <w:vAlign w:val="center"/>
          </w:tcPr>
          <w:p w14:paraId="0E035E4D">
            <w:pPr>
              <w:widowControl/>
              <w:numPr>
                <w:ilvl w:val="0"/>
                <w:numId w:val="3"/>
              </w:numPr>
              <w:jc w:val="left"/>
              <w:textAlignment w:val="center"/>
              <w:rPr>
                <w:rFonts w:ascii="宋体" w:hAnsi="宋体" w:cs="宋体"/>
                <w:b/>
                <w:color w:val="auto"/>
                <w:szCs w:val="21"/>
              </w:rPr>
            </w:pPr>
            <w:r>
              <w:rPr>
                <w:rFonts w:hint="eastAsia" w:asciiTheme="majorEastAsia" w:hAnsiTheme="majorEastAsia" w:eastAsiaTheme="majorEastAsia"/>
                <w:color w:val="auto"/>
                <w:szCs w:val="21"/>
              </w:rPr>
              <w:t>搭配检测试剂，检测时间可实现：≤30min。</w:t>
            </w:r>
          </w:p>
        </w:tc>
        <w:tc>
          <w:tcPr>
            <w:tcW w:w="817" w:type="dxa"/>
          </w:tcPr>
          <w:p w14:paraId="3E49AD16">
            <w:pPr>
              <w:adjustRightInd w:val="0"/>
              <w:snapToGrid w:val="0"/>
              <w:rPr>
                <w:rFonts w:asciiTheme="majorEastAsia" w:hAnsiTheme="majorEastAsia" w:eastAsiaTheme="majorEastAsia"/>
                <w:b/>
                <w:color w:val="auto"/>
                <w:sz w:val="24"/>
                <w:szCs w:val="21"/>
              </w:rPr>
            </w:pPr>
          </w:p>
        </w:tc>
      </w:tr>
      <w:tr w14:paraId="4234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2EFCD80D">
            <w:pPr>
              <w:adjustRightInd w:val="0"/>
              <w:snapToGrid w:val="0"/>
              <w:rPr>
                <w:rFonts w:asciiTheme="majorEastAsia" w:hAnsiTheme="majorEastAsia" w:eastAsiaTheme="majorEastAsia"/>
                <w:b/>
                <w:color w:val="auto"/>
                <w:sz w:val="24"/>
                <w:szCs w:val="21"/>
              </w:rPr>
            </w:pPr>
          </w:p>
        </w:tc>
        <w:tc>
          <w:tcPr>
            <w:tcW w:w="935" w:type="dxa"/>
            <w:vMerge w:val="continue"/>
          </w:tcPr>
          <w:p w14:paraId="41040257">
            <w:pPr>
              <w:adjustRightInd w:val="0"/>
              <w:snapToGrid w:val="0"/>
              <w:rPr>
                <w:rFonts w:asciiTheme="majorEastAsia" w:hAnsiTheme="majorEastAsia" w:eastAsiaTheme="majorEastAsia"/>
                <w:b/>
                <w:color w:val="auto"/>
                <w:sz w:val="24"/>
                <w:szCs w:val="21"/>
              </w:rPr>
            </w:pPr>
          </w:p>
        </w:tc>
        <w:tc>
          <w:tcPr>
            <w:tcW w:w="7564" w:type="dxa"/>
            <w:gridSpan w:val="2"/>
            <w:vAlign w:val="center"/>
          </w:tcPr>
          <w:p w14:paraId="4FCE02CF">
            <w:pPr>
              <w:numPr>
                <w:ilvl w:val="0"/>
                <w:numId w:val="3"/>
              </w:numPr>
              <w:rPr>
                <w:rFonts w:ascii="宋体" w:hAnsi="宋体" w:cs="宋体"/>
                <w:color w:val="auto"/>
              </w:rPr>
            </w:pPr>
            <w:r>
              <w:rPr>
                <w:rFonts w:hint="eastAsia" w:asciiTheme="majorEastAsia" w:hAnsiTheme="majorEastAsia" w:eastAsiaTheme="majorEastAsia"/>
                <w:color w:val="auto"/>
                <w:szCs w:val="21"/>
              </w:rPr>
              <w:t>检测限：≤500拷贝/毫升。</w:t>
            </w:r>
          </w:p>
        </w:tc>
        <w:tc>
          <w:tcPr>
            <w:tcW w:w="817" w:type="dxa"/>
          </w:tcPr>
          <w:p w14:paraId="35191F35">
            <w:pPr>
              <w:adjustRightInd w:val="0"/>
              <w:snapToGrid w:val="0"/>
              <w:rPr>
                <w:rFonts w:asciiTheme="majorEastAsia" w:hAnsiTheme="majorEastAsia" w:eastAsiaTheme="majorEastAsia"/>
                <w:b/>
                <w:color w:val="auto"/>
                <w:sz w:val="24"/>
                <w:szCs w:val="21"/>
              </w:rPr>
            </w:pPr>
          </w:p>
        </w:tc>
      </w:tr>
      <w:tr w14:paraId="13EE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708ACA9C">
            <w:pPr>
              <w:adjustRightInd w:val="0"/>
              <w:snapToGrid w:val="0"/>
              <w:rPr>
                <w:rFonts w:asciiTheme="majorEastAsia" w:hAnsiTheme="majorEastAsia" w:eastAsiaTheme="majorEastAsia"/>
                <w:b/>
                <w:color w:val="auto"/>
                <w:sz w:val="24"/>
                <w:szCs w:val="21"/>
              </w:rPr>
            </w:pPr>
          </w:p>
        </w:tc>
        <w:tc>
          <w:tcPr>
            <w:tcW w:w="935" w:type="dxa"/>
            <w:vMerge w:val="continue"/>
          </w:tcPr>
          <w:p w14:paraId="53692CCF">
            <w:pPr>
              <w:adjustRightInd w:val="0"/>
              <w:snapToGrid w:val="0"/>
              <w:rPr>
                <w:rFonts w:asciiTheme="majorEastAsia" w:hAnsiTheme="majorEastAsia" w:eastAsiaTheme="majorEastAsia"/>
                <w:b/>
                <w:color w:val="auto"/>
                <w:sz w:val="24"/>
                <w:szCs w:val="21"/>
              </w:rPr>
            </w:pPr>
          </w:p>
        </w:tc>
        <w:tc>
          <w:tcPr>
            <w:tcW w:w="7564" w:type="dxa"/>
            <w:gridSpan w:val="2"/>
            <w:vAlign w:val="center"/>
          </w:tcPr>
          <w:p w14:paraId="07787245">
            <w:pPr>
              <w:numPr>
                <w:ilvl w:val="0"/>
                <w:numId w:val="3"/>
              </w:numPr>
              <w:rPr>
                <w:rFonts w:asciiTheme="majorEastAsia" w:hAnsiTheme="majorEastAsia" w:eastAsiaTheme="majorEastAsia"/>
                <w:color w:val="auto"/>
                <w:szCs w:val="21"/>
              </w:rPr>
            </w:pPr>
            <w:r>
              <w:rPr>
                <w:rFonts w:hint="eastAsia" w:asciiTheme="majorEastAsia" w:hAnsiTheme="majorEastAsia" w:eastAsiaTheme="majorEastAsia"/>
                <w:color w:val="auto"/>
                <w:szCs w:val="21"/>
              </w:rPr>
              <w:t>操作方式：仪器和操作屏一体化设计并且可选择外接电脑，主机具备扫码功能且可以外接扫描枪，可自动识别试剂的检测项目，自动运行对应项目的反应程序。</w:t>
            </w:r>
          </w:p>
        </w:tc>
        <w:tc>
          <w:tcPr>
            <w:tcW w:w="817" w:type="dxa"/>
          </w:tcPr>
          <w:p w14:paraId="5AB6F2A3">
            <w:pPr>
              <w:adjustRightInd w:val="0"/>
              <w:snapToGrid w:val="0"/>
              <w:rPr>
                <w:rFonts w:asciiTheme="majorEastAsia" w:hAnsiTheme="majorEastAsia" w:eastAsiaTheme="majorEastAsia"/>
                <w:b/>
                <w:color w:val="auto"/>
                <w:sz w:val="24"/>
                <w:szCs w:val="21"/>
              </w:rPr>
            </w:pPr>
          </w:p>
        </w:tc>
      </w:tr>
      <w:tr w14:paraId="13A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67878336">
            <w:pPr>
              <w:adjustRightInd w:val="0"/>
              <w:snapToGrid w:val="0"/>
              <w:rPr>
                <w:rFonts w:asciiTheme="majorEastAsia" w:hAnsiTheme="majorEastAsia" w:eastAsiaTheme="majorEastAsia"/>
                <w:b/>
                <w:color w:val="auto"/>
                <w:sz w:val="24"/>
                <w:szCs w:val="21"/>
              </w:rPr>
            </w:pPr>
          </w:p>
        </w:tc>
        <w:tc>
          <w:tcPr>
            <w:tcW w:w="935" w:type="dxa"/>
            <w:vMerge w:val="continue"/>
          </w:tcPr>
          <w:p w14:paraId="6A43B0AB">
            <w:pPr>
              <w:adjustRightInd w:val="0"/>
              <w:snapToGrid w:val="0"/>
              <w:rPr>
                <w:rFonts w:asciiTheme="majorEastAsia" w:hAnsiTheme="majorEastAsia" w:eastAsiaTheme="majorEastAsia"/>
                <w:b/>
                <w:color w:val="auto"/>
                <w:sz w:val="24"/>
                <w:szCs w:val="21"/>
              </w:rPr>
            </w:pPr>
          </w:p>
        </w:tc>
        <w:tc>
          <w:tcPr>
            <w:tcW w:w="7564" w:type="dxa"/>
            <w:gridSpan w:val="2"/>
            <w:vAlign w:val="center"/>
          </w:tcPr>
          <w:p w14:paraId="4D4FFD0C">
            <w:pPr>
              <w:numPr>
                <w:ilvl w:val="0"/>
                <w:numId w:val="3"/>
              </w:numPr>
              <w:rPr>
                <w:rFonts w:asciiTheme="majorEastAsia" w:hAnsiTheme="majorEastAsia" w:eastAsiaTheme="majorEastAsia"/>
                <w:color w:val="auto"/>
                <w:szCs w:val="21"/>
              </w:rPr>
            </w:pPr>
            <w:r>
              <w:rPr>
                <w:rFonts w:hint="eastAsia" w:asciiTheme="majorEastAsia" w:hAnsiTheme="majorEastAsia" w:eastAsiaTheme="majorEastAsia"/>
                <w:color w:val="auto"/>
                <w:szCs w:val="21"/>
              </w:rPr>
              <w:t>检测通量可拓展性：可根据客户的检测需求，组成矩阵灵活拓展通量，满足不同场景检测需求，拓展后的矩阵系统仅占1个LIS端口。</w:t>
            </w:r>
          </w:p>
        </w:tc>
        <w:tc>
          <w:tcPr>
            <w:tcW w:w="817" w:type="dxa"/>
          </w:tcPr>
          <w:p w14:paraId="3FE105DB">
            <w:pPr>
              <w:adjustRightInd w:val="0"/>
              <w:snapToGrid w:val="0"/>
              <w:rPr>
                <w:rFonts w:asciiTheme="majorEastAsia" w:hAnsiTheme="majorEastAsia" w:eastAsiaTheme="majorEastAsia"/>
                <w:b/>
                <w:color w:val="auto"/>
                <w:sz w:val="24"/>
                <w:szCs w:val="21"/>
              </w:rPr>
            </w:pPr>
          </w:p>
        </w:tc>
      </w:tr>
      <w:tr w14:paraId="6261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3324F4CB">
            <w:pPr>
              <w:adjustRightInd w:val="0"/>
              <w:snapToGrid w:val="0"/>
              <w:rPr>
                <w:rFonts w:asciiTheme="majorEastAsia" w:hAnsiTheme="majorEastAsia" w:eastAsiaTheme="majorEastAsia"/>
                <w:b/>
                <w:color w:val="auto"/>
                <w:sz w:val="24"/>
                <w:szCs w:val="21"/>
              </w:rPr>
            </w:pPr>
          </w:p>
        </w:tc>
        <w:tc>
          <w:tcPr>
            <w:tcW w:w="935" w:type="dxa"/>
            <w:vMerge w:val="continue"/>
          </w:tcPr>
          <w:p w14:paraId="670781ED">
            <w:pPr>
              <w:adjustRightInd w:val="0"/>
              <w:snapToGrid w:val="0"/>
              <w:rPr>
                <w:rFonts w:asciiTheme="majorEastAsia" w:hAnsiTheme="majorEastAsia" w:eastAsiaTheme="majorEastAsia"/>
                <w:b/>
                <w:color w:val="auto"/>
                <w:sz w:val="24"/>
                <w:szCs w:val="21"/>
              </w:rPr>
            </w:pPr>
          </w:p>
        </w:tc>
        <w:tc>
          <w:tcPr>
            <w:tcW w:w="7564" w:type="dxa"/>
            <w:gridSpan w:val="2"/>
            <w:vAlign w:val="center"/>
          </w:tcPr>
          <w:p w14:paraId="5F4E28F5">
            <w:pPr>
              <w:numPr>
                <w:ilvl w:val="0"/>
                <w:numId w:val="3"/>
              </w:numPr>
              <w:rPr>
                <w:rFonts w:asciiTheme="majorEastAsia" w:hAnsiTheme="majorEastAsia" w:eastAsiaTheme="majorEastAsia"/>
                <w:color w:val="auto"/>
                <w:szCs w:val="21"/>
              </w:rPr>
            </w:pPr>
            <w:r>
              <w:rPr>
                <w:rFonts w:hint="eastAsia" w:asciiTheme="majorEastAsia" w:hAnsiTheme="majorEastAsia" w:eastAsiaTheme="majorEastAsia"/>
                <w:color w:val="auto"/>
                <w:szCs w:val="21"/>
              </w:rPr>
              <w:t>检测结果判读：检测结果体现CT值，辅助临床诊断、</w:t>
            </w:r>
          </w:p>
        </w:tc>
        <w:tc>
          <w:tcPr>
            <w:tcW w:w="817" w:type="dxa"/>
          </w:tcPr>
          <w:p w14:paraId="121E1F39">
            <w:pPr>
              <w:adjustRightInd w:val="0"/>
              <w:snapToGrid w:val="0"/>
              <w:rPr>
                <w:rFonts w:asciiTheme="majorEastAsia" w:hAnsiTheme="majorEastAsia" w:eastAsiaTheme="majorEastAsia"/>
                <w:b/>
                <w:color w:val="auto"/>
                <w:sz w:val="24"/>
                <w:szCs w:val="21"/>
              </w:rPr>
            </w:pPr>
          </w:p>
        </w:tc>
      </w:tr>
      <w:tr w14:paraId="2F28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14:paraId="5B9F4A8F">
            <w:pPr>
              <w:adjustRightInd w:val="0"/>
              <w:snapToGrid w:val="0"/>
              <w:rPr>
                <w:rFonts w:asciiTheme="majorEastAsia" w:hAnsiTheme="majorEastAsia" w:eastAsiaTheme="majorEastAsia"/>
                <w:b/>
                <w:color w:val="auto"/>
                <w:sz w:val="24"/>
                <w:szCs w:val="21"/>
              </w:rPr>
            </w:pPr>
          </w:p>
        </w:tc>
        <w:tc>
          <w:tcPr>
            <w:tcW w:w="935" w:type="dxa"/>
            <w:vMerge w:val="continue"/>
          </w:tcPr>
          <w:p w14:paraId="09BF2D26">
            <w:pPr>
              <w:adjustRightInd w:val="0"/>
              <w:snapToGrid w:val="0"/>
              <w:rPr>
                <w:rFonts w:asciiTheme="majorEastAsia" w:hAnsiTheme="majorEastAsia" w:eastAsiaTheme="majorEastAsia"/>
                <w:b/>
                <w:color w:val="auto"/>
                <w:sz w:val="24"/>
                <w:szCs w:val="21"/>
              </w:rPr>
            </w:pPr>
          </w:p>
        </w:tc>
        <w:tc>
          <w:tcPr>
            <w:tcW w:w="7564" w:type="dxa"/>
            <w:gridSpan w:val="2"/>
            <w:vAlign w:val="center"/>
          </w:tcPr>
          <w:p w14:paraId="133D9033">
            <w:pPr>
              <w:numPr>
                <w:ilvl w:val="0"/>
                <w:numId w:val="3"/>
              </w:numPr>
              <w:rPr>
                <w:rFonts w:asciiTheme="majorEastAsia" w:hAnsiTheme="majorEastAsia" w:eastAsiaTheme="majorEastAsia"/>
                <w:color w:val="auto"/>
                <w:szCs w:val="21"/>
              </w:rPr>
            </w:pPr>
            <w:r>
              <w:rPr>
                <w:rFonts w:hint="eastAsia" w:asciiTheme="majorEastAsia" w:hAnsiTheme="majorEastAsia" w:eastAsiaTheme="majorEastAsia"/>
                <w:color w:val="auto"/>
                <w:szCs w:val="21"/>
              </w:rPr>
              <w:t>数据传输及储存：可连医院lis报告系统进行双向数据传输。</w:t>
            </w:r>
          </w:p>
        </w:tc>
        <w:tc>
          <w:tcPr>
            <w:tcW w:w="817" w:type="dxa"/>
          </w:tcPr>
          <w:p w14:paraId="7B16EA7B">
            <w:pPr>
              <w:adjustRightInd w:val="0"/>
              <w:snapToGrid w:val="0"/>
              <w:rPr>
                <w:rFonts w:asciiTheme="majorEastAsia" w:hAnsiTheme="majorEastAsia" w:eastAsiaTheme="majorEastAsia"/>
                <w:b/>
                <w:color w:val="auto"/>
                <w:sz w:val="24"/>
                <w:szCs w:val="21"/>
              </w:rPr>
            </w:pPr>
          </w:p>
        </w:tc>
      </w:tr>
      <w:tr w14:paraId="1693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26" w:type="dxa"/>
            <w:gridSpan w:val="5"/>
          </w:tcPr>
          <w:p w14:paraId="3AEE16D7">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8"/>
                <w:szCs w:val="21"/>
              </w:rPr>
              <w:t>二、</w:t>
            </w:r>
            <w:r>
              <w:rPr>
                <w:rFonts w:hint="eastAsia" w:cs="宋体" w:asciiTheme="majorEastAsia" w:hAnsiTheme="majorEastAsia" w:eastAsiaTheme="majorEastAsia"/>
                <w:color w:val="auto"/>
                <w:sz w:val="24"/>
              </w:rPr>
              <w:t>★</w:t>
            </w:r>
            <w:r>
              <w:rPr>
                <w:rFonts w:hint="eastAsia" w:asciiTheme="majorEastAsia" w:hAnsiTheme="majorEastAsia" w:eastAsiaTheme="majorEastAsia"/>
                <w:b/>
                <w:color w:val="auto"/>
                <w:sz w:val="28"/>
                <w:szCs w:val="21"/>
              </w:rPr>
              <w:t>商务需求</w:t>
            </w:r>
          </w:p>
        </w:tc>
      </w:tr>
      <w:tr w14:paraId="3BDB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5501EBE5">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一、到货时间</w:t>
            </w:r>
            <w:r>
              <w:rPr>
                <w:rFonts w:asciiTheme="majorEastAsia" w:hAnsiTheme="majorEastAsia" w:eastAsiaTheme="majorEastAsia"/>
                <w:b/>
                <w:color w:val="auto"/>
                <w:sz w:val="24"/>
                <w:szCs w:val="21"/>
              </w:rPr>
              <w:t xml:space="preserve"> </w:t>
            </w:r>
          </w:p>
        </w:tc>
        <w:tc>
          <w:tcPr>
            <w:tcW w:w="8261" w:type="dxa"/>
            <w:gridSpan w:val="2"/>
            <w:shd w:val="clear" w:color="auto" w:fill="auto"/>
          </w:tcPr>
          <w:p w14:paraId="5838CB05">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合同签订后并接采购人通知</w:t>
            </w:r>
            <w:r>
              <w:rPr>
                <w:rFonts w:hint="eastAsia" w:asciiTheme="majorEastAsia" w:hAnsiTheme="majorEastAsia" w:eastAsiaTheme="majorEastAsia"/>
                <w:b/>
                <w:color w:val="auto"/>
                <w:sz w:val="24"/>
                <w:szCs w:val="21"/>
                <w:highlight w:val="yellow"/>
                <w:u w:val="single"/>
              </w:rPr>
              <w:t xml:space="preserve"> 30</w:t>
            </w:r>
            <w:r>
              <w:rPr>
                <w:rFonts w:hint="eastAsia" w:asciiTheme="majorEastAsia" w:hAnsiTheme="majorEastAsia" w:eastAsiaTheme="majorEastAsia"/>
                <w:b/>
                <w:color w:val="auto"/>
                <w:sz w:val="24"/>
                <w:szCs w:val="21"/>
                <w:highlight w:val="yellow"/>
              </w:rPr>
              <w:t>日历日内。</w:t>
            </w:r>
          </w:p>
        </w:tc>
      </w:tr>
      <w:tr w14:paraId="5AEB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011259F8">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二、交货地点：</w:t>
            </w:r>
          </w:p>
        </w:tc>
        <w:tc>
          <w:tcPr>
            <w:tcW w:w="8261" w:type="dxa"/>
            <w:gridSpan w:val="2"/>
            <w:shd w:val="clear" w:color="auto" w:fill="auto"/>
          </w:tcPr>
          <w:p w14:paraId="6F524F92">
            <w:pPr>
              <w:adjustRightInd w:val="0"/>
              <w:snapToGrid w:val="0"/>
              <w:rPr>
                <w:rFonts w:asciiTheme="majorEastAsia" w:hAnsiTheme="majorEastAsia" w:eastAsiaTheme="majorEastAsia"/>
                <w:b/>
                <w:color w:val="auto"/>
                <w:sz w:val="24"/>
                <w:szCs w:val="21"/>
              </w:rPr>
            </w:pPr>
            <w:r>
              <w:rPr>
                <w:rFonts w:asciiTheme="majorEastAsia" w:hAnsiTheme="majorEastAsia" w:eastAsiaTheme="majorEastAsia"/>
                <w:b/>
                <w:color w:val="auto"/>
                <w:sz w:val="24"/>
                <w:szCs w:val="21"/>
              </w:rPr>
              <w:t>采购人指定地点</w:t>
            </w:r>
          </w:p>
        </w:tc>
      </w:tr>
      <w:tr w14:paraId="5261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18C009FA">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三、报价要求：</w:t>
            </w:r>
          </w:p>
        </w:tc>
        <w:tc>
          <w:tcPr>
            <w:tcW w:w="8261" w:type="dxa"/>
            <w:gridSpan w:val="2"/>
            <w:shd w:val="clear" w:color="auto" w:fill="auto"/>
          </w:tcPr>
          <w:p w14:paraId="3F5AF9F3">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color w:val="auto"/>
                <w:szCs w:val="21"/>
              </w:rPr>
              <w:t>报价必须是完成该项目的一切费用总和，包括设备费、运输费、装卸费、保险费、技术培训费、设备安装费、调试费、售后服务费、国家规定的各项税费等全部费用</w:t>
            </w:r>
          </w:p>
        </w:tc>
      </w:tr>
      <w:tr w14:paraId="1E2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05E36DDC">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四、付款方式</w:t>
            </w:r>
          </w:p>
        </w:tc>
        <w:tc>
          <w:tcPr>
            <w:tcW w:w="8261" w:type="dxa"/>
            <w:gridSpan w:val="2"/>
            <w:shd w:val="clear" w:color="auto" w:fill="auto"/>
          </w:tcPr>
          <w:p w14:paraId="7304518C">
            <w:pPr>
              <w:adjustRightInd w:val="0"/>
              <w:snapToGrid w:val="0"/>
              <w:ind w:firstLine="420" w:firstLineChars="200"/>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合同总价≥3万付款方式：</w:t>
            </w:r>
          </w:p>
          <w:p w14:paraId="07B96D4F">
            <w:pPr>
              <w:adjustRightInd w:val="0"/>
              <w:snapToGrid w:val="0"/>
              <w:ind w:firstLine="420" w:firstLineChars="200"/>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签订后三个工作日内，中标人将采购合同总价5%的履约保证金汇入采购人指定账户。货到清点、安装调试验收合格正常使用后，出具全额发票，采购人凭中标人提供的完整资料，自发票到达采购人财务之日起10个工作日内，支付100%合同货款到中标人指定账户。</w:t>
            </w:r>
          </w:p>
          <w:p w14:paraId="6FA33681">
            <w:pPr>
              <w:adjustRightInd w:val="0"/>
              <w:snapToGrid w:val="0"/>
              <w:ind w:firstLine="420" w:firstLineChars="200"/>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中标人向采购人支付合同总价5%的履约保证金，用于补偿采购人因中标人不履行/不妥善履行合同约定义务而蒙受的损失，如中标人不履行/不妥善履行合同约定义务的，采购人有权直接从履约保证金中扣除相应违约金/损失赔偿款项。如果在合同签订后至中标人履行完毕合同约定义务事项期间未发生中标人不履行或不妥善履行合同约定义务的情况，在中标人履行完毕合同约定义务事项后，中标人向采购人提供完整资料到达采购人财务之日起10个工作日内，采购人将履约保证金无息返还给中标人。</w:t>
            </w:r>
          </w:p>
          <w:p w14:paraId="636EE5A7">
            <w:pPr>
              <w:adjustRightInd w:val="0"/>
              <w:snapToGrid w:val="0"/>
              <w:ind w:firstLine="420" w:firstLineChars="200"/>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合同总价＜3万付款方式：</w:t>
            </w:r>
          </w:p>
          <w:p w14:paraId="3E489D82">
            <w:pPr>
              <w:adjustRightInd w:val="0"/>
              <w:snapToGrid w:val="0"/>
              <w:ind w:firstLine="420" w:firstLineChars="200"/>
              <w:rPr>
                <w:rFonts w:hint="eastAsia" w:asciiTheme="minorEastAsia" w:hAnsiTheme="minorEastAsia" w:eastAsiaTheme="minorEastAsia"/>
                <w:b w:val="0"/>
                <w:bCs/>
                <w:color w:val="auto"/>
                <w:sz w:val="21"/>
                <w:szCs w:val="21"/>
              </w:rPr>
            </w:pPr>
            <w:r>
              <w:rPr>
                <w:rFonts w:hint="eastAsia" w:asciiTheme="minorEastAsia" w:hAnsiTheme="minorEastAsia" w:eastAsiaTheme="minorEastAsia"/>
                <w:bCs/>
                <w:color w:val="auto"/>
                <w:sz w:val="21"/>
                <w:szCs w:val="21"/>
              </w:rPr>
              <w:t>货到清点、安装调试验收合格正常使用后，出具全额发票，采购人凭中标人提供的完整资料，自发票到达采购人财务之日起10个工作日内，支付100%合同货款到中标人指定账户。</w:t>
            </w:r>
          </w:p>
        </w:tc>
      </w:tr>
      <w:tr w14:paraId="5DC2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466E14C9">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五、交货要求</w:t>
            </w:r>
          </w:p>
        </w:tc>
        <w:tc>
          <w:tcPr>
            <w:tcW w:w="8261" w:type="dxa"/>
            <w:gridSpan w:val="2"/>
            <w:shd w:val="clear" w:color="auto" w:fill="auto"/>
          </w:tcPr>
          <w:p w14:paraId="3586B3A0">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5.1 </w:t>
            </w:r>
            <w:r>
              <w:rPr>
                <w:rFonts w:asciiTheme="minorEastAsia" w:hAnsiTheme="minorEastAsia" w:eastAsiaTheme="minorEastAsia"/>
                <w:bCs/>
                <w:color w:val="auto"/>
                <w:szCs w:val="21"/>
              </w:rPr>
              <w:t>中标</w:t>
            </w:r>
            <w:r>
              <w:rPr>
                <w:rFonts w:hint="eastAsia" w:asciiTheme="minorEastAsia" w:hAnsiTheme="minorEastAsia" w:eastAsiaTheme="minorEastAsia"/>
                <w:bCs/>
                <w:color w:val="auto"/>
                <w:szCs w:val="21"/>
              </w:rPr>
              <w:t>人</w:t>
            </w:r>
            <w:r>
              <w:rPr>
                <w:rFonts w:asciiTheme="minorEastAsia" w:hAnsiTheme="minorEastAsia" w:eastAsiaTheme="minorEastAsia"/>
                <w:bCs/>
                <w:color w:val="auto"/>
                <w:szCs w:val="21"/>
              </w:rPr>
              <w:t>应向采购人提供</w:t>
            </w:r>
            <w:r>
              <w:rPr>
                <w:rFonts w:hint="eastAsia" w:asciiTheme="minorEastAsia" w:hAnsiTheme="minorEastAsia" w:eastAsiaTheme="minorEastAsia"/>
                <w:bCs/>
                <w:color w:val="auto"/>
                <w:szCs w:val="21"/>
              </w:rPr>
              <w:t>配置清单、产品说明书、图纸、操作手册、中文操作使用说明书、</w:t>
            </w:r>
            <w:r>
              <w:rPr>
                <w:rFonts w:asciiTheme="minorEastAsia" w:hAnsiTheme="minorEastAsia" w:eastAsiaTheme="minorEastAsia"/>
                <w:bCs/>
                <w:color w:val="auto"/>
                <w:szCs w:val="21"/>
              </w:rPr>
              <w:t>设备原厂维护手册、维修手册、软件备份、故障代码表、备件清单、零部件、</w:t>
            </w:r>
            <w:r>
              <w:rPr>
                <w:rFonts w:hint="eastAsia" w:asciiTheme="minorEastAsia" w:hAnsiTheme="minorEastAsia" w:eastAsiaTheme="minorEastAsia"/>
                <w:bCs/>
                <w:color w:val="auto"/>
                <w:szCs w:val="21"/>
              </w:rPr>
              <w:t>维护手册（含维修密码及接口数据）等维护维修必需的材料和信息。所有外文资料需提供中文译本。文件应随货物一并交付至采购人指定地点。</w:t>
            </w:r>
          </w:p>
          <w:p w14:paraId="60364C91">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5.2提供的货物必须为全新货物，出厂日期</w:t>
            </w:r>
            <w:r>
              <w:rPr>
                <w:rFonts w:hint="eastAsia" w:ascii="宋体" w:hAnsi="宋体"/>
                <w:color w:val="auto"/>
                <w:szCs w:val="21"/>
              </w:rPr>
              <w:t>原则上</w:t>
            </w:r>
            <w:r>
              <w:rPr>
                <w:rFonts w:hint="eastAsia" w:asciiTheme="minorEastAsia" w:hAnsiTheme="minorEastAsia" w:eastAsiaTheme="minorEastAsia"/>
                <w:bCs/>
                <w:color w:val="auto"/>
                <w:szCs w:val="21"/>
              </w:rPr>
              <w:t>在采购人收到日期前</w:t>
            </w:r>
            <w:r>
              <w:rPr>
                <w:rFonts w:asciiTheme="minorEastAsia" w:hAnsiTheme="minorEastAsia" w:eastAsiaTheme="minorEastAsia"/>
                <w:bCs/>
                <w:color w:val="auto"/>
                <w:szCs w:val="21"/>
              </w:rPr>
              <w:t>12</w:t>
            </w:r>
            <w:r>
              <w:rPr>
                <w:rFonts w:hint="eastAsia" w:asciiTheme="minorEastAsia" w:hAnsiTheme="minorEastAsia" w:eastAsiaTheme="minorEastAsia"/>
                <w:bCs/>
                <w:color w:val="auto"/>
                <w:szCs w:val="21"/>
              </w:rPr>
              <w:t>个月内经检验合格的产品</w:t>
            </w:r>
            <w:r>
              <w:rPr>
                <w:rFonts w:hint="eastAsia" w:ascii="宋体" w:hAnsi="宋体"/>
                <w:color w:val="auto"/>
                <w:szCs w:val="21"/>
              </w:rPr>
              <w:t>，若无法提供12个月内的产品，则采购人有权要求延长相应期限的产品保修期</w:t>
            </w:r>
            <w:r>
              <w:rPr>
                <w:rFonts w:hint="eastAsia" w:asciiTheme="minorEastAsia" w:hAnsiTheme="minorEastAsia" w:eastAsiaTheme="minorEastAsia"/>
                <w:bCs/>
                <w:color w:val="auto"/>
                <w:szCs w:val="21"/>
              </w:rPr>
              <w:t>。产品如需要计量检定的应提供相关计量检定部门出具的合法检定报告。其中，进口设备必须具有报关证明文件、原产地证明和商检合格证明文件等相关证明文件，否则采购人概不接收。如国家规定的强检设备，由中标人负责完成首次计量强制检定，验收前中标人必须附上计量检定合格报告。</w:t>
            </w:r>
          </w:p>
          <w:p w14:paraId="317905E8">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5.3 采购人有权检验或测试货物，以确认货物是否符合合同规格的要求，并且不承担额外的费用。如发现所交货物与投标文件中所承诺的不符或存在质量、技术缺陷等,采购人可以拒绝接收该货物,中标人应在 7 日历日内采取补足、更换或退货等措施,以满足规格的要求，由此发生的一切损失和费用由中标人承担。</w:t>
            </w:r>
          </w:p>
          <w:p w14:paraId="39F23FCE">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5.4中标人负责货物的现场安装和调试,提供货物安装、调试和维修所需的专用工具和辅助材料。中标人应在货物运至指定地点后一周内开始安装调试,并在 30 日历日内安装调试完毕。</w:t>
            </w:r>
          </w:p>
          <w:p w14:paraId="48826525">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5.5货物安装需施工的，中标人应在合同签订前提供设备安装施工图纸，采购人与中标人共同签字确定安装场地施工方案。并承担设备的包装、运输、保险、装卸、安装调试、培训、商检及计量检测、关税、增值税和进口代理等费用。</w:t>
            </w:r>
          </w:p>
        </w:tc>
      </w:tr>
      <w:tr w14:paraId="4DD6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0D9AB9F4">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 xml:space="preserve">六、验收： </w:t>
            </w:r>
          </w:p>
        </w:tc>
        <w:tc>
          <w:tcPr>
            <w:tcW w:w="8261" w:type="dxa"/>
            <w:gridSpan w:val="2"/>
          </w:tcPr>
          <w:p w14:paraId="0E4F620B">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6.1中标人应派有经验的技术人员到现场进行安装、调试，直到设备正常使用。由采购人按合同和招标、投标文件约定的要求和标准及中华人民共和国现行的验收规范和评定标准进行交货验收。</w:t>
            </w:r>
          </w:p>
          <w:p w14:paraId="304B8C4C">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6.2 验收要求：货物必须满足以下条件后方可被采购方接受： </w:t>
            </w:r>
          </w:p>
          <w:p w14:paraId="1C8FD227">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1）货物具备产品合格证。</w:t>
            </w:r>
          </w:p>
          <w:p w14:paraId="0C832383">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2）设备全新,外观无伤痕变形或明显修饰痕迹。</w:t>
            </w:r>
          </w:p>
          <w:p w14:paraId="5F116ED0">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66628A3">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4）技术文件资料、备件等已按规定数量移交完毕。</w:t>
            </w:r>
          </w:p>
          <w:p w14:paraId="01A63573">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5）按照招标书要求及投标文件提供的技术要求验收必须合格。</w:t>
            </w:r>
          </w:p>
          <w:p w14:paraId="55792A76">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6）中标人提供的各种文件载明的内容必须真实，采购人对产品的技术数据置疑时有权要求中标人按照双方认可的第三方检测机构出具的检验方法进行检测及鉴定(检测费用由中标人承担)，检测结果必须证明中标人提供的技术数据是真实的，否则视为不合格</w:t>
            </w:r>
          </w:p>
          <w:p w14:paraId="1C904E10">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7）在货物安装调试合格后，所有技术指标达到技术规范书要求，经验收合格后，双方共同签署验收报告。产品质保期自验收合格之日起算，由中标人提供产品质保文件。</w:t>
            </w:r>
          </w:p>
        </w:tc>
      </w:tr>
      <w:tr w14:paraId="5E4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5F8B5774">
            <w:pPr>
              <w:adjustRightInd w:val="0"/>
              <w:snapToGrid w:val="0"/>
              <w:rPr>
                <w:rFonts w:asciiTheme="majorEastAsia" w:hAnsiTheme="majorEastAsia" w:eastAsiaTheme="majorEastAsia"/>
                <w:b/>
                <w:color w:val="auto"/>
                <w:sz w:val="24"/>
                <w:szCs w:val="21"/>
                <w:highlight w:val="yellow"/>
              </w:rPr>
            </w:pPr>
            <w:r>
              <w:rPr>
                <w:rFonts w:hint="eastAsia" w:asciiTheme="majorEastAsia" w:hAnsiTheme="majorEastAsia" w:eastAsiaTheme="majorEastAsia"/>
                <w:b/>
                <w:color w:val="auto"/>
                <w:sz w:val="24"/>
                <w:szCs w:val="21"/>
              </w:rPr>
              <w:t>七、售后服务要求：</w:t>
            </w:r>
          </w:p>
          <w:p w14:paraId="30EB1DAE">
            <w:pPr>
              <w:adjustRightInd w:val="0"/>
              <w:snapToGrid w:val="0"/>
              <w:rPr>
                <w:rFonts w:asciiTheme="majorEastAsia" w:hAnsiTheme="majorEastAsia" w:eastAsiaTheme="majorEastAsia"/>
                <w:color w:val="auto"/>
                <w:sz w:val="24"/>
                <w:szCs w:val="21"/>
              </w:rPr>
            </w:pPr>
          </w:p>
        </w:tc>
        <w:tc>
          <w:tcPr>
            <w:tcW w:w="8261" w:type="dxa"/>
            <w:gridSpan w:val="2"/>
          </w:tcPr>
          <w:p w14:paraId="460EBE95">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7.1</w:t>
            </w:r>
            <w:r>
              <w:rPr>
                <w:rFonts w:hint="eastAsia" w:ascii="宋体" w:hAnsi="宋体"/>
                <w:bCs/>
                <w:color w:val="auto"/>
                <w:szCs w:val="21"/>
                <w:shd w:val="clear" w:color="auto"/>
              </w:rPr>
              <w:t>各投标人应在投标文件中承诺报价已包含提供</w:t>
            </w:r>
            <w:r>
              <w:rPr>
                <w:rFonts w:hint="eastAsia" w:ascii="宋体" w:hAnsi="宋体"/>
                <w:bCs/>
                <w:color w:val="auto"/>
                <w:szCs w:val="21"/>
                <w:shd w:val="clear" w:color="auto" w:fill="FFFF00"/>
              </w:rPr>
              <w:t>整机原厂</w:t>
            </w:r>
            <w:r>
              <w:rPr>
                <w:rFonts w:hint="eastAsia" w:ascii="宋体" w:hAnsi="宋体"/>
                <w:bCs/>
                <w:color w:val="auto"/>
                <w:szCs w:val="21"/>
                <w:highlight w:val="yellow"/>
                <w:shd w:val="clear" w:color="auto" w:fill="FFFF00"/>
              </w:rPr>
              <w:t>保修期</w:t>
            </w:r>
            <w:r>
              <w:rPr>
                <w:rFonts w:hint="eastAsia" w:asciiTheme="minorEastAsia" w:hAnsiTheme="minorEastAsia" w:eastAsiaTheme="minorEastAsia"/>
                <w:bCs/>
                <w:color w:val="auto"/>
                <w:szCs w:val="21"/>
                <w:highlight w:val="yellow"/>
                <w:u w:val="single"/>
                <w:shd w:val="clear" w:color="auto" w:fill="FFFF00"/>
              </w:rPr>
              <w:t>终身</w:t>
            </w:r>
            <w:r>
              <w:rPr>
                <w:rFonts w:hint="eastAsia" w:asciiTheme="minorEastAsia" w:hAnsiTheme="minorEastAsia" w:eastAsiaTheme="minorEastAsia"/>
                <w:bCs/>
                <w:color w:val="auto"/>
                <w:szCs w:val="21"/>
              </w:rPr>
              <w:t>，终身维修。</w:t>
            </w:r>
            <w:r>
              <w:rPr>
                <w:rFonts w:hint="eastAsia" w:ascii="宋体" w:hAnsi="宋体"/>
                <w:bCs/>
                <w:color w:val="auto"/>
                <w:szCs w:val="21"/>
              </w:rPr>
              <w:t>保修期</w:t>
            </w:r>
            <w:r>
              <w:rPr>
                <w:rFonts w:hint="eastAsia" w:asciiTheme="minorEastAsia" w:hAnsiTheme="minorEastAsia" w:eastAsiaTheme="minorEastAsia"/>
                <w:bCs/>
                <w:color w:val="auto"/>
                <w:szCs w:val="21"/>
              </w:rPr>
              <w:t>内</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年度定期预防性维护保养次数应不少于 2 次并留存维护记录。报价已包含</w:t>
            </w:r>
            <w:r>
              <w:rPr>
                <w:rFonts w:hint="eastAsia" w:ascii="宋体" w:hAnsi="宋体"/>
                <w:bCs/>
                <w:color w:val="auto"/>
                <w:szCs w:val="21"/>
              </w:rPr>
              <w:t>保修期</w:t>
            </w:r>
            <w:r>
              <w:rPr>
                <w:rFonts w:hint="eastAsia" w:asciiTheme="minorEastAsia" w:hAnsiTheme="minorEastAsia" w:eastAsiaTheme="minorEastAsia"/>
                <w:bCs/>
                <w:color w:val="auto"/>
                <w:szCs w:val="21"/>
              </w:rPr>
              <w:t>内更换零配件及工时费。</w:t>
            </w:r>
            <w:bookmarkStart w:id="0" w:name="_GoBack"/>
            <w:bookmarkEnd w:id="0"/>
          </w:p>
          <w:p w14:paraId="2D7327B2">
            <w:pPr>
              <w:adjustRightInd w:val="0"/>
              <w:snapToGrid w:val="0"/>
              <w:ind w:firstLine="360" w:firstLineChars="200"/>
              <w:rPr>
                <w:rFonts w:asciiTheme="minorEastAsia" w:hAnsiTheme="minorEastAsia" w:eastAsiaTheme="minorEastAsia"/>
                <w:bCs/>
                <w:color w:val="auto"/>
                <w:sz w:val="18"/>
                <w:szCs w:val="21"/>
              </w:rPr>
            </w:pPr>
            <w:r>
              <w:rPr>
                <w:rFonts w:hint="eastAsia" w:asciiTheme="minorEastAsia" w:hAnsiTheme="minorEastAsia" w:eastAsiaTheme="minorEastAsia"/>
                <w:bCs/>
                <w:color w:val="auto"/>
                <w:sz w:val="18"/>
                <w:szCs w:val="21"/>
              </w:rPr>
              <w:t>（备注：质保期是指投标人应在该期间内对本项目下交付的所有货物提供质量保证，不包括消耗品的配送。）</w:t>
            </w:r>
          </w:p>
          <w:p w14:paraId="360F80D0">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7.2    4小时内响应，24 小时维修到位（不可抗力情况除外）。消耗品和零配件供应及时，质保期</w:t>
            </w:r>
            <w:r>
              <w:rPr>
                <w:rFonts w:asciiTheme="minorEastAsia" w:hAnsiTheme="minorEastAsia" w:eastAsiaTheme="minorEastAsia"/>
                <w:bCs/>
                <w:color w:val="auto"/>
                <w:szCs w:val="21"/>
              </w:rPr>
              <w:t>内及外设备出现故障不能正常使用，中标</w:t>
            </w:r>
            <w:r>
              <w:rPr>
                <w:rFonts w:hint="eastAsia" w:asciiTheme="minorEastAsia" w:hAnsiTheme="minorEastAsia" w:eastAsiaTheme="minorEastAsia"/>
                <w:bCs/>
                <w:color w:val="auto"/>
                <w:szCs w:val="21"/>
              </w:rPr>
              <w:t>人报价已包含</w:t>
            </w:r>
            <w:r>
              <w:rPr>
                <w:rFonts w:asciiTheme="minorEastAsia" w:hAnsiTheme="minorEastAsia" w:eastAsiaTheme="minorEastAsia"/>
                <w:bCs/>
                <w:color w:val="auto"/>
                <w:szCs w:val="21"/>
              </w:rPr>
              <w:t>提供备用机给采购人使用直至设备修复完好投入使用</w:t>
            </w:r>
            <w:r>
              <w:rPr>
                <w:rFonts w:hint="eastAsia" w:asciiTheme="minorEastAsia" w:hAnsiTheme="minorEastAsia" w:eastAsiaTheme="minorEastAsia"/>
                <w:bCs/>
                <w:color w:val="auto"/>
                <w:szCs w:val="21"/>
              </w:rPr>
              <w:t>的服务</w:t>
            </w:r>
            <w:r>
              <w:rPr>
                <w:rFonts w:asciiTheme="minorEastAsia" w:hAnsiTheme="minorEastAsia" w:eastAsiaTheme="minorEastAsia"/>
                <w:bCs/>
                <w:color w:val="auto"/>
                <w:szCs w:val="21"/>
              </w:rPr>
              <w:t>。</w:t>
            </w:r>
          </w:p>
          <w:p w14:paraId="1A8914FC">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7.3质保期满以后，中标人对设备终身负责维修、安装、升级软件服务，长期以优惠价提供零配件（中标供应商提供主要零配件报价单）。</w:t>
            </w:r>
          </w:p>
          <w:p w14:paraId="709F9829">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7.4报价已包含终身提供软件升级服务,并开放设备接口，派人配合与医院各信息系统的连接工作，直至该设备与医院信息系统可进行完整的数据交换、在设备保修期内，当医院信息系统变更并需要与该设备连接时，需派人配合直至该设备与医院信息系统可进行完整的数据交换，且采购人无需另行支付费用。</w:t>
            </w:r>
          </w:p>
          <w:p w14:paraId="6CA66A75">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7.5质保期内【设备故障率】≤【 5 】%。【设备故障率】未达要求的，每升高【1】%，质保期顺延【30 】天。当【设备故障率】≥【 10 】%时，投标人必须在采购人提出要求之日起【 30 】日内无条件更换新机，并按该设备总价的【5】%向采购人支付违约金，由此造成采购人其他损失的，中标人应另行赔偿。中标人维修的指定邮箱</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采购人维修通知的邮件发出后，视为采购人的维修通知送达中标人。</w:t>
            </w:r>
          </w:p>
          <w:p w14:paraId="05607CFA">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7.6</w:t>
            </w:r>
            <w:r>
              <w:rPr>
                <w:rFonts w:hint="eastAsia"/>
                <w:color w:val="auto"/>
              </w:rPr>
              <w:t>质保期满后，中标人应以优惠价供应维修零配件、消耗品。签订合同时填写合同模板中的《设备配套消耗材料报价单》和《设备主要维修配件报价单》。采购人可与中标人就优惠价进行谈判，但优惠价不得高于签订合同时承诺的维修零配件、消耗品的报价。</w:t>
            </w:r>
            <w:r>
              <w:rPr>
                <w:rFonts w:hint="eastAsia" w:asciiTheme="minorEastAsia" w:hAnsiTheme="minorEastAsia" w:eastAsiaTheme="minorEastAsia"/>
                <w:bCs/>
                <w:color w:val="auto"/>
                <w:szCs w:val="21"/>
              </w:rPr>
              <w:t>质保期</w:t>
            </w:r>
            <w:r>
              <w:rPr>
                <w:rFonts w:asciiTheme="minorEastAsia" w:hAnsiTheme="minorEastAsia" w:eastAsiaTheme="minorEastAsia"/>
                <w:bCs/>
                <w:color w:val="auto"/>
                <w:szCs w:val="21"/>
              </w:rPr>
              <w:t>满后，</w:t>
            </w:r>
            <w:r>
              <w:rPr>
                <w:rFonts w:hint="eastAsia" w:asciiTheme="minorEastAsia" w:hAnsiTheme="minorEastAsia" w:eastAsiaTheme="minorEastAsia"/>
                <w:bCs/>
                <w:color w:val="auto"/>
                <w:szCs w:val="21"/>
              </w:rPr>
              <w:t>中标</w:t>
            </w:r>
            <w:r>
              <w:rPr>
                <w:rFonts w:asciiTheme="minorEastAsia" w:hAnsiTheme="minorEastAsia" w:eastAsiaTheme="minorEastAsia"/>
                <w:bCs/>
                <w:color w:val="auto"/>
                <w:szCs w:val="21"/>
              </w:rPr>
              <w:t>人应以优惠价供应维修零配件、消耗品和延续保修合同。价格最高的前5项零配件、消耗品和延续保修合同的报价明细必须填写于《合同报价清单》中。采购人可与</w:t>
            </w:r>
            <w:r>
              <w:rPr>
                <w:rFonts w:hint="eastAsia" w:asciiTheme="minorEastAsia" w:hAnsiTheme="minorEastAsia" w:eastAsiaTheme="minorEastAsia"/>
                <w:bCs/>
                <w:color w:val="auto"/>
                <w:szCs w:val="21"/>
              </w:rPr>
              <w:t>中标</w:t>
            </w:r>
            <w:r>
              <w:rPr>
                <w:rFonts w:asciiTheme="minorEastAsia" w:hAnsiTheme="minorEastAsia" w:eastAsiaTheme="minorEastAsia"/>
                <w:bCs/>
                <w:color w:val="auto"/>
                <w:szCs w:val="21"/>
              </w:rPr>
              <w:t>人就优惠价进行谈判，但优惠价不得高于</w:t>
            </w:r>
            <w:r>
              <w:rPr>
                <w:rFonts w:hint="eastAsia" w:asciiTheme="minorEastAsia" w:hAnsiTheme="minorEastAsia" w:eastAsiaTheme="minorEastAsia"/>
                <w:bCs/>
                <w:color w:val="auto"/>
                <w:szCs w:val="21"/>
              </w:rPr>
              <w:t>中标</w:t>
            </w:r>
            <w:r>
              <w:rPr>
                <w:rFonts w:asciiTheme="minorEastAsia" w:hAnsiTheme="minorEastAsia" w:eastAsiaTheme="minorEastAsia"/>
                <w:bCs/>
                <w:color w:val="auto"/>
                <w:szCs w:val="21"/>
              </w:rPr>
              <w:t>人在投标文件的《零配件、消耗品和延续保修合同报价清单》中承诺的维修零配件、消耗品和延续保修合同的报价。</w:t>
            </w:r>
          </w:p>
        </w:tc>
      </w:tr>
      <w:tr w14:paraId="7E1C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3EAC91B6">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 xml:space="preserve">八、培训要求 </w:t>
            </w:r>
          </w:p>
        </w:tc>
        <w:tc>
          <w:tcPr>
            <w:tcW w:w="8261" w:type="dxa"/>
            <w:gridSpan w:val="2"/>
          </w:tcPr>
          <w:p w14:paraId="3415EAFD">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需针对临床使用人员及工程人员设计培训方案，主要内容包括但不限于：临床使用及维护保养培训：设备的基本结构、性能、主要部件的构造及修理，日常使用保养与管理，常见故障的排除，紧急情况的处理等,直至能独立操作并附培训方案。</w:t>
            </w:r>
          </w:p>
        </w:tc>
      </w:tr>
      <w:tr w14:paraId="7E31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Pr>
          <w:p w14:paraId="765D5D7C">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九、违约责任</w:t>
            </w:r>
          </w:p>
        </w:tc>
        <w:tc>
          <w:tcPr>
            <w:tcW w:w="8261" w:type="dxa"/>
            <w:gridSpan w:val="2"/>
          </w:tcPr>
          <w:p w14:paraId="4D1A8D65">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9.1中标人所交设备的品种、型号、规格、质量、功能、技术参数等方面不能实质性满足招标文件，</w:t>
            </w:r>
            <w:r>
              <w:rPr>
                <w:rFonts w:asciiTheme="minorEastAsia" w:hAnsiTheme="minorEastAsia" w:eastAsiaTheme="minorEastAsia"/>
                <w:bCs/>
                <w:color w:val="auto"/>
                <w:szCs w:val="21"/>
              </w:rPr>
              <w:t>交付的货物不符合合同规定的</w:t>
            </w:r>
            <w:r>
              <w:rPr>
                <w:rFonts w:hint="eastAsia" w:asciiTheme="minorEastAsia" w:hAnsiTheme="minorEastAsia" w:eastAsiaTheme="minorEastAsia"/>
                <w:bCs/>
                <w:color w:val="auto"/>
                <w:szCs w:val="21"/>
              </w:rPr>
              <w:t>，采购人有权拒绝收货，且中标</w:t>
            </w:r>
            <w:r>
              <w:rPr>
                <w:rFonts w:asciiTheme="minorEastAsia" w:hAnsiTheme="minorEastAsia" w:eastAsiaTheme="minorEastAsia"/>
                <w:bCs/>
                <w:color w:val="auto"/>
                <w:szCs w:val="21"/>
              </w:rPr>
              <w:t>人向采购人支付合同总价的5%</w:t>
            </w:r>
            <w:r>
              <w:rPr>
                <w:rFonts w:hint="eastAsia" w:asciiTheme="minorEastAsia" w:hAnsiTheme="minorEastAsia" w:eastAsiaTheme="minorEastAsia"/>
                <w:bCs/>
                <w:color w:val="auto"/>
                <w:szCs w:val="21"/>
              </w:rPr>
              <w:t>的违约金。</w:t>
            </w:r>
          </w:p>
          <w:p w14:paraId="1848E80F">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9.2中标人逾期交货，或逾期完成安装调试，或货物逾期通过验收的，中标人均应支付逾期违约金，每日按合同总价的5‰计算、逾期超过三十日的，中标人需向采购人另行支付合同总价的10%的违约金，且采购人有权单方解除本合同，中标人于收到采购人发出的解除通知书后三日内无条件退回采购人已支付的全部款项。此条款与9.1条同时执行。</w:t>
            </w:r>
          </w:p>
        </w:tc>
      </w:tr>
      <w:tr w14:paraId="4F9E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65" w:type="dxa"/>
            <w:gridSpan w:val="3"/>
            <w:tcBorders>
              <w:bottom w:val="single" w:color="auto" w:sz="4" w:space="0"/>
            </w:tcBorders>
          </w:tcPr>
          <w:p w14:paraId="138FD26D">
            <w:pPr>
              <w:adjustRightInd w:val="0"/>
              <w:snapToGrid w:val="0"/>
              <w:rPr>
                <w:rFonts w:asciiTheme="majorEastAsia" w:hAnsiTheme="majorEastAsia" w:eastAsiaTheme="majorEastAsia"/>
                <w:b/>
                <w:color w:val="auto"/>
                <w:sz w:val="24"/>
                <w:szCs w:val="21"/>
              </w:rPr>
            </w:pPr>
            <w:r>
              <w:rPr>
                <w:rFonts w:hint="eastAsia" w:asciiTheme="majorEastAsia" w:hAnsiTheme="majorEastAsia" w:eastAsiaTheme="majorEastAsia"/>
                <w:b/>
                <w:color w:val="auto"/>
                <w:sz w:val="24"/>
                <w:szCs w:val="21"/>
              </w:rPr>
              <w:t>十、其他</w:t>
            </w:r>
          </w:p>
        </w:tc>
        <w:tc>
          <w:tcPr>
            <w:tcW w:w="8261" w:type="dxa"/>
            <w:gridSpan w:val="2"/>
            <w:tcBorders>
              <w:bottom w:val="single" w:color="auto" w:sz="4" w:space="0"/>
            </w:tcBorders>
          </w:tcPr>
          <w:p w14:paraId="05BEF28E">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10.1如有设备相关耗材、试剂或易损器械，设备及主要维修配件，请提供并分别列出它们的优惠价格。</w:t>
            </w:r>
          </w:p>
          <w:p w14:paraId="127CB13A">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10.2设备电源插头符合使用科室现有的插座，如不符合提供相应的插头转换接口。</w:t>
            </w:r>
          </w:p>
          <w:p w14:paraId="2D482D1D">
            <w:pPr>
              <w:adjustRightInd w:val="0"/>
              <w:snapToGrid w:val="0"/>
              <w:ind w:firstLine="420" w:firstLineChars="200"/>
              <w:rPr>
                <w:rFonts w:asciiTheme="minorEastAsia" w:hAnsiTheme="minorEastAsia" w:eastAsiaTheme="minorEastAsia"/>
                <w:bCs/>
                <w:color w:val="auto"/>
                <w:szCs w:val="21"/>
              </w:rPr>
            </w:pPr>
            <w:r>
              <w:rPr>
                <w:rFonts w:asciiTheme="minorEastAsia" w:hAnsiTheme="minorEastAsia" w:eastAsiaTheme="minorEastAsia"/>
                <w:bCs/>
                <w:color w:val="auto"/>
                <w:szCs w:val="21"/>
              </w:rPr>
              <w:t>10.</w:t>
            </w:r>
            <w:r>
              <w:rPr>
                <w:rFonts w:hint="eastAsia" w:asciiTheme="minorEastAsia" w:hAnsiTheme="minorEastAsia" w:eastAsiaTheme="minorEastAsia"/>
                <w:bCs/>
                <w:color w:val="auto"/>
                <w:szCs w:val="21"/>
              </w:rPr>
              <w:t>3如涉及工程类需提供相关的电路图、施工图，安装工程所涉及到的全部费用（包含但不限于装修费、旧设备拆装费、总承包管理服务费、安装如涉及外接电源、网络、给排水、排风等必须对现有设施进行改造或增加管线、材料及人工等），均由中标人承担，电源电线插座、长度和用电等需符合采购人的使用要求，所供设备均需妥善安装确保采购人可正常使用。</w:t>
            </w:r>
          </w:p>
          <w:p w14:paraId="1CB5A7A0">
            <w:pPr>
              <w:adjustRightInd w:val="0"/>
              <w:snapToGrid w:val="0"/>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10.4中标人所交付货物、工程或服务不符合其投标承诺的，或在投标阶段为中标而盲目虚假承诺、低价恶性竞争，在履约阶段则通过偷工减料、以次充好而获取利润的，将不予验收，并交主管部门遵照相关规定处理，所有责任由中标人一力承担。</w:t>
            </w:r>
          </w:p>
        </w:tc>
      </w:tr>
    </w:tbl>
    <w:p w14:paraId="7782B9DE">
      <w:pPr>
        <w:ind w:firstLine="150" w:firstLineChars="100"/>
        <w:rPr>
          <w:rFonts w:cs="方正小标宋简体" w:asciiTheme="majorEastAsia" w:hAnsiTheme="majorEastAsia" w:eastAsiaTheme="majorEastAsia"/>
          <w:sz w:val="15"/>
          <w:szCs w:val="15"/>
        </w:rPr>
      </w:pPr>
    </w:p>
    <w:p w14:paraId="0D8B6B7F">
      <w:pPr>
        <w:ind w:left="400"/>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第三部分</w:t>
      </w:r>
      <w:r>
        <w:rPr>
          <w:rFonts w:cs="方正小标宋简体" w:asciiTheme="majorEastAsia" w:hAnsiTheme="majorEastAsia" w:eastAsiaTheme="majorEastAsia"/>
          <w:b/>
          <w:sz w:val="36"/>
          <w:szCs w:val="36"/>
        </w:rPr>
        <w:t xml:space="preserve"> </w:t>
      </w:r>
      <w:r>
        <w:rPr>
          <w:rFonts w:hint="eastAsia" w:cs="方正小标宋简体" w:asciiTheme="majorEastAsia" w:hAnsiTheme="majorEastAsia" w:eastAsiaTheme="majorEastAsia"/>
          <w:b/>
          <w:sz w:val="36"/>
          <w:szCs w:val="36"/>
        </w:rPr>
        <w:t>其他说明</w:t>
      </w:r>
    </w:p>
    <w:p w14:paraId="189D6C28">
      <w:pPr>
        <w:pStyle w:val="3"/>
        <w:spacing w:line="240" w:lineRule="auto"/>
        <w:ind w:left="400"/>
        <w:rPr>
          <w:rFonts w:hint="eastAsia" w:asciiTheme="majorEastAsia" w:hAnsiTheme="majorEastAsia" w:eastAsiaTheme="majorEastAsia"/>
        </w:rPr>
      </w:pPr>
      <w:r>
        <w:rPr>
          <w:rFonts w:hint="eastAsia" w:asciiTheme="majorEastAsia" w:hAnsiTheme="majorEastAsia" w:eastAsiaTheme="majorEastAsia"/>
        </w:rPr>
        <w:t>（如有需特殊说明的情况，请列明，包括但不限于设备有专机专用试剂耗材、安装场地要求、信息系统等特殊需求）</w:t>
      </w:r>
    </w:p>
    <w:tbl>
      <w:tblPr>
        <w:tblStyle w:val="9"/>
        <w:tblW w:w="101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1"/>
        <w:gridCol w:w="846"/>
        <w:gridCol w:w="1151"/>
        <w:gridCol w:w="436"/>
        <w:gridCol w:w="1725"/>
        <w:gridCol w:w="1218"/>
        <w:gridCol w:w="846"/>
        <w:gridCol w:w="1057"/>
        <w:gridCol w:w="1082"/>
        <w:gridCol w:w="1073"/>
      </w:tblGrid>
      <w:tr w14:paraId="6AD9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trPr>
        <w:tc>
          <w:tcPr>
            <w:tcW w:w="741" w:type="dxa"/>
            <w:shd w:val="clear" w:color="auto" w:fill="auto"/>
            <w:noWrap/>
            <w:vAlign w:val="center"/>
          </w:tcPr>
          <w:p w14:paraId="55962DC1">
            <w:pPr>
              <w:keepNext w:val="0"/>
              <w:keepLines w:val="0"/>
              <w:widowControl/>
              <w:suppressLineNumbers w:val="0"/>
              <w:jc w:val="center"/>
              <w:textAlignment w:val="center"/>
              <w:rPr>
                <w:rFonts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项目序号</w:t>
            </w:r>
          </w:p>
        </w:tc>
        <w:tc>
          <w:tcPr>
            <w:tcW w:w="846" w:type="dxa"/>
            <w:shd w:val="clear" w:color="auto" w:fill="auto"/>
            <w:vAlign w:val="center"/>
          </w:tcPr>
          <w:p w14:paraId="1CAE9FD4">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申请科室</w:t>
            </w:r>
          </w:p>
        </w:tc>
        <w:tc>
          <w:tcPr>
            <w:tcW w:w="1151" w:type="dxa"/>
            <w:shd w:val="clear" w:color="auto" w:fill="auto"/>
            <w:vAlign w:val="center"/>
          </w:tcPr>
          <w:p w14:paraId="7353BEF4">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项目名称</w:t>
            </w:r>
          </w:p>
        </w:tc>
        <w:tc>
          <w:tcPr>
            <w:tcW w:w="436" w:type="dxa"/>
            <w:shd w:val="clear" w:color="auto" w:fill="auto"/>
            <w:vAlign w:val="center"/>
          </w:tcPr>
          <w:p w14:paraId="6FB359FC">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试剂序号</w:t>
            </w:r>
          </w:p>
        </w:tc>
        <w:tc>
          <w:tcPr>
            <w:tcW w:w="1725" w:type="dxa"/>
            <w:shd w:val="clear" w:color="auto" w:fill="auto"/>
            <w:vAlign w:val="center"/>
          </w:tcPr>
          <w:p w14:paraId="7E8D4C22">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产品名称(参考)</w:t>
            </w:r>
          </w:p>
        </w:tc>
        <w:tc>
          <w:tcPr>
            <w:tcW w:w="1218" w:type="dxa"/>
            <w:shd w:val="clear" w:color="auto" w:fill="auto"/>
            <w:vAlign w:val="center"/>
          </w:tcPr>
          <w:p w14:paraId="5F66C50D">
            <w:pPr>
              <w:keepNext w:val="0"/>
              <w:keepLines w:val="0"/>
              <w:widowControl/>
              <w:suppressLineNumbers w:val="0"/>
              <w:jc w:val="left"/>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建议规格</w:t>
            </w:r>
          </w:p>
        </w:tc>
        <w:tc>
          <w:tcPr>
            <w:tcW w:w="846" w:type="dxa"/>
            <w:shd w:val="clear" w:color="auto" w:fill="auto"/>
            <w:vAlign w:val="center"/>
          </w:tcPr>
          <w:p w14:paraId="2A2B9D1C">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单位</w:t>
            </w:r>
          </w:p>
        </w:tc>
        <w:tc>
          <w:tcPr>
            <w:tcW w:w="1057" w:type="dxa"/>
            <w:shd w:val="clear" w:color="auto" w:fill="auto"/>
            <w:vAlign w:val="center"/>
          </w:tcPr>
          <w:p w14:paraId="1A1FB460">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预估年用量</w:t>
            </w:r>
          </w:p>
        </w:tc>
        <w:tc>
          <w:tcPr>
            <w:tcW w:w="1082" w:type="dxa"/>
            <w:shd w:val="clear" w:color="auto" w:fill="auto"/>
            <w:vAlign w:val="center"/>
          </w:tcPr>
          <w:p w14:paraId="15F69FE2">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每单位预算价</w:t>
            </w:r>
          </w:p>
        </w:tc>
        <w:tc>
          <w:tcPr>
            <w:tcW w:w="1073" w:type="dxa"/>
            <w:shd w:val="clear" w:color="auto" w:fill="auto"/>
            <w:vAlign w:val="center"/>
          </w:tcPr>
          <w:p w14:paraId="09214F9E">
            <w:pPr>
              <w:keepNext w:val="0"/>
              <w:keepLines w:val="0"/>
              <w:widowControl/>
              <w:suppressLineNumbers w:val="0"/>
              <w:jc w:val="center"/>
              <w:textAlignment w:val="center"/>
              <w:rPr>
                <w:rFonts w:hint="eastAsia" w:ascii="黑体" w:hAnsi="宋体" w:eastAsia="黑体" w:cs="黑体"/>
                <w:b w:val="0"/>
                <w:bCs w:val="0"/>
                <w:i w:val="0"/>
                <w:iCs w:val="0"/>
                <w:color w:val="000000"/>
                <w:sz w:val="18"/>
                <w:szCs w:val="18"/>
                <w:u w:val="none"/>
              </w:rPr>
            </w:pPr>
            <w:r>
              <w:rPr>
                <w:rFonts w:hint="eastAsia" w:ascii="黑体" w:hAnsi="宋体" w:eastAsia="黑体" w:cs="黑体"/>
                <w:b w:val="0"/>
                <w:bCs w:val="0"/>
                <w:i w:val="0"/>
                <w:iCs w:val="0"/>
                <w:color w:val="000000"/>
                <w:kern w:val="0"/>
                <w:sz w:val="18"/>
                <w:szCs w:val="18"/>
                <w:u w:val="none"/>
                <w:lang w:val="en-US" w:eastAsia="zh-CN" w:bidi="ar"/>
              </w:rPr>
              <w:t>每人份预算价</w:t>
            </w:r>
          </w:p>
        </w:tc>
      </w:tr>
      <w:tr w14:paraId="3EC2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41" w:type="dxa"/>
            <w:shd w:val="clear" w:color="auto" w:fill="auto"/>
            <w:vAlign w:val="center"/>
          </w:tcPr>
          <w:p w14:paraId="36AF6885">
            <w:pPr>
              <w:adjustRightInd w:val="0"/>
              <w:snapToGrid w:val="0"/>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7</w:t>
            </w:r>
          </w:p>
        </w:tc>
        <w:tc>
          <w:tcPr>
            <w:tcW w:w="846" w:type="dxa"/>
            <w:shd w:val="clear" w:color="auto" w:fill="auto"/>
            <w:vAlign w:val="center"/>
          </w:tcPr>
          <w:p w14:paraId="1EC25975">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检验科</w:t>
            </w:r>
          </w:p>
        </w:tc>
        <w:tc>
          <w:tcPr>
            <w:tcW w:w="1151" w:type="dxa"/>
            <w:shd w:val="clear" w:color="auto" w:fill="auto"/>
            <w:vAlign w:val="center"/>
          </w:tcPr>
          <w:p w14:paraId="4C697A67">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全自动核酸分析仪配套专用试剂</w:t>
            </w:r>
          </w:p>
        </w:tc>
        <w:tc>
          <w:tcPr>
            <w:tcW w:w="436" w:type="dxa"/>
            <w:shd w:val="clear" w:color="auto" w:fill="auto"/>
            <w:vAlign w:val="center"/>
          </w:tcPr>
          <w:p w14:paraId="7452F560">
            <w:pPr>
              <w:adjustRightInd w:val="0"/>
              <w:snapToGrid w:val="0"/>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1</w:t>
            </w:r>
          </w:p>
        </w:tc>
        <w:tc>
          <w:tcPr>
            <w:tcW w:w="1725" w:type="dxa"/>
            <w:shd w:val="clear" w:color="auto" w:fill="auto"/>
            <w:vAlign w:val="center"/>
          </w:tcPr>
          <w:p w14:paraId="1391861F">
            <w:pPr>
              <w:adjustRightInd w:val="0"/>
              <w:snapToGrid w:val="0"/>
              <w:ind w:firstLine="300" w:firstLineChars="200"/>
              <w:rPr>
                <w:rFonts w:hint="eastAsia" w:asciiTheme="minorEastAsia" w:hAnsiTheme="minorEastAsia" w:eastAsiaTheme="minorEastAsia"/>
                <w:bCs/>
                <w:sz w:val="15"/>
                <w:szCs w:val="15"/>
              </w:rPr>
            </w:pPr>
            <w:r>
              <w:rPr>
                <w:rFonts w:hint="eastAsia" w:asciiTheme="minorEastAsia" w:hAnsiTheme="minorEastAsia" w:eastAsiaTheme="minorEastAsia"/>
                <w:bCs/>
                <w:sz w:val="15"/>
                <w:szCs w:val="15"/>
                <w:lang w:val="en-US" w:eastAsia="zh-CN"/>
              </w:rPr>
              <w:t>甲型流感病毒、乙型流感病毒和新型冠状病毒（2019-nCoV）核酸检测试剂盒（PCR-荧光探针法） 或</w:t>
            </w:r>
            <w:r>
              <w:rPr>
                <w:rFonts w:hint="eastAsia" w:asciiTheme="minorEastAsia" w:hAnsiTheme="minorEastAsia" w:eastAsiaTheme="minorEastAsia"/>
                <w:bCs/>
                <w:sz w:val="15"/>
                <w:szCs w:val="15"/>
                <w:lang w:val="en-US" w:eastAsia="zh-CN"/>
              </w:rPr>
              <w:br w:type="textWrapping"/>
            </w:r>
            <w:r>
              <w:rPr>
                <w:rFonts w:hint="eastAsia" w:asciiTheme="minorEastAsia" w:hAnsiTheme="minorEastAsia" w:eastAsiaTheme="minorEastAsia"/>
                <w:bCs/>
                <w:sz w:val="15"/>
                <w:szCs w:val="15"/>
                <w:lang w:val="en-US" w:eastAsia="zh-CN"/>
              </w:rPr>
              <w:t>新型冠状病毒2019-nCoV、甲型流感病毒、乙型流感病毒核酸检测试剂盒（荧光PCR法） 或</w:t>
            </w:r>
            <w:r>
              <w:rPr>
                <w:rFonts w:hint="eastAsia" w:asciiTheme="minorEastAsia" w:hAnsiTheme="minorEastAsia" w:eastAsiaTheme="minorEastAsia"/>
                <w:bCs/>
                <w:sz w:val="15"/>
                <w:szCs w:val="15"/>
                <w:lang w:val="en-US" w:eastAsia="zh-CN"/>
              </w:rPr>
              <w:br w:type="textWrapping"/>
            </w:r>
            <w:r>
              <w:rPr>
                <w:rFonts w:hint="eastAsia" w:asciiTheme="minorEastAsia" w:hAnsiTheme="minorEastAsia" w:eastAsiaTheme="minorEastAsia"/>
                <w:bCs/>
                <w:sz w:val="15"/>
                <w:szCs w:val="15"/>
                <w:lang w:val="en-US" w:eastAsia="zh-CN"/>
              </w:rPr>
              <w:t>新型冠状病毒（2019-nCoV）及甲/乙型流感病毒核酸联合检测试剂盒（荧光PCR法）</w:t>
            </w:r>
          </w:p>
        </w:tc>
        <w:tc>
          <w:tcPr>
            <w:tcW w:w="1218" w:type="dxa"/>
            <w:shd w:val="clear" w:color="auto" w:fill="auto"/>
            <w:vAlign w:val="center"/>
          </w:tcPr>
          <w:p w14:paraId="544D85E8">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48人份/盒</w:t>
            </w:r>
          </w:p>
        </w:tc>
        <w:tc>
          <w:tcPr>
            <w:tcW w:w="846" w:type="dxa"/>
            <w:shd w:val="clear" w:color="auto" w:fill="auto"/>
            <w:vAlign w:val="center"/>
          </w:tcPr>
          <w:p w14:paraId="0AE2C843">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盒</w:t>
            </w:r>
          </w:p>
        </w:tc>
        <w:tc>
          <w:tcPr>
            <w:tcW w:w="1057" w:type="dxa"/>
            <w:shd w:val="clear" w:color="auto" w:fill="auto"/>
            <w:vAlign w:val="center"/>
          </w:tcPr>
          <w:p w14:paraId="45FE98F4">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100</w:t>
            </w:r>
          </w:p>
        </w:tc>
        <w:tc>
          <w:tcPr>
            <w:tcW w:w="1082" w:type="dxa"/>
            <w:shd w:val="clear" w:color="auto" w:fill="auto"/>
            <w:vAlign w:val="center"/>
          </w:tcPr>
          <w:p w14:paraId="73C9C4A3">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2304</w:t>
            </w:r>
          </w:p>
        </w:tc>
        <w:tc>
          <w:tcPr>
            <w:tcW w:w="1073" w:type="dxa"/>
            <w:shd w:val="clear" w:color="auto" w:fill="auto"/>
            <w:noWrap/>
            <w:vAlign w:val="center"/>
          </w:tcPr>
          <w:p w14:paraId="365F13AC">
            <w:pPr>
              <w:adjustRightInd w:val="0"/>
              <w:snapToGrid w:val="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48</w:t>
            </w:r>
          </w:p>
        </w:tc>
      </w:tr>
    </w:tbl>
    <w:p w14:paraId="1BF86C3B">
      <w:pPr>
        <w:pStyle w:val="3"/>
        <w:spacing w:line="240" w:lineRule="auto"/>
        <w:ind w:left="400"/>
        <w:rPr>
          <w:rFonts w:hint="eastAsia" w:asciiTheme="majorEastAsia" w:hAnsiTheme="majorEastAsia" w:eastAsiaTheme="majorEastAsia"/>
        </w:rPr>
      </w:pPr>
    </w:p>
    <w:p w14:paraId="508A5B8F">
      <w:pPr>
        <w:pStyle w:val="3"/>
        <w:spacing w:line="240" w:lineRule="auto"/>
        <w:ind w:left="400"/>
        <w:rPr>
          <w:rFonts w:hint="eastAsia" w:asciiTheme="majorEastAsia" w:hAnsiTheme="majorEastAsia" w:eastAsiaTheme="majorEastAsia"/>
        </w:rPr>
      </w:pPr>
    </w:p>
    <w:p w14:paraId="0543B75D">
      <w:pPr>
        <w:adjustRightInd w:val="0"/>
        <w:snapToGrid w:val="0"/>
        <w:jc w:val="center"/>
        <w:rPr>
          <w:rFonts w:asciiTheme="majorEastAsia" w:hAnsiTheme="majorEastAsia" w:eastAsiaTheme="majorEastAsia"/>
          <w:bCs/>
          <w:sz w:val="28"/>
        </w:rPr>
      </w:pPr>
      <w:r>
        <w:rPr>
          <w:rFonts w:hint="eastAsia" w:cs="方正小标宋简体" w:asciiTheme="majorEastAsia" w:hAnsiTheme="majorEastAsia" w:eastAsiaTheme="majorEastAsia"/>
          <w:b/>
          <w:sz w:val="36"/>
          <w:szCs w:val="36"/>
        </w:rPr>
        <w:t>第四部分 设备主要维修配件、易损配件</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247"/>
        <w:gridCol w:w="1392"/>
        <w:gridCol w:w="3045"/>
        <w:gridCol w:w="1097"/>
        <w:gridCol w:w="1291"/>
      </w:tblGrid>
      <w:tr w14:paraId="08CA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shd w:val="clear" w:color="auto" w:fill="auto"/>
            <w:vAlign w:val="center"/>
          </w:tcPr>
          <w:p w14:paraId="5AE219DB">
            <w:pPr>
              <w:adjustRightInd w:val="0"/>
              <w:snapToGrid w:val="0"/>
              <w:jc w:val="center"/>
              <w:rPr>
                <w:rFonts w:asciiTheme="majorEastAsia" w:hAnsiTheme="majorEastAsia" w:eastAsiaTheme="majorEastAsia"/>
                <w:b/>
                <w:sz w:val="24"/>
                <w:szCs w:val="21"/>
              </w:rPr>
            </w:pPr>
            <w:r>
              <w:rPr>
                <w:rFonts w:asciiTheme="majorEastAsia" w:hAnsiTheme="majorEastAsia" w:eastAsiaTheme="majorEastAsia"/>
                <w:b/>
                <w:sz w:val="24"/>
                <w:szCs w:val="21"/>
              </w:rPr>
              <w:t>序号</w:t>
            </w:r>
          </w:p>
        </w:tc>
        <w:tc>
          <w:tcPr>
            <w:tcW w:w="2247" w:type="dxa"/>
            <w:shd w:val="clear" w:color="auto" w:fill="auto"/>
            <w:vAlign w:val="center"/>
          </w:tcPr>
          <w:p w14:paraId="25A56F28">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货物</w:t>
            </w:r>
            <w:r>
              <w:rPr>
                <w:rFonts w:asciiTheme="majorEastAsia" w:hAnsiTheme="majorEastAsia" w:eastAsiaTheme="majorEastAsia"/>
                <w:b/>
                <w:sz w:val="24"/>
                <w:szCs w:val="21"/>
              </w:rPr>
              <w:t>名称</w:t>
            </w:r>
          </w:p>
        </w:tc>
        <w:tc>
          <w:tcPr>
            <w:tcW w:w="1392" w:type="dxa"/>
            <w:shd w:val="clear" w:color="auto" w:fill="auto"/>
            <w:vAlign w:val="center"/>
          </w:tcPr>
          <w:p w14:paraId="325CEC80">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规格/型号</w:t>
            </w:r>
          </w:p>
        </w:tc>
        <w:tc>
          <w:tcPr>
            <w:tcW w:w="3045" w:type="dxa"/>
            <w:shd w:val="clear" w:color="auto" w:fill="auto"/>
            <w:vAlign w:val="center"/>
          </w:tcPr>
          <w:p w14:paraId="66B31809">
            <w:pPr>
              <w:adjustRightInd w:val="0"/>
              <w:snapToGrid w:val="0"/>
              <w:jc w:val="center"/>
              <w:rPr>
                <w:rFonts w:asciiTheme="majorEastAsia" w:hAnsiTheme="majorEastAsia" w:eastAsiaTheme="majorEastAsia"/>
                <w:b/>
                <w:sz w:val="24"/>
                <w:szCs w:val="21"/>
              </w:rPr>
            </w:pPr>
            <w:r>
              <w:rPr>
                <w:rFonts w:asciiTheme="majorEastAsia" w:hAnsiTheme="majorEastAsia" w:eastAsiaTheme="majorEastAsia"/>
                <w:b/>
                <w:sz w:val="24"/>
                <w:szCs w:val="21"/>
              </w:rPr>
              <w:t>制造厂商</w:t>
            </w:r>
          </w:p>
        </w:tc>
        <w:tc>
          <w:tcPr>
            <w:tcW w:w="1097" w:type="dxa"/>
            <w:shd w:val="clear" w:color="auto" w:fill="auto"/>
            <w:vAlign w:val="center"/>
          </w:tcPr>
          <w:p w14:paraId="73490ECA">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原产地</w:t>
            </w:r>
          </w:p>
        </w:tc>
        <w:tc>
          <w:tcPr>
            <w:tcW w:w="1291" w:type="dxa"/>
            <w:shd w:val="clear" w:color="auto" w:fill="auto"/>
            <w:vAlign w:val="center"/>
          </w:tcPr>
          <w:p w14:paraId="2AE3C24D">
            <w:pPr>
              <w:adjustRightInd w:val="0"/>
              <w:snapToGrid w:val="0"/>
              <w:jc w:val="center"/>
              <w:rPr>
                <w:rFonts w:asciiTheme="majorEastAsia" w:hAnsiTheme="majorEastAsia" w:eastAsiaTheme="majorEastAsia"/>
                <w:b/>
                <w:sz w:val="24"/>
                <w:szCs w:val="21"/>
              </w:rPr>
            </w:pPr>
            <w:r>
              <w:rPr>
                <w:rFonts w:hint="eastAsia" w:asciiTheme="majorEastAsia" w:hAnsiTheme="majorEastAsia" w:eastAsiaTheme="majorEastAsia"/>
                <w:b/>
                <w:sz w:val="24"/>
                <w:szCs w:val="21"/>
              </w:rPr>
              <w:t>单价(元)</w:t>
            </w:r>
          </w:p>
        </w:tc>
      </w:tr>
      <w:tr w14:paraId="79FB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shd w:val="clear" w:color="auto" w:fill="auto"/>
          </w:tcPr>
          <w:p w14:paraId="139BCA43">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1</w:t>
            </w:r>
          </w:p>
        </w:tc>
        <w:tc>
          <w:tcPr>
            <w:tcW w:w="2247" w:type="dxa"/>
            <w:shd w:val="clear" w:color="auto" w:fill="auto"/>
          </w:tcPr>
          <w:p w14:paraId="51AC04F1">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Flash10 机壳</w:t>
            </w:r>
          </w:p>
        </w:tc>
        <w:tc>
          <w:tcPr>
            <w:tcW w:w="1392" w:type="dxa"/>
            <w:shd w:val="clear" w:color="auto" w:fill="auto"/>
          </w:tcPr>
          <w:p w14:paraId="4F7DB2A4">
            <w:pPr>
              <w:widowControl/>
              <w:adjustRightInd w:val="0"/>
              <w:snapToGrid w:val="0"/>
              <w:jc w:val="center"/>
              <w:rPr>
                <w:rFonts w:cs="方正小标宋简体" w:asciiTheme="majorEastAsia" w:hAnsiTheme="majorEastAsia" w:eastAsiaTheme="majorEastAsia"/>
                <w:sz w:val="24"/>
              </w:rPr>
            </w:pPr>
          </w:p>
        </w:tc>
        <w:tc>
          <w:tcPr>
            <w:tcW w:w="3045" w:type="dxa"/>
            <w:shd w:val="clear" w:color="auto" w:fill="auto"/>
          </w:tcPr>
          <w:p w14:paraId="750E4E29">
            <w:pPr>
              <w:widowControl/>
              <w:adjustRightInd w:val="0"/>
              <w:snapToGrid w:val="0"/>
              <w:rPr>
                <w:rFonts w:cs="方正小标宋简体" w:asciiTheme="majorEastAsia" w:hAnsiTheme="majorEastAsia" w:eastAsiaTheme="majorEastAsia"/>
                <w:sz w:val="24"/>
              </w:rPr>
            </w:pPr>
          </w:p>
        </w:tc>
        <w:tc>
          <w:tcPr>
            <w:tcW w:w="1097" w:type="dxa"/>
            <w:shd w:val="clear" w:color="auto" w:fill="auto"/>
          </w:tcPr>
          <w:p w14:paraId="5F375E7D">
            <w:pPr>
              <w:widowControl/>
              <w:adjustRightInd w:val="0"/>
              <w:snapToGrid w:val="0"/>
              <w:rPr>
                <w:rFonts w:cs="方正小标宋简体" w:asciiTheme="majorEastAsia" w:hAnsiTheme="majorEastAsia" w:eastAsiaTheme="majorEastAsia"/>
                <w:sz w:val="24"/>
              </w:rPr>
            </w:pPr>
          </w:p>
        </w:tc>
        <w:tc>
          <w:tcPr>
            <w:tcW w:w="1291" w:type="dxa"/>
            <w:shd w:val="clear" w:color="auto" w:fill="auto"/>
          </w:tcPr>
          <w:p w14:paraId="7DCB5D4D">
            <w:pPr>
              <w:widowControl/>
              <w:adjustRightInd w:val="0"/>
              <w:snapToGrid w:val="0"/>
              <w:rPr>
                <w:rFonts w:cs="方正小标宋简体" w:asciiTheme="majorEastAsia" w:hAnsiTheme="majorEastAsia" w:eastAsiaTheme="majorEastAsia"/>
                <w:sz w:val="24"/>
              </w:rPr>
            </w:pPr>
          </w:p>
        </w:tc>
      </w:tr>
      <w:tr w14:paraId="1338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shd w:val="clear" w:color="auto" w:fill="auto"/>
          </w:tcPr>
          <w:p w14:paraId="0F4D2FD2">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2</w:t>
            </w:r>
          </w:p>
        </w:tc>
        <w:tc>
          <w:tcPr>
            <w:tcW w:w="2247" w:type="dxa"/>
            <w:shd w:val="clear" w:color="auto" w:fill="auto"/>
          </w:tcPr>
          <w:p w14:paraId="7D7392C0">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显触一体屏幕组件</w:t>
            </w:r>
          </w:p>
        </w:tc>
        <w:tc>
          <w:tcPr>
            <w:tcW w:w="1392" w:type="dxa"/>
            <w:shd w:val="clear" w:color="auto" w:fill="auto"/>
          </w:tcPr>
          <w:p w14:paraId="154CA51B">
            <w:pPr>
              <w:widowControl/>
              <w:adjustRightInd w:val="0"/>
              <w:snapToGrid w:val="0"/>
              <w:jc w:val="center"/>
              <w:rPr>
                <w:rFonts w:cs="方正小标宋简体" w:asciiTheme="majorEastAsia" w:hAnsiTheme="majorEastAsia" w:eastAsiaTheme="majorEastAsia"/>
                <w:sz w:val="24"/>
              </w:rPr>
            </w:pPr>
          </w:p>
        </w:tc>
        <w:tc>
          <w:tcPr>
            <w:tcW w:w="3045" w:type="dxa"/>
            <w:shd w:val="clear" w:color="auto" w:fill="auto"/>
          </w:tcPr>
          <w:p w14:paraId="087B3D4E">
            <w:pPr>
              <w:widowControl/>
              <w:adjustRightInd w:val="0"/>
              <w:snapToGrid w:val="0"/>
              <w:rPr>
                <w:rFonts w:cs="方正小标宋简体" w:asciiTheme="majorEastAsia" w:hAnsiTheme="majorEastAsia" w:eastAsiaTheme="majorEastAsia"/>
                <w:sz w:val="24"/>
              </w:rPr>
            </w:pPr>
          </w:p>
        </w:tc>
        <w:tc>
          <w:tcPr>
            <w:tcW w:w="1097" w:type="dxa"/>
            <w:shd w:val="clear" w:color="auto" w:fill="auto"/>
          </w:tcPr>
          <w:p w14:paraId="3C7DF760">
            <w:pPr>
              <w:widowControl/>
              <w:adjustRightInd w:val="0"/>
              <w:snapToGrid w:val="0"/>
              <w:rPr>
                <w:rFonts w:cs="方正小标宋简体" w:asciiTheme="majorEastAsia" w:hAnsiTheme="majorEastAsia" w:eastAsiaTheme="majorEastAsia"/>
                <w:sz w:val="24"/>
              </w:rPr>
            </w:pPr>
          </w:p>
        </w:tc>
        <w:tc>
          <w:tcPr>
            <w:tcW w:w="1291" w:type="dxa"/>
            <w:shd w:val="clear" w:color="auto" w:fill="auto"/>
          </w:tcPr>
          <w:p w14:paraId="26369B6B">
            <w:pPr>
              <w:widowControl/>
              <w:adjustRightInd w:val="0"/>
              <w:snapToGrid w:val="0"/>
              <w:rPr>
                <w:rFonts w:cs="方正小标宋简体" w:asciiTheme="majorEastAsia" w:hAnsiTheme="majorEastAsia" w:eastAsiaTheme="majorEastAsia"/>
                <w:sz w:val="24"/>
              </w:rPr>
            </w:pPr>
          </w:p>
        </w:tc>
      </w:tr>
      <w:tr w14:paraId="7E67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shd w:val="clear" w:color="auto" w:fill="auto"/>
          </w:tcPr>
          <w:p w14:paraId="7CF7CBD3">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3</w:t>
            </w:r>
          </w:p>
        </w:tc>
        <w:tc>
          <w:tcPr>
            <w:tcW w:w="2247" w:type="dxa"/>
            <w:shd w:val="clear" w:color="auto" w:fill="auto"/>
          </w:tcPr>
          <w:p w14:paraId="70EDA86C">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反应模块</w:t>
            </w:r>
          </w:p>
        </w:tc>
        <w:tc>
          <w:tcPr>
            <w:tcW w:w="1392" w:type="dxa"/>
            <w:shd w:val="clear" w:color="auto" w:fill="auto"/>
          </w:tcPr>
          <w:p w14:paraId="1F7B2B64">
            <w:pPr>
              <w:widowControl/>
              <w:adjustRightInd w:val="0"/>
              <w:snapToGrid w:val="0"/>
              <w:jc w:val="center"/>
              <w:rPr>
                <w:rFonts w:cs="方正小标宋简体" w:asciiTheme="majorEastAsia" w:hAnsiTheme="majorEastAsia" w:eastAsiaTheme="majorEastAsia"/>
                <w:sz w:val="24"/>
              </w:rPr>
            </w:pPr>
          </w:p>
        </w:tc>
        <w:tc>
          <w:tcPr>
            <w:tcW w:w="3045" w:type="dxa"/>
            <w:shd w:val="clear" w:color="auto" w:fill="auto"/>
          </w:tcPr>
          <w:p w14:paraId="479C9294">
            <w:pPr>
              <w:widowControl/>
              <w:adjustRightInd w:val="0"/>
              <w:snapToGrid w:val="0"/>
              <w:rPr>
                <w:rFonts w:cs="方正小标宋简体" w:asciiTheme="majorEastAsia" w:hAnsiTheme="majorEastAsia" w:eastAsiaTheme="majorEastAsia"/>
                <w:sz w:val="24"/>
              </w:rPr>
            </w:pPr>
          </w:p>
        </w:tc>
        <w:tc>
          <w:tcPr>
            <w:tcW w:w="1097" w:type="dxa"/>
            <w:shd w:val="clear" w:color="auto" w:fill="auto"/>
          </w:tcPr>
          <w:p w14:paraId="031DC4CD">
            <w:pPr>
              <w:widowControl/>
              <w:adjustRightInd w:val="0"/>
              <w:snapToGrid w:val="0"/>
              <w:rPr>
                <w:rFonts w:cs="方正小标宋简体" w:asciiTheme="majorEastAsia" w:hAnsiTheme="majorEastAsia" w:eastAsiaTheme="majorEastAsia"/>
                <w:sz w:val="24"/>
              </w:rPr>
            </w:pPr>
          </w:p>
        </w:tc>
        <w:tc>
          <w:tcPr>
            <w:tcW w:w="1291" w:type="dxa"/>
            <w:shd w:val="clear" w:color="auto" w:fill="auto"/>
          </w:tcPr>
          <w:p w14:paraId="2BE2C925">
            <w:pPr>
              <w:widowControl/>
              <w:adjustRightInd w:val="0"/>
              <w:snapToGrid w:val="0"/>
              <w:rPr>
                <w:rFonts w:cs="方正小标宋简体" w:asciiTheme="majorEastAsia" w:hAnsiTheme="majorEastAsia" w:eastAsiaTheme="majorEastAsia"/>
                <w:sz w:val="24"/>
              </w:rPr>
            </w:pPr>
          </w:p>
        </w:tc>
      </w:tr>
      <w:tr w14:paraId="024F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shd w:val="clear" w:color="auto" w:fill="auto"/>
          </w:tcPr>
          <w:p w14:paraId="19221004">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4</w:t>
            </w:r>
          </w:p>
        </w:tc>
        <w:tc>
          <w:tcPr>
            <w:tcW w:w="2247" w:type="dxa"/>
            <w:shd w:val="clear" w:color="auto" w:fill="auto"/>
          </w:tcPr>
          <w:p w14:paraId="51A020F9">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热学光学模块</w:t>
            </w:r>
          </w:p>
        </w:tc>
        <w:tc>
          <w:tcPr>
            <w:tcW w:w="1392" w:type="dxa"/>
            <w:shd w:val="clear" w:color="auto" w:fill="auto"/>
          </w:tcPr>
          <w:p w14:paraId="0A054876">
            <w:pPr>
              <w:widowControl/>
              <w:adjustRightInd w:val="0"/>
              <w:snapToGrid w:val="0"/>
              <w:jc w:val="center"/>
              <w:rPr>
                <w:rFonts w:cs="方正小标宋简体" w:asciiTheme="majorEastAsia" w:hAnsiTheme="majorEastAsia" w:eastAsiaTheme="majorEastAsia"/>
                <w:sz w:val="24"/>
              </w:rPr>
            </w:pPr>
          </w:p>
        </w:tc>
        <w:tc>
          <w:tcPr>
            <w:tcW w:w="3045" w:type="dxa"/>
            <w:shd w:val="clear" w:color="auto" w:fill="auto"/>
          </w:tcPr>
          <w:p w14:paraId="43E5E1BE">
            <w:pPr>
              <w:widowControl/>
              <w:adjustRightInd w:val="0"/>
              <w:snapToGrid w:val="0"/>
              <w:rPr>
                <w:rFonts w:cs="方正小标宋简体" w:asciiTheme="majorEastAsia" w:hAnsiTheme="majorEastAsia" w:eastAsiaTheme="majorEastAsia"/>
                <w:sz w:val="24"/>
              </w:rPr>
            </w:pPr>
          </w:p>
        </w:tc>
        <w:tc>
          <w:tcPr>
            <w:tcW w:w="1097" w:type="dxa"/>
            <w:shd w:val="clear" w:color="auto" w:fill="auto"/>
          </w:tcPr>
          <w:p w14:paraId="11059F54">
            <w:pPr>
              <w:widowControl/>
              <w:adjustRightInd w:val="0"/>
              <w:snapToGrid w:val="0"/>
              <w:rPr>
                <w:rFonts w:cs="方正小标宋简体" w:asciiTheme="majorEastAsia" w:hAnsiTheme="majorEastAsia" w:eastAsiaTheme="majorEastAsia"/>
                <w:sz w:val="24"/>
              </w:rPr>
            </w:pPr>
          </w:p>
        </w:tc>
        <w:tc>
          <w:tcPr>
            <w:tcW w:w="1291" w:type="dxa"/>
            <w:shd w:val="clear" w:color="auto" w:fill="auto"/>
          </w:tcPr>
          <w:p w14:paraId="389E224E">
            <w:pPr>
              <w:widowControl/>
              <w:adjustRightInd w:val="0"/>
              <w:snapToGrid w:val="0"/>
              <w:rPr>
                <w:rFonts w:cs="方正小标宋简体" w:asciiTheme="majorEastAsia" w:hAnsiTheme="majorEastAsia" w:eastAsiaTheme="majorEastAsia"/>
                <w:sz w:val="24"/>
              </w:rPr>
            </w:pPr>
          </w:p>
        </w:tc>
      </w:tr>
      <w:tr w14:paraId="446A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shd w:val="clear" w:color="auto" w:fill="auto"/>
          </w:tcPr>
          <w:p w14:paraId="15C21AC3">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5</w:t>
            </w:r>
          </w:p>
        </w:tc>
        <w:tc>
          <w:tcPr>
            <w:tcW w:w="2247" w:type="dxa"/>
            <w:shd w:val="clear" w:color="auto" w:fill="auto"/>
          </w:tcPr>
          <w:p w14:paraId="164E75E9">
            <w:pPr>
              <w:widowControl/>
              <w:adjustRightInd w:val="0"/>
              <w:snapToGrid w:val="0"/>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电机</w:t>
            </w:r>
          </w:p>
        </w:tc>
        <w:tc>
          <w:tcPr>
            <w:tcW w:w="1392" w:type="dxa"/>
            <w:shd w:val="clear" w:color="auto" w:fill="auto"/>
          </w:tcPr>
          <w:p w14:paraId="041B3168">
            <w:pPr>
              <w:widowControl/>
              <w:adjustRightInd w:val="0"/>
              <w:snapToGrid w:val="0"/>
              <w:jc w:val="center"/>
              <w:rPr>
                <w:rFonts w:cs="方正小标宋简体" w:asciiTheme="majorEastAsia" w:hAnsiTheme="majorEastAsia" w:eastAsiaTheme="majorEastAsia"/>
                <w:sz w:val="24"/>
              </w:rPr>
            </w:pPr>
          </w:p>
        </w:tc>
        <w:tc>
          <w:tcPr>
            <w:tcW w:w="3045" w:type="dxa"/>
            <w:shd w:val="clear" w:color="auto" w:fill="auto"/>
          </w:tcPr>
          <w:p w14:paraId="21AD88B0">
            <w:pPr>
              <w:widowControl/>
              <w:adjustRightInd w:val="0"/>
              <w:snapToGrid w:val="0"/>
              <w:rPr>
                <w:rFonts w:cs="方正小标宋简体" w:asciiTheme="majorEastAsia" w:hAnsiTheme="majorEastAsia" w:eastAsiaTheme="majorEastAsia"/>
                <w:sz w:val="24"/>
              </w:rPr>
            </w:pPr>
          </w:p>
        </w:tc>
        <w:tc>
          <w:tcPr>
            <w:tcW w:w="1097" w:type="dxa"/>
            <w:shd w:val="clear" w:color="auto" w:fill="auto"/>
          </w:tcPr>
          <w:p w14:paraId="24625CD6">
            <w:pPr>
              <w:widowControl/>
              <w:adjustRightInd w:val="0"/>
              <w:snapToGrid w:val="0"/>
              <w:rPr>
                <w:rFonts w:cs="方正小标宋简体" w:asciiTheme="majorEastAsia" w:hAnsiTheme="majorEastAsia" w:eastAsiaTheme="majorEastAsia"/>
                <w:sz w:val="24"/>
              </w:rPr>
            </w:pPr>
          </w:p>
        </w:tc>
        <w:tc>
          <w:tcPr>
            <w:tcW w:w="1291" w:type="dxa"/>
            <w:shd w:val="clear" w:color="auto" w:fill="auto"/>
          </w:tcPr>
          <w:p w14:paraId="451097E3">
            <w:pPr>
              <w:widowControl/>
              <w:adjustRightInd w:val="0"/>
              <w:snapToGrid w:val="0"/>
              <w:rPr>
                <w:rFonts w:cs="方正小标宋简体" w:asciiTheme="majorEastAsia" w:hAnsiTheme="majorEastAsia" w:eastAsiaTheme="majorEastAsia"/>
                <w:sz w:val="24"/>
              </w:rPr>
            </w:pPr>
          </w:p>
        </w:tc>
      </w:tr>
    </w:tbl>
    <w:p w14:paraId="42FDC455">
      <w:pPr>
        <w:adjustRightInd w:val="0"/>
        <w:snapToGrid w:val="0"/>
        <w:jc w:val="center"/>
        <w:rPr>
          <w:rFonts w:asciiTheme="majorEastAsia" w:hAnsiTheme="majorEastAsia" w:eastAsiaTheme="majorEastAsia"/>
          <w:b/>
          <w:sz w:val="24"/>
          <w:szCs w:val="21"/>
        </w:rPr>
      </w:pPr>
    </w:p>
    <w:tbl>
      <w:tblPr>
        <w:tblStyle w:val="1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109"/>
        <w:gridCol w:w="2605"/>
        <w:gridCol w:w="2372"/>
      </w:tblGrid>
      <w:tr w14:paraId="665A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dxa"/>
            <w:shd w:val="clear" w:color="auto" w:fill="auto"/>
            <w:vAlign w:val="center"/>
          </w:tcPr>
          <w:p w14:paraId="0F55FFFD">
            <w:pPr>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4109" w:type="dxa"/>
            <w:shd w:val="clear" w:color="auto" w:fill="auto"/>
            <w:vAlign w:val="center"/>
          </w:tcPr>
          <w:p w14:paraId="28D3756F">
            <w:pPr>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服务名称</w:t>
            </w:r>
          </w:p>
        </w:tc>
        <w:tc>
          <w:tcPr>
            <w:tcW w:w="2605" w:type="dxa"/>
            <w:shd w:val="clear" w:color="auto" w:fill="auto"/>
            <w:vAlign w:val="center"/>
          </w:tcPr>
          <w:p w14:paraId="0868B7EA">
            <w:pPr>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服务内容</w:t>
            </w:r>
          </w:p>
        </w:tc>
        <w:tc>
          <w:tcPr>
            <w:tcW w:w="2372" w:type="dxa"/>
            <w:shd w:val="clear" w:color="auto" w:fill="auto"/>
            <w:vAlign w:val="center"/>
          </w:tcPr>
          <w:p w14:paraId="071013CB">
            <w:pPr>
              <w:adjustRightInd w:val="0"/>
              <w:snapToGrid w:val="0"/>
              <w:jc w:val="center"/>
              <w:rPr>
                <w:rFonts w:asciiTheme="majorEastAsia" w:hAnsiTheme="majorEastAsia" w:eastAsiaTheme="majorEastAsia"/>
                <w:b/>
                <w:sz w:val="24"/>
              </w:rPr>
            </w:pPr>
            <w:r>
              <w:rPr>
                <w:rFonts w:hint="eastAsia" w:asciiTheme="majorEastAsia" w:hAnsiTheme="majorEastAsia" w:eastAsiaTheme="majorEastAsia"/>
                <w:b/>
                <w:sz w:val="24"/>
              </w:rPr>
              <w:t>价格（元）</w:t>
            </w:r>
          </w:p>
        </w:tc>
      </w:tr>
      <w:tr w14:paraId="5DE1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5" w:type="dxa"/>
            <w:shd w:val="clear" w:color="auto" w:fill="auto"/>
            <w:vAlign w:val="center"/>
          </w:tcPr>
          <w:p w14:paraId="3B769F1D">
            <w:pPr>
              <w:widowControl/>
              <w:jc w:val="center"/>
              <w:rPr>
                <w:rFonts w:asciiTheme="majorEastAsia" w:hAnsiTheme="majorEastAsia" w:eastAsiaTheme="majorEastAsia"/>
                <w:b/>
                <w:sz w:val="24"/>
              </w:rPr>
            </w:pPr>
            <w:r>
              <w:rPr>
                <w:rFonts w:hint="eastAsia" w:asciiTheme="majorEastAsia" w:hAnsiTheme="majorEastAsia" w:eastAsiaTheme="majorEastAsia"/>
                <w:b/>
                <w:sz w:val="24"/>
              </w:rPr>
              <w:t>1</w:t>
            </w:r>
          </w:p>
        </w:tc>
        <w:tc>
          <w:tcPr>
            <w:tcW w:w="4109" w:type="dxa"/>
            <w:shd w:val="clear" w:color="auto" w:fill="auto"/>
            <w:vAlign w:val="center"/>
          </w:tcPr>
          <w:p w14:paraId="6356B151">
            <w:pPr>
              <w:widowControl/>
              <w:jc w:val="center"/>
              <w:rPr>
                <w:rFonts w:asciiTheme="majorEastAsia" w:hAnsiTheme="majorEastAsia" w:eastAsiaTheme="majorEastAsia"/>
                <w:b/>
                <w:sz w:val="24"/>
              </w:rPr>
            </w:pPr>
            <w:r>
              <w:rPr>
                <w:rFonts w:hint="eastAsia" w:asciiTheme="majorEastAsia" w:hAnsiTheme="majorEastAsia" w:eastAsiaTheme="majorEastAsia"/>
                <w:b/>
                <w:sz w:val="24"/>
              </w:rPr>
              <w:t>三年延续保修合同</w:t>
            </w:r>
          </w:p>
        </w:tc>
        <w:tc>
          <w:tcPr>
            <w:tcW w:w="2605" w:type="dxa"/>
            <w:shd w:val="clear" w:color="auto" w:fill="auto"/>
            <w:vAlign w:val="center"/>
          </w:tcPr>
          <w:p w14:paraId="78C754C0">
            <w:pPr>
              <w:widowControl/>
              <w:rPr>
                <w:rFonts w:cs="方正小标宋简体" w:asciiTheme="majorEastAsia" w:hAnsiTheme="majorEastAsia" w:eastAsiaTheme="majorEastAsia"/>
                <w:sz w:val="24"/>
              </w:rPr>
            </w:pPr>
          </w:p>
        </w:tc>
        <w:tc>
          <w:tcPr>
            <w:tcW w:w="2372" w:type="dxa"/>
            <w:shd w:val="clear" w:color="auto" w:fill="auto"/>
            <w:vAlign w:val="center"/>
          </w:tcPr>
          <w:p w14:paraId="466A1319">
            <w:pPr>
              <w:widowControl/>
              <w:jc w:val="center"/>
              <w:rPr>
                <w:rFonts w:cs="方正小标宋简体" w:asciiTheme="majorEastAsia" w:hAnsiTheme="majorEastAsia" w:eastAsiaTheme="majorEastAsia"/>
                <w:sz w:val="24"/>
              </w:rPr>
            </w:pPr>
          </w:p>
        </w:tc>
      </w:tr>
    </w:tbl>
    <w:p w14:paraId="6EA59E73">
      <w:pPr>
        <w:widowControl/>
        <w:rPr>
          <w:rFonts w:cs="方正小标宋简体" w:asciiTheme="majorEastAsia" w:hAnsiTheme="majorEastAsia" w:eastAsiaTheme="majorEastAsia"/>
          <w:sz w:val="36"/>
          <w:szCs w:val="36"/>
        </w:rPr>
      </w:pPr>
    </w:p>
    <w:p w14:paraId="30353A66">
      <w:pPr>
        <w:rPr>
          <w:rFonts w:cs="方正小标宋简体" w:asciiTheme="majorEastAsia" w:hAnsiTheme="majorEastAsia" w:eastAsiaTheme="majorEastAsia"/>
          <w:sz w:val="10"/>
          <w:szCs w:val="10"/>
        </w:rPr>
      </w:pPr>
    </w:p>
    <w:sectPr>
      <w:footerReference r:id="rId3" w:type="default"/>
      <w:pgSz w:w="11906" w:h="16838"/>
      <w:pgMar w:top="284" w:right="851" w:bottom="284" w:left="851" w:header="113"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JhengHei UI Light">
    <w:panose1 w:val="020B0304030504040204"/>
    <w:charset w:val="88"/>
    <w:family w:val="swiss"/>
    <w:pitch w:val="default"/>
    <w:sig w:usb0="8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5192"/>
    </w:sdtPr>
    <w:sdtContent>
      <w:sdt>
        <w:sdtPr>
          <w:id w:val="171357217"/>
        </w:sdtPr>
        <w:sdtContent>
          <w:p w14:paraId="0B6A4B17">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135FFA4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1A6EE"/>
    <w:multiLevelType w:val="singleLevel"/>
    <w:tmpl w:val="8601A6EE"/>
    <w:lvl w:ilvl="0" w:tentative="0">
      <w:start w:val="1"/>
      <w:numFmt w:val="decimal"/>
      <w:suff w:val="nothing"/>
      <w:lvlText w:val="%1）"/>
      <w:lvlJc w:val="left"/>
    </w:lvl>
  </w:abstractNum>
  <w:abstractNum w:abstractNumId="1">
    <w:nsid w:val="9AD13E8A"/>
    <w:multiLevelType w:val="singleLevel"/>
    <w:tmpl w:val="9AD13E8A"/>
    <w:lvl w:ilvl="0" w:tentative="0">
      <w:start w:val="1"/>
      <w:numFmt w:val="decimal"/>
      <w:lvlText w:val="%1."/>
      <w:lvlJc w:val="left"/>
      <w:pPr>
        <w:ind w:left="425" w:hanging="425"/>
      </w:pPr>
      <w:rPr>
        <w:rFonts w:hint="default"/>
      </w:rPr>
    </w:lvl>
  </w:abstractNum>
  <w:abstractNum w:abstractNumId="2">
    <w:nsid w:val="5B870740"/>
    <w:multiLevelType w:val="singleLevel"/>
    <w:tmpl w:val="5B870740"/>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mQ4MjUxMzQ5OGM1MGQ2YTYyY2RmNjk2NTc1MjEifQ=="/>
  </w:docVars>
  <w:rsids>
    <w:rsidRoot w:val="00F81403"/>
    <w:rsid w:val="00005907"/>
    <w:rsid w:val="00007F09"/>
    <w:rsid w:val="00014A66"/>
    <w:rsid w:val="000170C1"/>
    <w:rsid w:val="00021B63"/>
    <w:rsid w:val="00022431"/>
    <w:rsid w:val="00024E35"/>
    <w:rsid w:val="00027536"/>
    <w:rsid w:val="00027A10"/>
    <w:rsid w:val="0003257D"/>
    <w:rsid w:val="00047765"/>
    <w:rsid w:val="00056650"/>
    <w:rsid w:val="00085098"/>
    <w:rsid w:val="000910F0"/>
    <w:rsid w:val="00091320"/>
    <w:rsid w:val="00094BE5"/>
    <w:rsid w:val="000B173B"/>
    <w:rsid w:val="000C2EB1"/>
    <w:rsid w:val="000D332B"/>
    <w:rsid w:val="000D486B"/>
    <w:rsid w:val="000D528A"/>
    <w:rsid w:val="000E2EEF"/>
    <w:rsid w:val="000E6D84"/>
    <w:rsid w:val="00100E5F"/>
    <w:rsid w:val="00114A9B"/>
    <w:rsid w:val="00117159"/>
    <w:rsid w:val="00117B29"/>
    <w:rsid w:val="00122AB5"/>
    <w:rsid w:val="001316F0"/>
    <w:rsid w:val="00141F0D"/>
    <w:rsid w:val="00147AA8"/>
    <w:rsid w:val="00147DE0"/>
    <w:rsid w:val="00162C8C"/>
    <w:rsid w:val="00164210"/>
    <w:rsid w:val="0017347E"/>
    <w:rsid w:val="00173505"/>
    <w:rsid w:val="001755A1"/>
    <w:rsid w:val="0018628F"/>
    <w:rsid w:val="001B112F"/>
    <w:rsid w:val="001B29FF"/>
    <w:rsid w:val="001F45BE"/>
    <w:rsid w:val="001F5D4E"/>
    <w:rsid w:val="00201CE8"/>
    <w:rsid w:val="00207531"/>
    <w:rsid w:val="00213A4E"/>
    <w:rsid w:val="00214240"/>
    <w:rsid w:val="0022066A"/>
    <w:rsid w:val="00223188"/>
    <w:rsid w:val="002243DF"/>
    <w:rsid w:val="0024191C"/>
    <w:rsid w:val="00244C7F"/>
    <w:rsid w:val="00262E90"/>
    <w:rsid w:val="002850D0"/>
    <w:rsid w:val="002956A8"/>
    <w:rsid w:val="0029701C"/>
    <w:rsid w:val="00297C31"/>
    <w:rsid w:val="002B3785"/>
    <w:rsid w:val="002F5D5E"/>
    <w:rsid w:val="00307648"/>
    <w:rsid w:val="003213BB"/>
    <w:rsid w:val="00321F08"/>
    <w:rsid w:val="00322AE6"/>
    <w:rsid w:val="00326BC1"/>
    <w:rsid w:val="00334AA0"/>
    <w:rsid w:val="00352B55"/>
    <w:rsid w:val="00354F4C"/>
    <w:rsid w:val="00376AC2"/>
    <w:rsid w:val="003829E3"/>
    <w:rsid w:val="003942D3"/>
    <w:rsid w:val="0039648A"/>
    <w:rsid w:val="003D442D"/>
    <w:rsid w:val="003D7EF0"/>
    <w:rsid w:val="003E41F6"/>
    <w:rsid w:val="004164F9"/>
    <w:rsid w:val="00423853"/>
    <w:rsid w:val="00423C2F"/>
    <w:rsid w:val="00446E5F"/>
    <w:rsid w:val="00455236"/>
    <w:rsid w:val="00456EA0"/>
    <w:rsid w:val="00465CFB"/>
    <w:rsid w:val="00465E46"/>
    <w:rsid w:val="00472034"/>
    <w:rsid w:val="00497BF4"/>
    <w:rsid w:val="004B1081"/>
    <w:rsid w:val="004B3240"/>
    <w:rsid w:val="004B3CFF"/>
    <w:rsid w:val="004C1160"/>
    <w:rsid w:val="004C51DC"/>
    <w:rsid w:val="004C74AE"/>
    <w:rsid w:val="004D0A11"/>
    <w:rsid w:val="004E0D21"/>
    <w:rsid w:val="004F46AD"/>
    <w:rsid w:val="004F6661"/>
    <w:rsid w:val="00504B0F"/>
    <w:rsid w:val="00511DC2"/>
    <w:rsid w:val="00523CD5"/>
    <w:rsid w:val="005275A8"/>
    <w:rsid w:val="00535190"/>
    <w:rsid w:val="0053721B"/>
    <w:rsid w:val="00542363"/>
    <w:rsid w:val="00543959"/>
    <w:rsid w:val="0055112D"/>
    <w:rsid w:val="00553925"/>
    <w:rsid w:val="005666F4"/>
    <w:rsid w:val="005675B0"/>
    <w:rsid w:val="005772ED"/>
    <w:rsid w:val="00590721"/>
    <w:rsid w:val="00597CA2"/>
    <w:rsid w:val="005C211C"/>
    <w:rsid w:val="005C239D"/>
    <w:rsid w:val="005C57CC"/>
    <w:rsid w:val="005D1F81"/>
    <w:rsid w:val="00603257"/>
    <w:rsid w:val="0060593D"/>
    <w:rsid w:val="006231CE"/>
    <w:rsid w:val="00651D42"/>
    <w:rsid w:val="00654133"/>
    <w:rsid w:val="00662021"/>
    <w:rsid w:val="00662B11"/>
    <w:rsid w:val="006C7CF0"/>
    <w:rsid w:val="006D3D0D"/>
    <w:rsid w:val="006D571D"/>
    <w:rsid w:val="007016D4"/>
    <w:rsid w:val="007024B9"/>
    <w:rsid w:val="007130B5"/>
    <w:rsid w:val="00716C4F"/>
    <w:rsid w:val="007246DD"/>
    <w:rsid w:val="00750A3D"/>
    <w:rsid w:val="007554DF"/>
    <w:rsid w:val="00793785"/>
    <w:rsid w:val="007A0C07"/>
    <w:rsid w:val="007A2E18"/>
    <w:rsid w:val="007A7BFE"/>
    <w:rsid w:val="007B1DF4"/>
    <w:rsid w:val="007C4096"/>
    <w:rsid w:val="007D196F"/>
    <w:rsid w:val="007D65D9"/>
    <w:rsid w:val="007E274A"/>
    <w:rsid w:val="007F5837"/>
    <w:rsid w:val="0080050C"/>
    <w:rsid w:val="008120B0"/>
    <w:rsid w:val="00813523"/>
    <w:rsid w:val="00871F5E"/>
    <w:rsid w:val="00872D2F"/>
    <w:rsid w:val="00874934"/>
    <w:rsid w:val="00876B02"/>
    <w:rsid w:val="008802B6"/>
    <w:rsid w:val="008964A3"/>
    <w:rsid w:val="008B74EE"/>
    <w:rsid w:val="008C28A8"/>
    <w:rsid w:val="008D2C79"/>
    <w:rsid w:val="008D3E82"/>
    <w:rsid w:val="008E56F3"/>
    <w:rsid w:val="0090107D"/>
    <w:rsid w:val="009122AA"/>
    <w:rsid w:val="00914B58"/>
    <w:rsid w:val="00930B23"/>
    <w:rsid w:val="00936CEC"/>
    <w:rsid w:val="009376BC"/>
    <w:rsid w:val="00937D3D"/>
    <w:rsid w:val="00947CF3"/>
    <w:rsid w:val="00953822"/>
    <w:rsid w:val="00972C2D"/>
    <w:rsid w:val="009764EB"/>
    <w:rsid w:val="009908D7"/>
    <w:rsid w:val="00991D87"/>
    <w:rsid w:val="00991F74"/>
    <w:rsid w:val="00996AC8"/>
    <w:rsid w:val="009978E3"/>
    <w:rsid w:val="009A130E"/>
    <w:rsid w:val="009A1DE2"/>
    <w:rsid w:val="009B5AA8"/>
    <w:rsid w:val="009E6FD2"/>
    <w:rsid w:val="009F5BF6"/>
    <w:rsid w:val="00A043A8"/>
    <w:rsid w:val="00A0782D"/>
    <w:rsid w:val="00A17D1D"/>
    <w:rsid w:val="00A25DCE"/>
    <w:rsid w:val="00A303A3"/>
    <w:rsid w:val="00A619BE"/>
    <w:rsid w:val="00A903C7"/>
    <w:rsid w:val="00AA4B4A"/>
    <w:rsid w:val="00AA6962"/>
    <w:rsid w:val="00AB2610"/>
    <w:rsid w:val="00AF5C60"/>
    <w:rsid w:val="00AF5FA9"/>
    <w:rsid w:val="00AF7A87"/>
    <w:rsid w:val="00B01564"/>
    <w:rsid w:val="00B06C01"/>
    <w:rsid w:val="00B21F51"/>
    <w:rsid w:val="00B22795"/>
    <w:rsid w:val="00B25EF8"/>
    <w:rsid w:val="00B63890"/>
    <w:rsid w:val="00B74119"/>
    <w:rsid w:val="00B82233"/>
    <w:rsid w:val="00BA17A1"/>
    <w:rsid w:val="00BA5B17"/>
    <w:rsid w:val="00BC4EC7"/>
    <w:rsid w:val="00BC5AE8"/>
    <w:rsid w:val="00BD1E81"/>
    <w:rsid w:val="00BF1CC2"/>
    <w:rsid w:val="00BF69AA"/>
    <w:rsid w:val="00C03748"/>
    <w:rsid w:val="00C05356"/>
    <w:rsid w:val="00C11198"/>
    <w:rsid w:val="00C13828"/>
    <w:rsid w:val="00C32BEC"/>
    <w:rsid w:val="00C35949"/>
    <w:rsid w:val="00C46532"/>
    <w:rsid w:val="00C52EBE"/>
    <w:rsid w:val="00C55020"/>
    <w:rsid w:val="00C619DD"/>
    <w:rsid w:val="00C67D6C"/>
    <w:rsid w:val="00C77FD8"/>
    <w:rsid w:val="00CF09E5"/>
    <w:rsid w:val="00D05083"/>
    <w:rsid w:val="00D5343F"/>
    <w:rsid w:val="00D54D59"/>
    <w:rsid w:val="00D647C2"/>
    <w:rsid w:val="00D73B6A"/>
    <w:rsid w:val="00D976F6"/>
    <w:rsid w:val="00DA6EC9"/>
    <w:rsid w:val="00DB1E59"/>
    <w:rsid w:val="00DB4D7A"/>
    <w:rsid w:val="00DB528F"/>
    <w:rsid w:val="00DC4CC7"/>
    <w:rsid w:val="00DC7DA0"/>
    <w:rsid w:val="00DF5E92"/>
    <w:rsid w:val="00E052D9"/>
    <w:rsid w:val="00E1520C"/>
    <w:rsid w:val="00E35AFC"/>
    <w:rsid w:val="00E93F8F"/>
    <w:rsid w:val="00ED7224"/>
    <w:rsid w:val="00EF0BF4"/>
    <w:rsid w:val="00F0149B"/>
    <w:rsid w:val="00F07294"/>
    <w:rsid w:val="00F1549D"/>
    <w:rsid w:val="00F225D8"/>
    <w:rsid w:val="00F23DB0"/>
    <w:rsid w:val="00F30025"/>
    <w:rsid w:val="00F464BC"/>
    <w:rsid w:val="00F60CB5"/>
    <w:rsid w:val="00F65BCF"/>
    <w:rsid w:val="00F6788A"/>
    <w:rsid w:val="00F81403"/>
    <w:rsid w:val="00F83533"/>
    <w:rsid w:val="00F945B0"/>
    <w:rsid w:val="00FB421E"/>
    <w:rsid w:val="00FC40CA"/>
    <w:rsid w:val="00FD0656"/>
    <w:rsid w:val="00FD23ED"/>
    <w:rsid w:val="00FF30DB"/>
    <w:rsid w:val="0611217C"/>
    <w:rsid w:val="07AE3385"/>
    <w:rsid w:val="0A2C0302"/>
    <w:rsid w:val="0F8E7447"/>
    <w:rsid w:val="119B6051"/>
    <w:rsid w:val="12513142"/>
    <w:rsid w:val="12A25084"/>
    <w:rsid w:val="142B2292"/>
    <w:rsid w:val="15FB47D0"/>
    <w:rsid w:val="198B537B"/>
    <w:rsid w:val="19A66D0D"/>
    <w:rsid w:val="1A385FE8"/>
    <w:rsid w:val="1A84032A"/>
    <w:rsid w:val="1D9E2CE9"/>
    <w:rsid w:val="1E12700E"/>
    <w:rsid w:val="1F6A2335"/>
    <w:rsid w:val="21971856"/>
    <w:rsid w:val="22E10C1D"/>
    <w:rsid w:val="25E47427"/>
    <w:rsid w:val="27413FAC"/>
    <w:rsid w:val="2B252436"/>
    <w:rsid w:val="2E3B257B"/>
    <w:rsid w:val="359B56E2"/>
    <w:rsid w:val="366D6BB6"/>
    <w:rsid w:val="3EB2662C"/>
    <w:rsid w:val="41313528"/>
    <w:rsid w:val="445F60B6"/>
    <w:rsid w:val="4D8C7865"/>
    <w:rsid w:val="4E280CF3"/>
    <w:rsid w:val="563F3595"/>
    <w:rsid w:val="566D4594"/>
    <w:rsid w:val="58242AE0"/>
    <w:rsid w:val="58AB396B"/>
    <w:rsid w:val="5BDE3A84"/>
    <w:rsid w:val="5C483C8E"/>
    <w:rsid w:val="61817207"/>
    <w:rsid w:val="62C41C2E"/>
    <w:rsid w:val="652341F0"/>
    <w:rsid w:val="663B31C1"/>
    <w:rsid w:val="66AC0259"/>
    <w:rsid w:val="6AFD60D5"/>
    <w:rsid w:val="6F633413"/>
    <w:rsid w:val="6F9E571F"/>
    <w:rsid w:val="73374A1C"/>
    <w:rsid w:val="738F7392"/>
    <w:rsid w:val="762C283F"/>
    <w:rsid w:val="767D5D1E"/>
    <w:rsid w:val="76E03ABB"/>
    <w:rsid w:val="7A6F030F"/>
    <w:rsid w:val="7A8916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ody Text"/>
    <w:basedOn w:val="1"/>
    <w:link w:val="22"/>
    <w:qFormat/>
    <w:uiPriority w:val="0"/>
    <w:pPr>
      <w:adjustRightInd w:val="0"/>
      <w:snapToGrid w:val="0"/>
      <w:spacing w:line="500" w:lineRule="atLeast"/>
    </w:pPr>
    <w:rPr>
      <w:rFonts w:ascii="宋体"/>
      <w:bCs/>
      <w:sz w:val="28"/>
    </w:rPr>
  </w:style>
  <w:style w:type="paragraph" w:styleId="4">
    <w:name w:val="Plain Text"/>
    <w:basedOn w:val="1"/>
    <w:link w:val="17"/>
    <w:unhideWhenUsed/>
    <w:qFormat/>
    <w:uiPriority w:val="99"/>
    <w:rPr>
      <w:rFonts w:ascii="宋体" w:hAnsi="Courier New" w:cs="Courier New"/>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ascii="Tahoma" w:hAnsi="Tahoma" w:eastAsia="宋体"/>
      <w:b/>
      <w:bCs/>
      <w:spacing w:val="10"/>
      <w:kern w:val="2"/>
      <w:sz w:val="24"/>
      <w:szCs w:val="24"/>
      <w:lang w:val="en-US" w:eastAsia="zh-CN" w:bidi="ar-SA"/>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纯文本 字符"/>
    <w:basedOn w:val="11"/>
    <w:link w:val="4"/>
    <w:qFormat/>
    <w:uiPriority w:val="99"/>
    <w:rPr>
      <w:rFonts w:ascii="宋体" w:hAnsi="Courier New" w:eastAsia="宋体" w:cs="Courier New"/>
      <w:szCs w:val="21"/>
    </w:rPr>
  </w:style>
  <w:style w:type="paragraph" w:customStyle="1" w:styleId="18">
    <w:name w:val="样式1 Char Char"/>
    <w:basedOn w:val="1"/>
    <w:next w:val="4"/>
    <w:qFormat/>
    <w:uiPriority w:val="0"/>
    <w:pPr>
      <w:spacing w:line="360" w:lineRule="auto"/>
      <w:ind w:firstLine="516" w:firstLineChars="215"/>
    </w:pPr>
    <w:rPr>
      <w:sz w:val="24"/>
    </w:rPr>
  </w:style>
  <w:style w:type="character" w:customStyle="1" w:styleId="19">
    <w:name w:val="批注框文本 字符"/>
    <w:basedOn w:val="11"/>
    <w:link w:val="5"/>
    <w:semiHidden/>
    <w:qFormat/>
    <w:uiPriority w:val="99"/>
    <w:rPr>
      <w:rFonts w:ascii="Times New Roman" w:hAnsi="Times New Roman" w:eastAsia="宋体" w:cs="Times New Roman"/>
      <w:kern w:val="2"/>
      <w:sz w:val="18"/>
      <w:szCs w:val="18"/>
    </w:rPr>
  </w:style>
  <w:style w:type="character" w:customStyle="1" w:styleId="20">
    <w:name w:val="批注文字 字符"/>
    <w:basedOn w:val="11"/>
    <w:link w:val="2"/>
    <w:qFormat/>
    <w:uiPriority w:val="99"/>
    <w:rPr>
      <w:rFonts w:ascii="Times New Roman" w:hAnsi="Times New Roman" w:eastAsia="宋体" w:cs="Times New Roman"/>
      <w:kern w:val="2"/>
      <w:sz w:val="21"/>
      <w:szCs w:val="24"/>
    </w:rPr>
  </w:style>
  <w:style w:type="character" w:customStyle="1" w:styleId="21">
    <w:name w:val="批注主题 字符"/>
    <w:basedOn w:val="20"/>
    <w:link w:val="8"/>
    <w:semiHidden/>
    <w:qFormat/>
    <w:uiPriority w:val="99"/>
    <w:rPr>
      <w:rFonts w:ascii="Times New Roman" w:hAnsi="Times New Roman" w:eastAsia="宋体" w:cs="Times New Roman"/>
      <w:b/>
      <w:bCs/>
      <w:kern w:val="2"/>
      <w:sz w:val="21"/>
      <w:szCs w:val="24"/>
    </w:rPr>
  </w:style>
  <w:style w:type="character" w:customStyle="1" w:styleId="22">
    <w:name w:val="正文文本 字符"/>
    <w:basedOn w:val="11"/>
    <w:link w:val="3"/>
    <w:qFormat/>
    <w:uiPriority w:val="0"/>
    <w:rPr>
      <w:rFonts w:ascii="宋体" w:hAnsi="Times New Roman" w:eastAsia="宋体" w:cs="Times New Roman"/>
      <w:bCs/>
      <w:kern w:val="2"/>
      <w:sz w:val="28"/>
      <w:szCs w:val="24"/>
    </w:rPr>
  </w:style>
  <w:style w:type="paragraph" w:customStyle="1" w:styleId="23">
    <w:name w:val="正文 A"/>
    <w:qFormat/>
    <w:uiPriority w:val="0"/>
    <w:pPr>
      <w:framePr w:wrap="around" w:vAnchor="margin" w:hAnchor="text" w:y="1"/>
      <w:widowControl w:val="0"/>
    </w:pPr>
    <w:rPr>
      <w:rFonts w:ascii="Microsoft JhengHei UI Light" w:hAnsi="Microsoft JhengHei UI Light" w:eastAsia="Microsoft JhengHei UI Light" w:cs="Microsoft JhengHei UI Light"/>
      <w:color w:val="000000"/>
      <w:sz w:val="22"/>
      <w:szCs w:val="22"/>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5277</Words>
  <Characters>5481</Characters>
  <Lines>41</Lines>
  <Paragraphs>11</Paragraphs>
  <TotalTime>1</TotalTime>
  <ScaleCrop>false</ScaleCrop>
  <LinksUpToDate>false</LinksUpToDate>
  <CharactersWithSpaces>5561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2025-06-13T05:20:00Z</dcterms:created>
  <dc:creator>陈蕾</dc:creator>
  <cp:lastModifiedBy>YU</cp:lastModifiedBy>
  <dcterms:modified xsi:type="dcterms:W3CDTF">2025-09-17T02:09:28Z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eyJoZGlkIjoiY2Q3MmEwNjA5YTM1NTVkNjA1MTE4NTFjOGQ0YjlkMGIiLCJ1c2VySWQiOiI1NjcwNTQxMTcifQ==</vt:lpwstr>
  </property>
  <property fmtid="{D5CDD505-2E9C-101B-9397-08002B2CF9AE}" pid="4" name="ICV">
    <vt:lpwstr>92DC6107234B4B7DA87C383200AF366C_13</vt:lpwstr>
  </property>
</Properties>
</file>